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6"/>
        <w:bidi w:val="0"/>
      </w:pPr>
      <w:bookmarkStart w:id="0" w:name="_Toc15396597"/>
      <w:bookmarkStart w:id="1" w:name="_Toc15377425"/>
      <w:bookmarkStart w:id="2" w:name="_Toc15377193"/>
      <w:bookmarkStart w:id="3" w:name="_Toc15378441"/>
      <w:bookmarkStart w:id="4" w:name="_Toc15396475"/>
      <w:bookmarkStart w:id="5" w:name="_Toc15306267"/>
    </w:p>
    <w:p/>
    <w:p>
      <w:pPr>
        <w:pStyle w:val="6"/>
        <w:spacing w:before="93"/>
        <w:jc w:val="center"/>
        <w:rPr>
          <w:rFonts w:ascii="Times New Roman" w:eastAsia="方正小标宋简体"/>
          <w:kern w:val="2"/>
          <w:sz w:val="44"/>
          <w:szCs w:val="44"/>
        </w:rPr>
      </w:pPr>
    </w:p>
    <w:p>
      <w:pPr>
        <w:pStyle w:val="6"/>
        <w:spacing w:before="93"/>
        <w:jc w:val="center"/>
        <w:rPr>
          <w:rFonts w:ascii="Times New Roman" w:eastAsia="方正小标宋简体"/>
          <w:kern w:val="2"/>
          <w:sz w:val="44"/>
          <w:szCs w:val="44"/>
        </w:rPr>
      </w:pPr>
    </w:p>
    <w:p>
      <w:pPr>
        <w:pStyle w:val="6"/>
        <w:spacing w:before="93"/>
        <w:jc w:val="center"/>
        <w:rPr>
          <w:rFonts w:ascii="Times New Roman" w:eastAsia="方正小标宋简体"/>
          <w:kern w:val="2"/>
          <w:sz w:val="44"/>
          <w:szCs w:val="44"/>
        </w:rPr>
      </w:pPr>
    </w:p>
    <w:p>
      <w:pPr>
        <w:pStyle w:val="6"/>
        <w:spacing w:before="93"/>
        <w:jc w:val="center"/>
        <w:rPr>
          <w:rFonts w:ascii="Times New Roman" w:eastAsia="方正小标宋简体"/>
          <w:kern w:val="2"/>
          <w:sz w:val="44"/>
          <w:szCs w:val="44"/>
        </w:rPr>
      </w:pPr>
    </w:p>
    <w:bookmarkEnd w:id="0"/>
    <w:bookmarkEnd w:id="1"/>
    <w:bookmarkEnd w:id="2"/>
    <w:bookmarkEnd w:id="3"/>
    <w:bookmarkEnd w:id="4"/>
    <w:p>
      <w:pPr>
        <w:pStyle w:val="6"/>
        <w:spacing w:before="93"/>
        <w:jc w:val="center"/>
        <w:rPr>
          <w:rFonts w:hint="eastAsia" w:ascii="Times New Roman" w:eastAsia="方正小标宋简体"/>
          <w:kern w:val="2"/>
          <w:sz w:val="44"/>
          <w:szCs w:val="44"/>
          <w:lang w:val="en-US" w:eastAsia="zh-CN"/>
        </w:rPr>
      </w:pPr>
      <w:bookmarkStart w:id="6" w:name="_Toc15396598"/>
      <w:bookmarkStart w:id="7" w:name="_Toc15377426"/>
      <w:bookmarkStart w:id="8" w:name="_Toc15396476"/>
      <w:bookmarkStart w:id="9" w:name="_Toc15378442"/>
      <w:bookmarkStart w:id="10" w:name="_Toc15377194"/>
      <w:r>
        <w:rPr>
          <w:rFonts w:hint="eastAsia" w:ascii="方正小标宋简体" w:hAnsi="方正小标宋简体" w:eastAsia="方正小标宋简体" w:cs="方正小标宋简体"/>
          <w:kern w:val="2"/>
          <w:sz w:val="44"/>
          <w:szCs w:val="44"/>
        </w:rPr>
        <w:t>2024</w:t>
      </w:r>
      <w:r>
        <w:rPr>
          <w:rFonts w:hint="eastAsia" w:ascii="Times New Roman" w:eastAsia="方正小标宋简体"/>
          <w:kern w:val="2"/>
          <w:sz w:val="44"/>
          <w:szCs w:val="44"/>
        </w:rPr>
        <w:t>年度</w:t>
      </w:r>
      <w:bookmarkEnd w:id="5"/>
      <w:bookmarkStart w:id="11" w:name="_Toc15306268"/>
      <w:r>
        <w:rPr>
          <w:rFonts w:hint="eastAsia" w:ascii="Times New Roman" w:eastAsia="方正小标宋简体"/>
          <w:kern w:val="2"/>
          <w:sz w:val="44"/>
          <w:szCs w:val="44"/>
        </w:rPr>
        <w:t>阿坝</w:t>
      </w:r>
      <w:r>
        <w:rPr>
          <w:rFonts w:hint="eastAsia" w:ascii="Times New Roman" w:eastAsia="方正小标宋简体"/>
          <w:kern w:val="2"/>
          <w:sz w:val="44"/>
          <w:szCs w:val="44"/>
          <w:lang w:eastAsia="zh-CN"/>
        </w:rPr>
        <w:t>藏族羌族自治</w:t>
      </w:r>
      <w:r>
        <w:rPr>
          <w:rFonts w:hint="eastAsia" w:ascii="Times New Roman" w:eastAsia="方正小标宋简体"/>
          <w:kern w:val="2"/>
          <w:sz w:val="44"/>
          <w:szCs w:val="44"/>
        </w:rPr>
        <w:t>州公路</w:t>
      </w:r>
      <w:r>
        <w:rPr>
          <w:rFonts w:hint="eastAsia" w:ascii="Times New Roman" w:eastAsia="方正小标宋简体"/>
          <w:kern w:val="2"/>
          <w:sz w:val="44"/>
          <w:szCs w:val="44"/>
          <w:lang w:eastAsia="zh-CN"/>
        </w:rPr>
        <w:t>管理</w:t>
      </w:r>
      <w:r>
        <w:rPr>
          <w:rFonts w:hint="eastAsia" w:ascii="Times New Roman" w:eastAsia="方正小标宋简体"/>
          <w:kern w:val="2"/>
          <w:sz w:val="44"/>
          <w:szCs w:val="44"/>
        </w:rPr>
        <w:t>局</w:t>
      </w:r>
      <w:bookmarkStart w:id="99" w:name="_GoBack"/>
      <w:bookmarkEnd w:id="99"/>
      <w:r>
        <w:rPr>
          <w:rFonts w:hint="eastAsia" w:ascii="Times New Roman" w:eastAsia="方正小标宋简体"/>
          <w:kern w:val="2"/>
          <w:sz w:val="44"/>
          <w:szCs w:val="44"/>
        </w:rPr>
        <w:t>部门决算</w:t>
      </w:r>
      <w:bookmarkEnd w:id="6"/>
      <w:bookmarkEnd w:id="7"/>
      <w:bookmarkEnd w:id="8"/>
      <w:bookmarkEnd w:id="9"/>
      <w:bookmarkEnd w:id="10"/>
      <w:bookmarkEnd w:id="11"/>
      <w:r>
        <w:rPr>
          <w:rFonts w:hint="eastAsia" w:ascii="Times New Roman" w:eastAsia="方正小标宋简体"/>
          <w:kern w:val="2"/>
          <w:sz w:val="44"/>
          <w:szCs w:val="44"/>
          <w:lang w:val="en-US" w:eastAsia="zh-CN"/>
        </w:rPr>
        <w:t>公开</w:t>
      </w:r>
    </w:p>
    <w:p>
      <w:pPr>
        <w:widowControl/>
        <w:jc w:val="center"/>
        <w:rPr>
          <w:rFonts w:eastAsia="黑体"/>
          <w:sz w:val="48"/>
          <w:szCs w:val="48"/>
        </w:rPr>
      </w:pPr>
      <w:r>
        <w:rPr>
          <w:rFonts w:eastAsia="方正小标宋简体"/>
          <w:sz w:val="36"/>
          <w:szCs w:val="36"/>
        </w:rPr>
        <w:br w:type="page"/>
      </w:r>
      <w:r>
        <w:rPr>
          <w:rFonts w:hint="eastAsia" w:eastAsia="黑体"/>
          <w:sz w:val="48"/>
          <w:szCs w:val="48"/>
        </w:rPr>
        <w:t>目录</w:t>
      </w:r>
    </w:p>
    <w:p>
      <w:pPr>
        <w:widowControl/>
        <w:jc w:val="center"/>
        <w:rPr>
          <w:rFonts w:eastAsia="黑体" w:cstheme="minorBidi"/>
          <w:sz w:val="28"/>
          <w:szCs w:val="28"/>
        </w:rPr>
      </w:pPr>
    </w:p>
    <w:p>
      <w:pPr>
        <w:pStyle w:val="13"/>
        <w:rPr>
          <w:rFonts w:ascii="Times New Roman" w:hAnsi="Times New Roman" w:eastAsia="仿宋_GB2312" w:cs="仿宋_GB2312"/>
          <w:sz w:val="32"/>
          <w:szCs w:val="32"/>
        </w:rPr>
      </w:pPr>
      <w:r>
        <w:rPr>
          <w:rFonts w:hint="eastAsia" w:ascii="Times New Roman" w:hAnsi="Times New Roman" w:eastAsia="仿宋_GB2312" w:cs="仿宋_GB2312"/>
          <w:sz w:val="32"/>
          <w:szCs w:val="32"/>
        </w:rPr>
        <w:t>公开时间：202</w:t>
      </w:r>
      <w:r>
        <w:rPr>
          <w:rFonts w:hint="eastAsia" w:ascii="Times New Roman" w:hAnsi="Times New Roman" w:eastAsia="仿宋_GB2312" w:cs="仿宋_GB2312"/>
          <w:sz w:val="32"/>
          <w:szCs w:val="32"/>
          <w:lang w:val="en-US" w:eastAsia="zh-CN"/>
        </w:rPr>
        <w:t>5</w:t>
      </w:r>
      <w:r>
        <w:rPr>
          <w:rFonts w:hint="eastAsia" w:ascii="Times New Roman" w:hAnsi="Times New Roman" w:eastAsia="仿宋_GB2312" w:cs="仿宋_GB2312"/>
          <w:sz w:val="32"/>
          <w:szCs w:val="32"/>
        </w:rPr>
        <w:t>年</w:t>
      </w:r>
      <w:r>
        <w:rPr>
          <w:rFonts w:hint="eastAsia" w:ascii="Times New Roman" w:hAnsi="Times New Roman" w:eastAsia="仿宋_GB2312" w:cs="仿宋_GB2312"/>
          <w:sz w:val="32"/>
          <w:szCs w:val="32"/>
          <w:lang w:val="en-US" w:eastAsia="zh-CN"/>
        </w:rPr>
        <w:t>9</w:t>
      </w:r>
      <w:r>
        <w:rPr>
          <w:rFonts w:hint="eastAsia" w:ascii="Times New Roman" w:hAnsi="Times New Roman" w:eastAsia="仿宋_GB2312" w:cs="仿宋_GB2312"/>
          <w:sz w:val="32"/>
          <w:szCs w:val="32"/>
        </w:rPr>
        <w:t>月</w:t>
      </w:r>
      <w:r>
        <w:rPr>
          <w:rFonts w:hint="eastAsia" w:ascii="Times New Roman" w:hAnsi="Times New Roman" w:eastAsia="仿宋_GB2312" w:cs="仿宋_GB2312"/>
          <w:sz w:val="32"/>
          <w:szCs w:val="32"/>
          <w:lang w:val="en-US" w:eastAsia="zh-CN"/>
        </w:rPr>
        <w:t>21</w:t>
      </w:r>
      <w:r>
        <w:rPr>
          <w:rFonts w:hint="eastAsia" w:ascii="Times New Roman" w:hAnsi="Times New Roman" w:eastAsia="仿宋_GB2312" w:cs="仿宋_GB2312"/>
          <w:sz w:val="32"/>
          <w:szCs w:val="32"/>
        </w:rPr>
        <w:t>日</w:t>
      </w:r>
    </w:p>
    <w:p/>
    <w:sdt>
      <w:sdtPr>
        <w:rPr>
          <w:rFonts w:ascii="宋体" w:hAnsi="宋体" w:eastAsia="宋体" w:cs="Times New Roman"/>
          <w:kern w:val="2"/>
          <w:sz w:val="21"/>
          <w:szCs w:val="24"/>
          <w:lang w:val="en-US" w:eastAsia="zh-CN" w:bidi="ar-SA"/>
        </w:rPr>
        <w:id w:val="147472205"/>
        <w15:color w:val="DBDBDB"/>
        <w:docPartObj>
          <w:docPartGallery w:val="Table of Contents"/>
          <w:docPartUnique/>
        </w:docPartObj>
      </w:sdtPr>
      <w:sdtEndPr>
        <w:rPr>
          <w:rFonts w:ascii="宋体" w:hAnsi="宋体" w:eastAsia="宋体" w:cs="Times New Roman"/>
          <w:kern w:val="2"/>
          <w:sz w:val="21"/>
          <w:szCs w:val="24"/>
          <w:lang w:val="en-US" w:eastAsia="zh-CN" w:bidi="ar-SA"/>
        </w:rPr>
      </w:sdtEndPr>
      <w:sdtContent>
        <w:p>
          <w:pPr>
            <w:spacing w:before="0" w:beforeLines="0" w:after="0" w:afterLines="0" w:line="240" w:lineRule="auto"/>
            <w:ind w:left="0" w:leftChars="0" w:right="0" w:rightChars="0" w:firstLine="0" w:firstLineChars="0"/>
            <w:jc w:val="center"/>
          </w:pPr>
          <w:bookmarkStart w:id="12" w:name="_Toc15396599"/>
          <w:bookmarkStart w:id="13" w:name="_Toc15377196"/>
        </w:p>
        <w:p>
          <w:pPr>
            <w:pStyle w:val="13"/>
            <w:tabs>
              <w:tab w:val="right" w:leader="dot" w:pos="8306"/>
              <w:tab w:val="clear" w:pos="8296"/>
            </w:tabs>
          </w:pPr>
          <w:r>
            <w:fldChar w:fldCharType="begin"/>
          </w:r>
          <w:r>
            <w:instrText xml:space="preserve">TOC \o "1-2" \h \u </w:instrText>
          </w:r>
          <w:r>
            <w:fldChar w:fldCharType="separate"/>
          </w:r>
          <w:r>
            <w:fldChar w:fldCharType="begin"/>
          </w:r>
          <w:r>
            <w:instrText xml:space="preserve"> HYPERLINK \l _Toc7076 </w:instrText>
          </w:r>
          <w:r>
            <w:fldChar w:fldCharType="separate"/>
          </w:r>
          <w:r>
            <w:rPr>
              <w:rFonts w:hint="eastAsia" w:eastAsia="方正小标宋简体" w:cs="方正小标宋简体"/>
            </w:rPr>
            <w:t xml:space="preserve">第一部分  </w:t>
          </w:r>
          <w:r>
            <w:rPr>
              <w:rFonts w:hint="eastAsia" w:eastAsia="方正小标宋简体" w:cs="方正小标宋简体"/>
              <w:bCs w:val="0"/>
            </w:rPr>
            <w:t>部门概况</w:t>
          </w:r>
          <w: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_Toc7076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4</w:t>
          </w:r>
          <w:r>
            <w:rPr>
              <w:rFonts w:hint="eastAsia" w:ascii="仿宋_GB2312" w:hAnsi="仿宋_GB2312" w:eastAsia="仿宋_GB2312" w:cs="仿宋_GB2312"/>
            </w:rPr>
            <w:fldChar w:fldCharType="end"/>
          </w:r>
          <w:r>
            <w:fldChar w:fldCharType="end"/>
          </w:r>
        </w:p>
        <w:p>
          <w:pPr>
            <w:pStyle w:val="15"/>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_Toc2334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lang w:val="en-US" w:eastAsia="zh-CN"/>
            </w:rPr>
            <w:t>一、</w:t>
          </w:r>
          <w:r>
            <w:rPr>
              <w:rFonts w:hint="eastAsia" w:ascii="仿宋_GB2312" w:hAnsi="仿宋_GB2312" w:eastAsia="仿宋_GB2312" w:cs="仿宋_GB2312"/>
              <w:sz w:val="28"/>
              <w:szCs w:val="28"/>
            </w:rPr>
            <w:t>部门职责</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_Toc2334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5"/>
            <w:tabs>
              <w:tab w:val="right" w:leader="dot" w:pos="8306"/>
              <w:tab w:val="clear" w:pos="8296"/>
            </w:tabs>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_Toc32030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二、机</w:t>
          </w:r>
          <w:r>
            <w:rPr>
              <w:rFonts w:hint="eastAsia" w:ascii="仿宋_GB2312" w:hAnsi="仿宋_GB2312" w:eastAsia="仿宋_GB2312" w:cs="仿宋_GB2312"/>
              <w:bCs w:val="0"/>
              <w:sz w:val="28"/>
              <w:szCs w:val="28"/>
            </w:rPr>
            <w:t>构设置</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_Toc32030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3"/>
            <w:tabs>
              <w:tab w:val="right" w:leader="dot" w:pos="8306"/>
              <w:tab w:val="clear" w:pos="8296"/>
            </w:tabs>
          </w:pPr>
          <w:r>
            <w:fldChar w:fldCharType="begin"/>
          </w:r>
          <w:r>
            <w:instrText xml:space="preserve"> HYPERLINK \l _Toc24521 </w:instrText>
          </w:r>
          <w:r>
            <w:fldChar w:fldCharType="separate"/>
          </w:r>
          <w:r>
            <w:rPr>
              <w:rFonts w:hint="eastAsia" w:eastAsia="方正小标宋简体" w:cs="方正小标宋简体"/>
            </w:rPr>
            <w:t xml:space="preserve">第二部分  </w:t>
          </w:r>
          <w:r>
            <w:rPr>
              <w:rFonts w:hint="eastAsia" w:ascii="方正小标宋简体" w:hAnsi="方正小标宋简体" w:eastAsia="方正小标宋简体" w:cs="方正小标宋简体"/>
            </w:rPr>
            <w:t>2024</w:t>
          </w:r>
          <w:r>
            <w:rPr>
              <w:rFonts w:hint="eastAsia" w:eastAsia="方正小标宋简体" w:cs="方正小标宋简体"/>
            </w:rPr>
            <w:t>年度部门决算情况说明</w:t>
          </w:r>
          <w: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_Toc24521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6</w:t>
          </w:r>
          <w:r>
            <w:rPr>
              <w:rFonts w:hint="eastAsia" w:ascii="仿宋_GB2312" w:hAnsi="仿宋_GB2312" w:eastAsia="仿宋_GB2312" w:cs="仿宋_GB2312"/>
            </w:rPr>
            <w:fldChar w:fldCharType="end"/>
          </w:r>
          <w:r>
            <w:fldChar w:fldCharType="end"/>
          </w:r>
        </w:p>
        <w:p>
          <w:pPr>
            <w:pStyle w:val="15"/>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_Toc24567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一、收入支出决算总体情况说明</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_Toc24567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6</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5"/>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_Toc31314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二、收入决算情况说明</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_Toc31314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6</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5"/>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_Toc24640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三、支出决算情况说明</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_Toc24640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7</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5"/>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_Toc15976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四、财政拨款收入支出决算总体情况说明</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_Toc15976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8</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5"/>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_Toc10055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五、一般公共预算财政拨款支出决算情况说明</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_Toc10055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8</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5"/>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_Toc2324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六、一般公共预算财政拨款基本支出决算情况说明</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_Toc2324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11</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5"/>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_Toc23323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七、财政拨款“三公”经费支出决算情况说明</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_Toc23323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12</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5"/>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_Toc22703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八、政府性基金预算支出决算情况说明</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_Toc22703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5"/>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_Toc14126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九、国有资本经营预算支出决算情况说明</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_Toc14126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5"/>
            <w:tabs>
              <w:tab w:val="right" w:leader="dot" w:pos="8306"/>
              <w:tab w:val="clear" w:pos="8296"/>
            </w:tabs>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_Toc16237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十、其他重要事项的情况说明</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_Toc16237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3"/>
            <w:tabs>
              <w:tab w:val="right" w:leader="dot" w:pos="8306"/>
              <w:tab w:val="clear" w:pos="8296"/>
            </w:tabs>
          </w:pPr>
          <w:r>
            <w:fldChar w:fldCharType="begin"/>
          </w:r>
          <w:r>
            <w:instrText xml:space="preserve"> HYPERLINK \l _Toc32554 </w:instrText>
          </w:r>
          <w:r>
            <w:fldChar w:fldCharType="separate"/>
          </w:r>
          <w:r>
            <w:rPr>
              <w:rFonts w:hint="eastAsia" w:ascii="Times New Roman" w:hAnsi="Times New Roman" w:eastAsia="方正小标宋简体" w:cs="方正小标宋简体"/>
            </w:rPr>
            <w:t>第三部分  名词解释</w:t>
          </w:r>
          <w: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_Toc32554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18</w:t>
          </w:r>
          <w:r>
            <w:rPr>
              <w:rFonts w:hint="eastAsia" w:ascii="仿宋_GB2312" w:hAnsi="仿宋_GB2312" w:eastAsia="仿宋_GB2312" w:cs="仿宋_GB2312"/>
            </w:rPr>
            <w:fldChar w:fldCharType="end"/>
          </w:r>
          <w:r>
            <w:fldChar w:fldCharType="end"/>
          </w:r>
        </w:p>
        <w:p>
          <w:pPr>
            <w:pStyle w:val="13"/>
            <w:tabs>
              <w:tab w:val="right" w:leader="dot" w:pos="8306"/>
              <w:tab w:val="clear" w:pos="8296"/>
            </w:tabs>
          </w:pPr>
          <w:r>
            <w:fldChar w:fldCharType="begin"/>
          </w:r>
          <w:r>
            <w:instrText xml:space="preserve"> HYPERLINK \l _Toc11129 </w:instrText>
          </w:r>
          <w:r>
            <w:fldChar w:fldCharType="separate"/>
          </w:r>
          <w:r>
            <w:rPr>
              <w:rFonts w:hint="eastAsia" w:ascii="Times New Roman" w:hAnsi="Times New Roman" w:eastAsia="方正小标宋简体" w:cs="方正小标宋简体"/>
            </w:rPr>
            <w:t>第四部分  附件</w:t>
          </w:r>
          <w: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_Toc11129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21</w:t>
          </w:r>
          <w:r>
            <w:rPr>
              <w:rFonts w:hint="eastAsia" w:ascii="仿宋_GB2312" w:hAnsi="仿宋_GB2312" w:eastAsia="仿宋_GB2312" w:cs="仿宋_GB2312"/>
            </w:rPr>
            <w:fldChar w:fldCharType="end"/>
          </w:r>
          <w:r>
            <w:fldChar w:fldCharType="end"/>
          </w:r>
        </w:p>
        <w:p>
          <w:pPr>
            <w:pStyle w:val="13"/>
            <w:tabs>
              <w:tab w:val="right" w:leader="dot" w:pos="8306"/>
              <w:tab w:val="clear" w:pos="8296"/>
            </w:tabs>
          </w:pPr>
          <w:r>
            <w:fldChar w:fldCharType="begin"/>
          </w:r>
          <w:r>
            <w:instrText xml:space="preserve"> HYPERLINK \l _Toc17705 </w:instrText>
          </w:r>
          <w:r>
            <w:fldChar w:fldCharType="separate"/>
          </w:r>
          <w:r>
            <w:rPr>
              <w:rFonts w:hint="eastAsia" w:ascii="Times New Roman" w:hAnsi="Times New Roman" w:eastAsia="方正小标宋简体" w:cs="方正小标宋简体"/>
              <w:lang w:val="en-US" w:eastAsia="zh-CN"/>
            </w:rPr>
            <w:t>第五部分 附表</w:t>
          </w:r>
          <w: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_Toc17705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144</w:t>
          </w:r>
          <w:r>
            <w:rPr>
              <w:rFonts w:hint="eastAsia" w:ascii="仿宋_GB2312" w:hAnsi="仿宋_GB2312" w:eastAsia="仿宋_GB2312" w:cs="仿宋_GB2312"/>
            </w:rPr>
            <w:fldChar w:fldCharType="end"/>
          </w:r>
          <w:r>
            <w:fldChar w:fldCharType="end"/>
          </w:r>
        </w:p>
        <w:p>
          <w:pPr>
            <w:pStyle w:val="15"/>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_Toc14516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一、收入支出决算总表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_Toc14516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144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5"/>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_Toc1776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二、收入决算表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_Toc1776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144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5"/>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_Toc8591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三、支出决算表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_Toc8591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144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5"/>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_Toc491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四、财政拨款收入支出决算总表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_Toc491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144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5"/>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_Toc20381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五、财政拨款支出决算明细表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_Toc20381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144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5"/>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_Toc23530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六、一般公共预算财政拨款支出决算表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_Toc23530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144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5"/>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_Toc20940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七、一般公共预算财政拨款支出决算明细表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_Toc20940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144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5"/>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_Toc28407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八、一般公共预算财政拨款基本支出决算表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_Toc28407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144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5"/>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_Toc28018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九、一般公共预算财政拨款项目支出决算表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_Toc28018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144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5"/>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_Toc14530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十、政府性基金预算财政拨款收入支出决算表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_Toc14530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144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5"/>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_Toc26751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十一、国有资本经营预算财政拨款收入支出决算表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_Toc26751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144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5"/>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_Toc12909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十二、国有资本经营预算财政拨款支出决算表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_Toc12909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144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5"/>
            <w:tabs>
              <w:tab w:val="right" w:leader="dot" w:pos="8306"/>
              <w:tab w:val="clear" w:pos="8296"/>
            </w:tabs>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_Toc24223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十三、财政拨款“三公”经费支出决算表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_Toc24223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144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r>
            <w:fldChar w:fldCharType="end"/>
          </w:r>
        </w:p>
      </w:sdtContent>
    </w:sdt>
    <w:p/>
    <w:p>
      <w:pPr>
        <w:widowControl/>
        <w:spacing w:line="560" w:lineRule="exact"/>
        <w:jc w:val="left"/>
        <w:rPr>
          <w:rFonts w:eastAsia="仿宋_GB2312" w:cs="仿宋_GB2312"/>
          <w:bCs/>
          <w:kern w:val="44"/>
          <w:sz w:val="32"/>
          <w:szCs w:val="32"/>
        </w:rPr>
      </w:pPr>
      <w:r>
        <w:rPr>
          <w:rFonts w:hint="eastAsia" w:eastAsia="仿宋_GB2312" w:cs="仿宋_GB2312"/>
          <w:b/>
          <w:sz w:val="32"/>
          <w:szCs w:val="32"/>
        </w:rPr>
        <w:br w:type="page"/>
      </w:r>
    </w:p>
    <w:p>
      <w:pPr>
        <w:pStyle w:val="3"/>
        <w:jc w:val="center"/>
        <w:rPr>
          <w:rStyle w:val="30"/>
          <w:rFonts w:eastAsia="方正小标宋简体" w:cs="方正小标宋简体"/>
          <w:b/>
          <w:bCs w:val="0"/>
        </w:rPr>
      </w:pPr>
      <w:bookmarkStart w:id="14" w:name="_Toc7076"/>
      <w:r>
        <w:rPr>
          <w:rFonts w:hint="eastAsia" w:eastAsia="方正小标宋简体" w:cs="方正小标宋简体"/>
          <w:b w:val="0"/>
        </w:rPr>
        <w:t xml:space="preserve">第一部分  </w:t>
      </w:r>
      <w:r>
        <w:rPr>
          <w:rStyle w:val="30"/>
          <w:rFonts w:hint="eastAsia" w:eastAsia="方正小标宋简体" w:cs="方正小标宋简体"/>
          <w:b w:val="0"/>
          <w:bCs w:val="0"/>
        </w:rPr>
        <w:t>部门概况</w:t>
      </w:r>
      <w:bookmarkEnd w:id="12"/>
      <w:bookmarkEnd w:id="13"/>
      <w:bookmarkEnd w:id="14"/>
    </w:p>
    <w:p>
      <w:pPr>
        <w:widowControl/>
        <w:jc w:val="left"/>
        <w:rPr>
          <w:rFonts w:eastAsia="黑体"/>
          <w:sz w:val="32"/>
          <w:szCs w:val="32"/>
        </w:rPr>
      </w:pPr>
    </w:p>
    <w:p>
      <w:pPr>
        <w:pStyle w:val="4"/>
        <w:numPr>
          <w:ilvl w:val="0"/>
          <w:numId w:val="0"/>
        </w:numPr>
        <w:rPr>
          <w:rFonts w:hint="eastAsia" w:ascii="Times New Roman" w:hAnsi="Times New Roman" w:eastAsia="黑体"/>
          <w:b w:val="0"/>
        </w:rPr>
      </w:pPr>
      <w:bookmarkStart w:id="15" w:name="_Toc2334"/>
      <w:r>
        <w:rPr>
          <w:rFonts w:hint="eastAsia" w:ascii="Times New Roman" w:hAnsi="Times New Roman" w:eastAsia="黑体"/>
          <w:b w:val="0"/>
          <w:lang w:val="en-US" w:eastAsia="zh-CN"/>
        </w:rPr>
        <w:t>一、</w:t>
      </w:r>
      <w:r>
        <w:rPr>
          <w:rFonts w:hint="eastAsia" w:ascii="Times New Roman" w:hAnsi="Times New Roman" w:eastAsia="黑体"/>
          <w:b w:val="0"/>
        </w:rPr>
        <w:t>部门职责</w:t>
      </w:r>
      <w:bookmarkEnd w:id="15"/>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eastAsia="仿宋_GB2312" w:cs="仿宋_GB2312"/>
          <w:sz w:val="32"/>
          <w:szCs w:val="32"/>
        </w:rPr>
      </w:pPr>
      <w:r>
        <w:rPr>
          <w:rFonts w:hint="eastAsia" w:eastAsia="仿宋_GB2312" w:cs="仿宋_GB2312"/>
          <w:sz w:val="32"/>
          <w:szCs w:val="32"/>
        </w:rPr>
        <w:t>根据阿坝州编委阿编发〔1994〕02号文批准成立阿坝州公路管理局。主要职能职责是：在州交通局的领导下，管理全州国省干线公路，统筹国、省干线公路养护管理，按照上级下达的经费和要求，编制年度实施计划；组织实施公路遭受自然灾害的抢修恢复；指导各公路管理分局的养护管理工作；完成州交通局交办的其他任务。</w:t>
      </w:r>
    </w:p>
    <w:p>
      <w:pPr>
        <w:pStyle w:val="4"/>
        <w:rPr>
          <w:rStyle w:val="31"/>
          <w:rFonts w:ascii="Times New Roman" w:hAnsi="Times New Roman"/>
          <w:b w:val="0"/>
          <w:bCs w:val="0"/>
        </w:rPr>
      </w:pPr>
      <w:bookmarkStart w:id="16" w:name="_Toc15377200"/>
      <w:bookmarkStart w:id="17" w:name="_Toc15396601"/>
      <w:bookmarkStart w:id="18" w:name="_Toc32030"/>
      <w:r>
        <w:rPr>
          <w:rFonts w:hint="eastAsia" w:ascii="Times New Roman" w:hAnsi="Times New Roman" w:eastAsia="黑体"/>
          <w:b w:val="0"/>
        </w:rPr>
        <w:t>二、机</w:t>
      </w:r>
      <w:r>
        <w:rPr>
          <w:rStyle w:val="31"/>
          <w:rFonts w:hint="eastAsia" w:ascii="Times New Roman" w:hAnsi="Times New Roman" w:eastAsia="黑体"/>
          <w:b w:val="0"/>
          <w:bCs w:val="0"/>
        </w:rPr>
        <w:t>构设置</w:t>
      </w:r>
      <w:bookmarkEnd w:id="16"/>
      <w:bookmarkEnd w:id="17"/>
      <w:bookmarkEnd w:id="18"/>
    </w:p>
    <w:p>
      <w:pPr>
        <w:keepNext w:val="0"/>
        <w:keepLines w:val="0"/>
        <w:pageBreakBefore w:val="0"/>
        <w:widowControl/>
        <w:kinsoku/>
        <w:wordWrap/>
        <w:overflowPunct/>
        <w:topLinePunct w:val="0"/>
        <w:autoSpaceDE/>
        <w:autoSpaceDN/>
        <w:bidi w:val="0"/>
        <w:adjustRightInd/>
        <w:snapToGrid/>
        <w:ind w:firstLine="640" w:firstLineChars="200"/>
        <w:jc w:val="left"/>
        <w:textAlignment w:val="auto"/>
        <w:rPr>
          <w:rFonts w:hint="eastAsia"/>
        </w:rPr>
      </w:pPr>
      <w:r>
        <w:rPr>
          <w:rFonts w:hint="eastAsia" w:ascii="仿宋_GB2312" w:hAnsi="仿宋_GB2312" w:eastAsia="仿宋_GB2312" w:cs="仿宋_GB2312"/>
          <w:sz w:val="32"/>
          <w:szCs w:val="32"/>
        </w:rPr>
        <w:t>根据阿坝藏族羌族自治州机构编制委员会阿编发〔1994〕22号、阿编发〔2007〕17号、18号文件和阿编发〔2011〕74号批准。</w:t>
      </w:r>
      <w:r>
        <w:rPr>
          <w:rFonts w:hint="eastAsia" w:ascii="仿宋_GB2312" w:hAnsi="仿宋_GB2312" w:eastAsia="仿宋_GB2312" w:cs="仿宋_GB2312"/>
          <w:sz w:val="32"/>
          <w:szCs w:val="32"/>
          <w:lang w:eastAsia="zh-CN"/>
        </w:rPr>
        <w:t>下</w:t>
      </w:r>
      <w:r>
        <w:rPr>
          <w:rFonts w:hint="eastAsia" w:ascii="仿宋_GB2312" w:hAnsi="仿宋_GB2312" w:eastAsia="仿宋_GB2312" w:cs="仿宋_GB2312"/>
          <w:sz w:val="32"/>
          <w:szCs w:val="32"/>
        </w:rPr>
        <w:t>辖隧道管理</w:t>
      </w:r>
      <w:r>
        <w:rPr>
          <w:rFonts w:hint="eastAsia" w:ascii="仿宋_GB2312" w:hAnsi="仿宋_GB2312" w:eastAsia="仿宋_GB2312" w:cs="仿宋_GB2312"/>
          <w:sz w:val="32"/>
          <w:szCs w:val="32"/>
          <w:lang w:eastAsia="zh-CN"/>
        </w:rPr>
        <w:t>处、</w:t>
      </w:r>
      <w:r>
        <w:rPr>
          <w:rFonts w:hint="eastAsia" w:ascii="仿宋_GB2312" w:hAnsi="仿宋_GB2312" w:eastAsia="仿宋_GB2312" w:cs="仿宋_GB2312"/>
          <w:sz w:val="32"/>
          <w:szCs w:val="32"/>
        </w:rPr>
        <w:t>14个公路管理分局（汶川公路管理分局、理县公路管理分局、茂县公路管理分局、松潘公路管理分局、九寨沟公路管理分局、黑水公路管理分局、金川公路管理分局、马尔康公路管理分局、小金公路管理分局、阿坝公路管理分局、若尔盖公路管理分局、红原公路管理分局、壤塘公路管理分局、刷经寺公路管理分局）</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1个</w:t>
      </w:r>
      <w:r>
        <w:rPr>
          <w:rFonts w:hint="eastAsia" w:ascii="仿宋_GB2312" w:hAnsi="仿宋_GB2312" w:eastAsia="仿宋_GB2312" w:cs="仿宋_GB2312"/>
          <w:sz w:val="32"/>
          <w:szCs w:val="32"/>
        </w:rPr>
        <w:t>干休所</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1个</w:t>
      </w:r>
      <w:r>
        <w:rPr>
          <w:rFonts w:hint="eastAsia" w:ascii="仿宋_GB2312" w:hAnsi="仿宋_GB2312" w:eastAsia="仿宋_GB2312" w:cs="仿宋_GB2312"/>
          <w:sz w:val="32"/>
          <w:szCs w:val="32"/>
        </w:rPr>
        <w:t>机具站并实行垂直管理</w:t>
      </w:r>
      <w:bookmarkStart w:id="19" w:name="_Toc15396602"/>
      <w:bookmarkStart w:id="20" w:name="_Toc15377204"/>
      <w:r>
        <w:rPr>
          <w:rFonts w:hint="eastAsia" w:ascii="仿宋_GB2312" w:hAnsi="仿宋_GB2312" w:eastAsia="仿宋_GB2312" w:cs="仿宋_GB2312"/>
          <w:sz w:val="32"/>
          <w:szCs w:val="32"/>
          <w:lang w:eastAsia="zh-CN"/>
        </w:rPr>
        <w:t>。</w:t>
      </w:r>
    </w:p>
    <w:p>
      <w:pPr>
        <w:pStyle w:val="3"/>
        <w:spacing w:before="0" w:after="0" w:line="240" w:lineRule="auto"/>
        <w:jc w:val="center"/>
        <w:rPr>
          <w:rFonts w:eastAsia="方正小标宋简体" w:cs="方正小标宋简体"/>
          <w:b w:val="0"/>
        </w:rPr>
      </w:pPr>
      <w:bookmarkStart w:id="21" w:name="_Toc24521"/>
      <w:r>
        <w:rPr>
          <w:rFonts w:hint="eastAsia" w:eastAsia="方正小标宋简体" w:cs="方正小标宋简体"/>
          <w:b w:val="0"/>
        </w:rPr>
        <w:t xml:space="preserve">第二部分  </w:t>
      </w:r>
      <w:r>
        <w:rPr>
          <w:rFonts w:hint="eastAsia" w:ascii="方正小标宋简体" w:hAnsi="方正小标宋简体" w:eastAsia="方正小标宋简体" w:cs="方正小标宋简体"/>
          <w:b w:val="0"/>
        </w:rPr>
        <w:t>2024</w:t>
      </w:r>
      <w:r>
        <w:rPr>
          <w:rFonts w:hint="eastAsia" w:eastAsia="方正小标宋简体" w:cs="方正小标宋简体"/>
          <w:b w:val="0"/>
        </w:rPr>
        <w:t>年度部门决算情况说明</w:t>
      </w:r>
      <w:bookmarkEnd w:id="19"/>
      <w:bookmarkEnd w:id="20"/>
      <w:bookmarkEnd w:id="21"/>
    </w:p>
    <w:p/>
    <w:p>
      <w:pPr>
        <w:pStyle w:val="6"/>
      </w:pPr>
    </w:p>
    <w:p>
      <w:pPr>
        <w:pStyle w:val="29"/>
        <w:spacing w:line="600" w:lineRule="exact"/>
        <w:ind w:firstLine="640"/>
        <w:outlineLvl w:val="1"/>
        <w:rPr>
          <w:rStyle w:val="31"/>
          <w:rFonts w:ascii="Times New Roman" w:hAnsi="Times New Roman" w:eastAsia="黑体"/>
          <w:b w:val="0"/>
        </w:rPr>
      </w:pPr>
      <w:bookmarkStart w:id="22" w:name="_Toc15377205"/>
      <w:bookmarkStart w:id="23" w:name="_Toc24567"/>
      <w:bookmarkStart w:id="24" w:name="_Toc15396603"/>
      <w:r>
        <w:rPr>
          <w:rFonts w:hint="eastAsia" w:eastAsia="黑体"/>
          <w:sz w:val="32"/>
          <w:szCs w:val="32"/>
        </w:rPr>
        <w:t>一、收</w:t>
      </w:r>
      <w:r>
        <w:rPr>
          <w:rStyle w:val="31"/>
          <w:rFonts w:hint="eastAsia" w:ascii="Times New Roman" w:hAnsi="Times New Roman" w:eastAsia="黑体"/>
          <w:b w:val="0"/>
        </w:rPr>
        <w:t>入支出决算总体情况说明</w:t>
      </w:r>
      <w:bookmarkEnd w:id="22"/>
      <w:bookmarkEnd w:id="23"/>
      <w:bookmarkEnd w:id="24"/>
    </w:p>
    <w:p>
      <w:pPr>
        <w:pStyle w:val="6"/>
        <w:bidi w:val="0"/>
        <w:ind w:firstLine="640" w:firstLineChars="200"/>
        <w:rPr>
          <w:rFonts w:hint="default"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2024年度收入、支出总计94,641.96万元。与2023年度相比，收入、支出总计增加3,580.57万元，增长3.9%。主要变动原因是本年度项目及公用经费增加，收入支出增加。</w:t>
      </w:r>
    </w:p>
    <w:p>
      <w:pPr>
        <w:pStyle w:val="6"/>
        <w:bidi w:val="0"/>
        <w:jc w:val="center"/>
        <w:rPr>
          <w:rFonts w:hint="eastAsia" w:eastAsia="仿宋_GB2312" w:cs="仿宋_GB2312"/>
          <w:sz w:val="32"/>
          <w:szCs w:val="32"/>
        </w:rPr>
      </w:pPr>
      <w:r>
        <w:drawing>
          <wp:inline distT="0" distB="0" distL="114300" distR="114300">
            <wp:extent cx="5309870" cy="3402965"/>
            <wp:effectExtent l="4445" t="4445" r="19685" b="21590"/>
            <wp:docPr id="25162"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pPr>
        <w:ind w:firstLine="640" w:firstLineChars="200"/>
        <w:jc w:val="center"/>
        <w:rPr>
          <w:rFonts w:eastAsia="仿宋_GB2312" w:cs="仿宋_GB2312"/>
          <w:sz w:val="32"/>
          <w:szCs w:val="32"/>
        </w:rPr>
      </w:pPr>
      <w:r>
        <w:rPr>
          <w:rFonts w:hint="eastAsia" w:eastAsia="仿宋_GB2312" w:cs="仿宋_GB2312"/>
          <w:sz w:val="32"/>
          <w:szCs w:val="32"/>
        </w:rPr>
        <w:t>（图1：收入、支出决算总计变动情况图）</w:t>
      </w:r>
    </w:p>
    <w:p>
      <w:pPr>
        <w:pStyle w:val="29"/>
        <w:spacing w:line="600" w:lineRule="exact"/>
        <w:ind w:firstLine="640"/>
        <w:outlineLvl w:val="1"/>
        <w:rPr>
          <w:rFonts w:eastAsia="黑体"/>
          <w:sz w:val="32"/>
          <w:szCs w:val="32"/>
        </w:rPr>
      </w:pPr>
      <w:bookmarkStart w:id="25" w:name="_Toc15396604"/>
      <w:bookmarkStart w:id="26" w:name="_Toc15377206"/>
      <w:bookmarkStart w:id="27" w:name="_Toc31314"/>
      <w:r>
        <w:rPr>
          <w:rFonts w:hint="eastAsia" w:eastAsia="黑体"/>
          <w:sz w:val="32"/>
          <w:szCs w:val="32"/>
        </w:rPr>
        <w:t>二、收入决算情况说明</w:t>
      </w:r>
      <w:bookmarkEnd w:id="25"/>
      <w:bookmarkEnd w:id="26"/>
      <w:bookmarkEnd w:id="27"/>
    </w:p>
    <w:p>
      <w:pPr>
        <w:pStyle w:val="6"/>
        <w:bidi w:val="0"/>
        <w:ind w:firstLine="640" w:firstLineChars="20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2024年度本年收入合计94,488.58万元，其中：一般公共预算财政拨款收入94,440.62万元，占99.9%；</w:t>
      </w:r>
      <w:r>
        <w:rPr>
          <w:rFonts w:hint="eastAsia" w:ascii="Times New Roman" w:cs="仿宋_GB2312"/>
          <w:kern w:val="2"/>
          <w:sz w:val="32"/>
          <w:szCs w:val="32"/>
          <w:lang w:val="en-US" w:eastAsia="zh-CN" w:bidi="ar-SA"/>
        </w:rPr>
        <w:t>其</w:t>
      </w:r>
      <w:r>
        <w:rPr>
          <w:rFonts w:hint="eastAsia" w:ascii="Times New Roman" w:hAnsi="Times New Roman" w:eastAsia="仿宋_GB2312" w:cs="仿宋_GB2312"/>
          <w:kern w:val="2"/>
          <w:sz w:val="32"/>
          <w:szCs w:val="32"/>
          <w:lang w:val="en-US" w:eastAsia="zh-CN" w:bidi="ar-SA"/>
        </w:rPr>
        <w:t>他收入47.95万元，占0.1%。</w:t>
      </w:r>
    </w:p>
    <w:p>
      <w:pPr>
        <w:pStyle w:val="6"/>
        <w:bidi w:val="0"/>
        <w:rPr>
          <w:rFonts w:hint="eastAsia"/>
        </w:rPr>
      </w:pPr>
      <w:r>
        <w:drawing>
          <wp:anchor distT="0" distB="0" distL="114300" distR="114300" simplePos="0" relativeHeight="251669504" behindDoc="0" locked="0" layoutInCell="1" allowOverlap="1">
            <wp:simplePos x="0" y="0"/>
            <wp:positionH relativeFrom="column">
              <wp:posOffset>319405</wp:posOffset>
            </wp:positionH>
            <wp:positionV relativeFrom="paragraph">
              <wp:posOffset>144780</wp:posOffset>
            </wp:positionV>
            <wp:extent cx="4630420" cy="3030855"/>
            <wp:effectExtent l="4445" t="5080" r="13335" b="12065"/>
            <wp:wrapNone/>
            <wp:docPr id="2516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anchor>
        </w:drawing>
      </w:r>
    </w:p>
    <w:p>
      <w:pPr>
        <w:pStyle w:val="6"/>
        <w:bidi w:val="0"/>
        <w:rPr>
          <w:rFonts w:hint="eastAsia"/>
        </w:rPr>
      </w:pPr>
    </w:p>
    <w:p>
      <w:pPr>
        <w:pStyle w:val="6"/>
        <w:bidi w:val="0"/>
        <w:rPr>
          <w:rFonts w:hint="eastAsia"/>
        </w:rPr>
      </w:pPr>
    </w:p>
    <w:p>
      <w:pPr>
        <w:pStyle w:val="6"/>
        <w:bidi w:val="0"/>
        <w:rPr>
          <w:rFonts w:hint="eastAsia"/>
        </w:rPr>
      </w:pPr>
    </w:p>
    <w:p>
      <w:pPr>
        <w:pStyle w:val="6"/>
        <w:bidi w:val="0"/>
        <w:rPr>
          <w:rFonts w:hint="eastAsia"/>
        </w:rPr>
      </w:pPr>
    </w:p>
    <w:p>
      <w:pPr>
        <w:pStyle w:val="6"/>
        <w:bidi w:val="0"/>
        <w:rPr>
          <w:rFonts w:hint="eastAsia"/>
        </w:rPr>
      </w:pPr>
    </w:p>
    <w:p>
      <w:pPr>
        <w:pStyle w:val="6"/>
        <w:bidi w:val="0"/>
        <w:rPr>
          <w:rFonts w:hint="eastAsia"/>
        </w:rPr>
      </w:pPr>
    </w:p>
    <w:p>
      <w:pPr>
        <w:ind w:firstLine="800" w:firstLineChars="250"/>
        <w:jc w:val="center"/>
        <w:rPr>
          <w:rFonts w:eastAsia="仿宋_GB2312" w:cs="仿宋_GB2312"/>
          <w:sz w:val="32"/>
          <w:szCs w:val="32"/>
        </w:rPr>
      </w:pPr>
      <w:r>
        <w:rPr>
          <w:rFonts w:hint="eastAsia" w:eastAsia="仿宋_GB2312" w:cs="仿宋_GB2312"/>
          <w:sz w:val="32"/>
          <w:szCs w:val="32"/>
        </w:rPr>
        <w:t>（图2：收入决算结构图）</w:t>
      </w:r>
    </w:p>
    <w:p>
      <w:pPr>
        <w:pStyle w:val="29"/>
        <w:spacing w:line="600" w:lineRule="exact"/>
        <w:ind w:firstLine="640"/>
        <w:outlineLvl w:val="1"/>
        <w:rPr>
          <w:rStyle w:val="31"/>
          <w:rFonts w:ascii="Times New Roman" w:hAnsi="Times New Roman" w:eastAsia="黑体"/>
          <w:b w:val="0"/>
        </w:rPr>
      </w:pPr>
      <w:bookmarkStart w:id="28" w:name="_Toc24640"/>
      <w:bookmarkStart w:id="29" w:name="_Toc15377207"/>
      <w:bookmarkStart w:id="30" w:name="_Toc15396605"/>
      <w:r>
        <w:rPr>
          <w:rFonts w:hint="eastAsia" w:eastAsia="黑体"/>
          <w:sz w:val="32"/>
          <w:szCs w:val="32"/>
        </w:rPr>
        <w:t>三、支</w:t>
      </w:r>
      <w:r>
        <w:rPr>
          <w:rStyle w:val="31"/>
          <w:rFonts w:hint="eastAsia" w:ascii="Times New Roman" w:hAnsi="Times New Roman" w:eastAsia="黑体"/>
          <w:b w:val="0"/>
        </w:rPr>
        <w:t>出决算情况说明</w:t>
      </w:r>
      <w:bookmarkEnd w:id="28"/>
      <w:bookmarkEnd w:id="29"/>
      <w:bookmarkEnd w:id="30"/>
    </w:p>
    <w:p>
      <w:pPr>
        <w:pStyle w:val="6"/>
        <w:bidi w:val="0"/>
        <w:ind w:firstLine="640" w:firstLineChars="20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2024年度本年支出合计94,480.19万元，其中：基本支出44,596.38万元，占47.2%；项目支出49,883.81万元，占52.8%。</w:t>
      </w:r>
    </w:p>
    <w:p>
      <w:pPr>
        <w:pStyle w:val="6"/>
        <w:bidi w:val="0"/>
        <w:rPr>
          <w:rFonts w:hint="eastAsia"/>
        </w:rPr>
      </w:pPr>
      <w:r>
        <w:drawing>
          <wp:anchor distT="0" distB="0" distL="114300" distR="114300" simplePos="0" relativeHeight="251670528" behindDoc="0" locked="0" layoutInCell="1" allowOverlap="1">
            <wp:simplePos x="0" y="0"/>
            <wp:positionH relativeFrom="column">
              <wp:posOffset>423545</wp:posOffset>
            </wp:positionH>
            <wp:positionV relativeFrom="paragraph">
              <wp:posOffset>33020</wp:posOffset>
            </wp:positionV>
            <wp:extent cx="4638040" cy="3039745"/>
            <wp:effectExtent l="4445" t="4445" r="5715" b="22860"/>
            <wp:wrapNone/>
            <wp:docPr id="25170"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anchor>
        </w:drawing>
      </w:r>
    </w:p>
    <w:p>
      <w:pPr>
        <w:pStyle w:val="6"/>
        <w:bidi w:val="0"/>
        <w:rPr>
          <w:rFonts w:hint="eastAsia"/>
        </w:rPr>
      </w:pPr>
    </w:p>
    <w:p>
      <w:pPr>
        <w:pStyle w:val="6"/>
        <w:bidi w:val="0"/>
        <w:rPr>
          <w:rFonts w:hint="eastAsia"/>
        </w:rPr>
      </w:pPr>
    </w:p>
    <w:p>
      <w:pPr>
        <w:pStyle w:val="6"/>
        <w:bidi w:val="0"/>
        <w:rPr>
          <w:rFonts w:hint="eastAsia"/>
        </w:rPr>
      </w:pPr>
    </w:p>
    <w:p>
      <w:pPr>
        <w:pStyle w:val="6"/>
        <w:bidi w:val="0"/>
        <w:rPr>
          <w:rFonts w:hint="eastAsia"/>
        </w:rPr>
      </w:pPr>
    </w:p>
    <w:p>
      <w:pPr>
        <w:pStyle w:val="6"/>
        <w:bidi w:val="0"/>
        <w:rPr>
          <w:rFonts w:hint="eastAsia"/>
        </w:rPr>
      </w:pPr>
    </w:p>
    <w:p>
      <w:pPr>
        <w:pStyle w:val="6"/>
        <w:bidi w:val="0"/>
        <w:rPr>
          <w:rFonts w:hint="eastAsia"/>
        </w:rPr>
      </w:pPr>
    </w:p>
    <w:p>
      <w:pPr>
        <w:jc w:val="center"/>
      </w:pPr>
      <w:r>
        <w:rPr>
          <w:rFonts w:hint="eastAsia" w:eastAsia="仿宋_GB2312" w:cs="仿宋_GB2312"/>
          <w:sz w:val="32"/>
          <w:szCs w:val="32"/>
        </w:rPr>
        <w:t>（图3：支出决算结构图）</w:t>
      </w:r>
    </w:p>
    <w:p>
      <w:pPr>
        <w:spacing w:line="600" w:lineRule="exact"/>
        <w:ind w:firstLine="640" w:firstLineChars="200"/>
        <w:outlineLvl w:val="1"/>
        <w:rPr>
          <w:rStyle w:val="31"/>
          <w:rFonts w:ascii="Times New Roman" w:hAnsi="Times New Roman" w:eastAsia="黑体"/>
          <w:b w:val="0"/>
        </w:rPr>
      </w:pPr>
      <w:bookmarkStart w:id="31" w:name="_Toc15396606"/>
      <w:bookmarkStart w:id="32" w:name="_Toc15377208"/>
      <w:bookmarkStart w:id="33" w:name="_Toc15976"/>
      <w:r>
        <w:rPr>
          <w:rFonts w:hint="eastAsia" w:eastAsia="黑体"/>
          <w:sz w:val="32"/>
          <w:szCs w:val="32"/>
        </w:rPr>
        <w:t>四、财</w:t>
      </w:r>
      <w:r>
        <w:rPr>
          <w:rStyle w:val="31"/>
          <w:rFonts w:hint="eastAsia" w:ascii="Times New Roman" w:hAnsi="Times New Roman" w:eastAsia="黑体"/>
          <w:b w:val="0"/>
        </w:rPr>
        <w:t>政拨款收入支出决算总体情况说明</w:t>
      </w:r>
      <w:bookmarkEnd w:id="31"/>
      <w:bookmarkEnd w:id="32"/>
      <w:bookmarkEnd w:id="33"/>
    </w:p>
    <w:p>
      <w:pPr>
        <w:spacing w:line="600" w:lineRule="exact"/>
        <w:ind w:firstLine="640"/>
        <w:rPr>
          <w:rFonts w:hint="eastAsia" w:eastAsia="仿宋_GB2312" w:cs="仿宋_GB2312"/>
          <w:sz w:val="32"/>
          <w:szCs w:val="32"/>
        </w:rPr>
      </w:pPr>
      <w:r>
        <w:rPr>
          <w:rFonts w:hint="eastAsia" w:ascii="Times New Roman" w:hAnsi="Times New Roman" w:eastAsia="仿宋_GB2312" w:cs="仿宋_GB2312"/>
          <w:kern w:val="2"/>
          <w:sz w:val="32"/>
          <w:szCs w:val="32"/>
          <w:lang w:val="en-US" w:eastAsia="zh-CN" w:bidi="ar-SA"/>
        </w:rPr>
        <w:t>2024</w:t>
      </w:r>
      <w:r>
        <w:rPr>
          <w:rFonts w:hint="eastAsia" w:eastAsia="仿宋_GB2312" w:cs="仿宋_GB2312"/>
          <w:sz w:val="32"/>
          <w:szCs w:val="32"/>
        </w:rPr>
        <w:t>年度财政拨款收入、支出总计均为94,582.73万元。与2023年度相比，财政拨款收入总计、支出总计各增加</w:t>
      </w:r>
      <w:r>
        <w:rPr>
          <w:rFonts w:hint="eastAsia" w:ascii="Times New Roman" w:hAnsi="Times New Roman" w:eastAsia="仿宋_GB2312" w:cs="仿宋_GB2312"/>
          <w:kern w:val="2"/>
          <w:sz w:val="32"/>
          <w:szCs w:val="32"/>
          <w:lang w:val="en-US" w:eastAsia="zh-CN" w:bidi="ar-SA"/>
        </w:rPr>
        <w:t>3,532.61</w:t>
      </w:r>
      <w:r>
        <w:rPr>
          <w:rFonts w:hint="eastAsia" w:eastAsia="仿宋_GB2312" w:cs="仿宋_GB2312"/>
          <w:sz w:val="32"/>
          <w:szCs w:val="32"/>
        </w:rPr>
        <w:t>万元，增长</w:t>
      </w:r>
      <w:r>
        <w:rPr>
          <w:rFonts w:hint="eastAsia" w:ascii="Times New Roman" w:hAnsi="Times New Roman" w:eastAsia="仿宋_GB2312" w:cs="仿宋_GB2312"/>
          <w:kern w:val="2"/>
          <w:sz w:val="32"/>
          <w:szCs w:val="32"/>
          <w:lang w:val="en-US" w:eastAsia="zh-CN" w:bidi="ar-SA"/>
        </w:rPr>
        <w:t>3.9</w:t>
      </w:r>
      <w:r>
        <w:rPr>
          <w:rFonts w:hint="eastAsia" w:eastAsia="仿宋_GB2312" w:cs="仿宋_GB2312"/>
          <w:sz w:val="32"/>
          <w:szCs w:val="32"/>
        </w:rPr>
        <w:t>%。主要变动原因是本年度项目及公用经费增加，收入支出增加。</w:t>
      </w:r>
    </w:p>
    <w:p>
      <w:pPr>
        <w:jc w:val="center"/>
        <w:rPr>
          <w:rFonts w:hint="eastAsia"/>
        </w:rPr>
      </w:pPr>
      <w:r>
        <w:drawing>
          <wp:inline distT="0" distB="0" distL="114300" distR="114300">
            <wp:extent cx="4975225" cy="3179445"/>
            <wp:effectExtent l="0" t="0" r="15875" b="1905"/>
            <wp:docPr id="25171"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pPr>
        <w:jc w:val="center"/>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（图4：财政拨款收、支决算总计变动情况）</w:t>
      </w:r>
      <w:bookmarkStart w:id="34" w:name="_Toc15377209"/>
      <w:bookmarkStart w:id="35" w:name="_Toc15396607"/>
    </w:p>
    <w:p>
      <w:pPr>
        <w:spacing w:line="600" w:lineRule="exact"/>
        <w:ind w:firstLine="640" w:firstLineChars="200"/>
        <w:outlineLvl w:val="1"/>
        <w:rPr>
          <w:rStyle w:val="31"/>
          <w:rFonts w:ascii="Times New Roman" w:hAnsi="Times New Roman" w:eastAsia="黑体"/>
          <w:b w:val="0"/>
        </w:rPr>
      </w:pPr>
      <w:bookmarkStart w:id="36" w:name="_Toc10055"/>
      <w:r>
        <w:rPr>
          <w:rFonts w:hint="eastAsia" w:eastAsia="黑体"/>
          <w:sz w:val="32"/>
          <w:szCs w:val="32"/>
        </w:rPr>
        <w:t>五、</w:t>
      </w:r>
      <w:r>
        <w:rPr>
          <w:rFonts w:hint="eastAsia" w:eastAsia="黑体"/>
          <w:b/>
          <w:sz w:val="32"/>
          <w:szCs w:val="32"/>
        </w:rPr>
        <w:t>一</w:t>
      </w:r>
      <w:r>
        <w:rPr>
          <w:rStyle w:val="31"/>
          <w:rFonts w:hint="eastAsia" w:ascii="Times New Roman" w:hAnsi="Times New Roman" w:eastAsia="黑体"/>
          <w:b w:val="0"/>
        </w:rPr>
        <w:t>般公共预算财政拨款支出决算情况说明</w:t>
      </w:r>
      <w:bookmarkEnd w:id="34"/>
      <w:bookmarkEnd w:id="35"/>
      <w:bookmarkEnd w:id="36"/>
    </w:p>
    <w:p>
      <w:pPr>
        <w:spacing w:line="600" w:lineRule="exact"/>
        <w:ind w:firstLine="643" w:firstLineChars="200"/>
        <w:outlineLvl w:val="2"/>
        <w:rPr>
          <w:rFonts w:eastAsia="楷体_GB2312" w:cs="楷体_GB2312"/>
          <w:b/>
          <w:sz w:val="32"/>
          <w:szCs w:val="32"/>
        </w:rPr>
      </w:pPr>
      <w:bookmarkStart w:id="37" w:name="_Toc15377210"/>
      <w:r>
        <w:rPr>
          <w:rFonts w:hint="eastAsia" w:eastAsia="楷体_GB2312" w:cs="楷体_GB2312"/>
          <w:b/>
          <w:sz w:val="32"/>
          <w:szCs w:val="32"/>
        </w:rPr>
        <w:t>（一）一般公共预算财政拨款支出决算总体情况</w:t>
      </w:r>
      <w:bookmarkEnd w:id="37"/>
    </w:p>
    <w:p>
      <w:pPr>
        <w:spacing w:line="600" w:lineRule="exact"/>
        <w:ind w:firstLine="640"/>
        <w:rPr>
          <w:rFonts w:hint="eastAsia" w:ascii="仿宋_GB2312" w:hAnsi="仿宋_GB2312" w:eastAsia="仿宋_GB2312" w:cs="仿宋_GB2312"/>
          <w:sz w:val="32"/>
          <w:szCs w:val="32"/>
        </w:rPr>
      </w:pPr>
      <w:r>
        <w:rPr>
          <w:rFonts w:hint="eastAsia" w:ascii="Times New Roman" w:hAnsi="Times New Roman" w:eastAsia="仿宋_GB2312" w:cs="仿宋_GB2312"/>
          <w:kern w:val="2"/>
          <w:sz w:val="32"/>
          <w:szCs w:val="32"/>
          <w:lang w:val="en-US" w:eastAsia="zh-CN" w:bidi="ar-SA"/>
        </w:rPr>
        <w:t>2024</w:t>
      </w:r>
      <w:r>
        <w:rPr>
          <w:rFonts w:hint="eastAsia" w:ascii="仿宋_GB2312" w:hAnsi="仿宋_GB2312" w:eastAsia="仿宋_GB2312" w:cs="仿宋_GB2312"/>
          <w:sz w:val="32"/>
          <w:szCs w:val="32"/>
        </w:rPr>
        <w:t>年度一般公共预算财政拨款支出</w:t>
      </w:r>
      <w:r>
        <w:rPr>
          <w:rFonts w:hint="eastAsia" w:ascii="Times New Roman" w:hAnsi="Times New Roman" w:eastAsia="仿宋_GB2312" w:cs="仿宋_GB2312"/>
          <w:kern w:val="2"/>
          <w:sz w:val="32"/>
          <w:szCs w:val="32"/>
          <w:lang w:val="en-US" w:eastAsia="zh-CN" w:bidi="ar-SA"/>
        </w:rPr>
        <w:t>94,452.92</w:t>
      </w:r>
      <w:r>
        <w:rPr>
          <w:rFonts w:hint="eastAsia" w:ascii="仿宋_GB2312" w:hAnsi="仿宋_GB2312" w:eastAsia="仿宋_GB2312" w:cs="仿宋_GB2312"/>
          <w:sz w:val="32"/>
          <w:szCs w:val="32"/>
        </w:rPr>
        <w:t>万元，占本年支出合计的</w:t>
      </w:r>
      <w:r>
        <w:rPr>
          <w:rFonts w:hint="eastAsia" w:ascii="Times New Roman" w:hAnsi="Times New Roman" w:eastAsia="仿宋_GB2312" w:cs="仿宋_GB2312"/>
          <w:kern w:val="2"/>
          <w:sz w:val="32"/>
          <w:szCs w:val="32"/>
          <w:lang w:val="en-US" w:eastAsia="zh-CN" w:bidi="ar-SA"/>
        </w:rPr>
        <w:t>99.8%</w:t>
      </w:r>
      <w:r>
        <w:rPr>
          <w:rFonts w:hint="eastAsia" w:ascii="仿宋_GB2312" w:hAnsi="仿宋_GB2312" w:eastAsia="仿宋_GB2312" w:cs="仿宋_GB2312"/>
          <w:sz w:val="32"/>
          <w:szCs w:val="32"/>
        </w:rPr>
        <w:t>。与</w:t>
      </w:r>
      <w:r>
        <w:rPr>
          <w:rFonts w:hint="eastAsia" w:ascii="Times New Roman" w:hAnsi="Times New Roman" w:eastAsia="仿宋_GB2312" w:cs="仿宋_GB2312"/>
          <w:kern w:val="2"/>
          <w:sz w:val="32"/>
          <w:szCs w:val="32"/>
          <w:lang w:val="en-US" w:eastAsia="zh-CN" w:bidi="ar-SA"/>
        </w:rPr>
        <w:t>2023</w:t>
      </w:r>
      <w:r>
        <w:rPr>
          <w:rFonts w:hint="eastAsia" w:ascii="仿宋_GB2312" w:hAnsi="仿宋_GB2312" w:eastAsia="仿宋_GB2312" w:cs="仿宋_GB2312"/>
          <w:sz w:val="32"/>
          <w:szCs w:val="32"/>
        </w:rPr>
        <w:t>年度相比，一般公共预算财政拨款支出增加</w:t>
      </w:r>
      <w:r>
        <w:rPr>
          <w:rFonts w:hint="eastAsia" w:ascii="Times New Roman" w:hAnsi="Times New Roman" w:eastAsia="仿宋_GB2312" w:cs="仿宋_GB2312"/>
          <w:kern w:val="2"/>
          <w:sz w:val="32"/>
          <w:szCs w:val="32"/>
          <w:lang w:val="en-US" w:eastAsia="zh-CN" w:bidi="ar-SA"/>
        </w:rPr>
        <w:t>3,544.91</w:t>
      </w:r>
      <w:r>
        <w:rPr>
          <w:rFonts w:hint="eastAsia" w:ascii="仿宋_GB2312" w:hAnsi="仿宋_GB2312" w:eastAsia="仿宋_GB2312" w:cs="仿宋_GB2312"/>
          <w:sz w:val="32"/>
          <w:szCs w:val="32"/>
        </w:rPr>
        <w:t>万元，增长</w:t>
      </w:r>
      <w:r>
        <w:rPr>
          <w:rFonts w:hint="eastAsia" w:ascii="Times New Roman" w:hAnsi="Times New Roman" w:eastAsia="仿宋_GB2312" w:cs="仿宋_GB2312"/>
          <w:kern w:val="2"/>
          <w:sz w:val="32"/>
          <w:szCs w:val="32"/>
          <w:lang w:val="en-US" w:eastAsia="zh-CN" w:bidi="ar-SA"/>
        </w:rPr>
        <w:t>3.9%</w:t>
      </w:r>
      <w:r>
        <w:rPr>
          <w:rFonts w:hint="eastAsia" w:ascii="仿宋_GB2312" w:hAnsi="仿宋_GB2312" w:eastAsia="仿宋_GB2312" w:cs="仿宋_GB2312"/>
          <w:sz w:val="32"/>
          <w:szCs w:val="32"/>
        </w:rPr>
        <w:t>。主要变动原因是本年度项目及公用经费增加，收入支出增加。</w:t>
      </w:r>
    </w:p>
    <w:p>
      <w:pPr>
        <w:pStyle w:val="6"/>
        <w:rPr>
          <w:rFonts w:hint="eastAsia" w:ascii="仿宋_GB2312" w:hAnsi="仿宋_GB2312" w:eastAsia="仿宋_GB2312" w:cs="仿宋_GB2312"/>
          <w:sz w:val="32"/>
          <w:szCs w:val="32"/>
        </w:rPr>
      </w:pPr>
    </w:p>
    <w:p>
      <w:pPr>
        <w:rPr>
          <w:rFonts w:hint="eastAsia" w:ascii="仿宋_GB2312" w:hAnsi="仿宋_GB2312" w:eastAsia="仿宋_GB2312" w:cs="仿宋_GB2312"/>
          <w:sz w:val="32"/>
          <w:szCs w:val="32"/>
        </w:rPr>
      </w:pPr>
    </w:p>
    <w:p>
      <w:pPr>
        <w:pStyle w:val="6"/>
        <w:jc w:val="center"/>
        <w:rPr>
          <w:rFonts w:hint="eastAsia"/>
        </w:rPr>
      </w:pPr>
      <w:r>
        <w:drawing>
          <wp:inline distT="0" distB="0" distL="114300" distR="114300">
            <wp:extent cx="4809490" cy="2696210"/>
            <wp:effectExtent l="4445" t="4445" r="5715" b="23495"/>
            <wp:docPr id="25161"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pPr>
        <w:spacing w:line="600" w:lineRule="exact"/>
        <w:ind w:firstLine="640"/>
        <w:rPr>
          <w:rFonts w:eastAsia="仿宋_GB2312" w:cs="仿宋_GB2312"/>
          <w:sz w:val="32"/>
          <w:szCs w:val="32"/>
        </w:rPr>
      </w:pPr>
      <w:r>
        <w:rPr>
          <w:rFonts w:hint="eastAsia" w:eastAsia="仿宋_GB2312" w:cs="仿宋_GB2312"/>
          <w:sz w:val="32"/>
          <w:szCs w:val="32"/>
        </w:rPr>
        <w:t>（图5：一般公共预算财政拨款支出决算变动情况）</w:t>
      </w:r>
    </w:p>
    <w:p>
      <w:pPr>
        <w:spacing w:line="600" w:lineRule="exact"/>
        <w:ind w:firstLine="643" w:firstLineChars="200"/>
        <w:outlineLvl w:val="2"/>
        <w:rPr>
          <w:rFonts w:eastAsia="楷体_GB2312" w:cs="楷体_GB2312"/>
          <w:b/>
          <w:sz w:val="32"/>
          <w:szCs w:val="32"/>
        </w:rPr>
      </w:pPr>
      <w:bookmarkStart w:id="38" w:name="_Toc15377211"/>
      <w:r>
        <w:rPr>
          <w:rFonts w:hint="eastAsia" w:eastAsia="楷体_GB2312" w:cs="楷体_GB2312"/>
          <w:b/>
          <w:sz w:val="32"/>
          <w:szCs w:val="32"/>
        </w:rPr>
        <w:t>（二）一般公共预算财政拨款支出决算结构情况</w:t>
      </w:r>
      <w:bookmarkEnd w:id="38"/>
    </w:p>
    <w:p>
      <w:pPr>
        <w:spacing w:line="600" w:lineRule="exact"/>
        <w:ind w:firstLine="640"/>
        <w:rPr>
          <w:rFonts w:hint="eastAsia" w:eastAsia="仿宋_GB2312" w:cs="仿宋_GB2312"/>
          <w:sz w:val="32"/>
          <w:szCs w:val="32"/>
          <w:lang w:eastAsia="zh-CN"/>
        </w:rPr>
      </w:pPr>
      <w:r>
        <w:rPr>
          <w:rFonts w:hint="eastAsia" w:eastAsia="仿宋_GB2312" w:cs="仿宋_GB2312"/>
          <w:sz w:val="32"/>
          <w:szCs w:val="32"/>
        </w:rPr>
        <w:t>2024年度一般公共预算财政拨款支出</w:t>
      </w:r>
      <w:r>
        <w:rPr>
          <w:rFonts w:hint="eastAsia" w:ascii="Times New Roman" w:hAnsi="Times New Roman" w:eastAsia="仿宋_GB2312" w:cs="仿宋_GB2312"/>
          <w:kern w:val="2"/>
          <w:sz w:val="32"/>
          <w:szCs w:val="32"/>
          <w:lang w:val="en-US" w:eastAsia="zh-CN" w:bidi="ar-SA"/>
        </w:rPr>
        <w:t>94</w:t>
      </w:r>
      <w:r>
        <w:rPr>
          <w:rFonts w:hint="eastAsia" w:eastAsia="仿宋_GB2312" w:cs="仿宋_GB2312"/>
          <w:kern w:val="2"/>
          <w:sz w:val="32"/>
          <w:szCs w:val="32"/>
          <w:lang w:val="en-US" w:eastAsia="zh-CN" w:bidi="ar-SA"/>
        </w:rPr>
        <w:t>,</w:t>
      </w:r>
      <w:r>
        <w:rPr>
          <w:rFonts w:hint="eastAsia" w:ascii="Times New Roman" w:hAnsi="Times New Roman" w:eastAsia="仿宋_GB2312" w:cs="仿宋_GB2312"/>
          <w:kern w:val="2"/>
          <w:sz w:val="32"/>
          <w:szCs w:val="32"/>
          <w:lang w:val="en-US" w:eastAsia="zh-CN" w:bidi="ar-SA"/>
        </w:rPr>
        <w:t>452.92</w:t>
      </w:r>
      <w:r>
        <w:rPr>
          <w:rFonts w:hint="eastAsia" w:ascii="仿宋_GB2312" w:hAnsi="仿宋_GB2312" w:eastAsia="仿宋_GB2312" w:cs="仿宋_GB2312"/>
          <w:sz w:val="32"/>
          <w:szCs w:val="32"/>
        </w:rPr>
        <w:t>万元</w:t>
      </w:r>
      <w:r>
        <w:rPr>
          <w:rFonts w:hint="eastAsia" w:eastAsia="仿宋_GB2312" w:cs="仿宋_GB2312"/>
          <w:sz w:val="32"/>
          <w:szCs w:val="32"/>
        </w:rPr>
        <w:t>，主要用于以下方面：文化旅游体育与传媒支出0.5</w:t>
      </w:r>
      <w:r>
        <w:rPr>
          <w:rFonts w:hint="eastAsia" w:eastAsia="仿宋_GB2312" w:cs="仿宋_GB2312"/>
          <w:sz w:val="32"/>
          <w:szCs w:val="32"/>
          <w:lang w:val="en-US" w:eastAsia="zh-CN"/>
        </w:rPr>
        <w:t>万元，0% ；</w:t>
      </w:r>
      <w:r>
        <w:rPr>
          <w:rFonts w:hint="eastAsia" w:eastAsia="仿宋_GB2312" w:cs="仿宋_GB2312"/>
          <w:sz w:val="32"/>
          <w:szCs w:val="32"/>
        </w:rPr>
        <w:t>社会保障和就业支出</w:t>
      </w:r>
      <w:r>
        <w:rPr>
          <w:rFonts w:hint="eastAsia" w:ascii="Times New Roman" w:hAnsi="Times New Roman" w:eastAsia="仿宋_GB2312" w:cs="仿宋_GB2312"/>
          <w:kern w:val="2"/>
          <w:sz w:val="32"/>
          <w:szCs w:val="32"/>
          <w:lang w:val="en-US" w:eastAsia="zh-CN" w:bidi="ar-SA"/>
        </w:rPr>
        <w:t>5</w:t>
      </w:r>
      <w:r>
        <w:rPr>
          <w:rFonts w:hint="eastAsia" w:eastAsia="仿宋_GB2312" w:cs="仿宋_GB2312"/>
          <w:kern w:val="2"/>
          <w:sz w:val="32"/>
          <w:szCs w:val="32"/>
          <w:lang w:val="en-US" w:eastAsia="zh-CN" w:bidi="ar-SA"/>
        </w:rPr>
        <w:t>,</w:t>
      </w:r>
      <w:r>
        <w:rPr>
          <w:rFonts w:hint="eastAsia" w:ascii="Times New Roman" w:hAnsi="Times New Roman" w:eastAsia="仿宋_GB2312" w:cs="仿宋_GB2312"/>
          <w:kern w:val="2"/>
          <w:sz w:val="32"/>
          <w:szCs w:val="32"/>
          <w:lang w:val="en-US" w:eastAsia="zh-CN" w:bidi="ar-SA"/>
        </w:rPr>
        <w:t>275.9</w:t>
      </w:r>
      <w:r>
        <w:rPr>
          <w:rFonts w:hint="eastAsia" w:eastAsia="仿宋_GB2312" w:cs="仿宋_GB2312"/>
          <w:sz w:val="32"/>
          <w:szCs w:val="32"/>
        </w:rPr>
        <w:t>万元，占</w:t>
      </w:r>
      <w:r>
        <w:rPr>
          <w:rFonts w:hint="eastAsia" w:eastAsia="仿宋_GB2312" w:cs="仿宋_GB2312"/>
          <w:sz w:val="32"/>
          <w:szCs w:val="32"/>
          <w:lang w:val="en-US" w:eastAsia="zh-CN"/>
        </w:rPr>
        <w:t>5.6</w:t>
      </w:r>
      <w:r>
        <w:rPr>
          <w:rFonts w:hint="eastAsia" w:eastAsia="仿宋_GB2312" w:cs="仿宋_GB2312"/>
          <w:sz w:val="32"/>
          <w:szCs w:val="32"/>
        </w:rPr>
        <w:t>%；卫生健康支出2</w:t>
      </w:r>
      <w:r>
        <w:rPr>
          <w:rFonts w:hint="eastAsia" w:eastAsia="仿宋_GB2312" w:cs="仿宋_GB2312"/>
          <w:sz w:val="32"/>
          <w:szCs w:val="32"/>
          <w:lang w:val="en-US" w:eastAsia="zh-CN"/>
        </w:rPr>
        <w:t>,</w:t>
      </w:r>
      <w:r>
        <w:rPr>
          <w:rFonts w:hint="eastAsia" w:eastAsia="仿宋_GB2312" w:cs="仿宋_GB2312"/>
          <w:sz w:val="32"/>
          <w:szCs w:val="32"/>
        </w:rPr>
        <w:t>292.49万元，占</w:t>
      </w:r>
      <w:r>
        <w:rPr>
          <w:rFonts w:hint="eastAsia" w:eastAsia="仿宋_GB2312" w:cs="仿宋_GB2312"/>
          <w:sz w:val="32"/>
          <w:szCs w:val="32"/>
          <w:lang w:val="en-US" w:eastAsia="zh-CN"/>
        </w:rPr>
        <w:t>2.4</w:t>
      </w:r>
      <w:r>
        <w:rPr>
          <w:rFonts w:hint="eastAsia" w:eastAsia="仿宋_GB2312" w:cs="仿宋_GB2312"/>
          <w:sz w:val="32"/>
          <w:szCs w:val="32"/>
        </w:rPr>
        <w:t>%；交通运输支出84</w:t>
      </w:r>
      <w:r>
        <w:rPr>
          <w:rFonts w:hint="eastAsia" w:eastAsia="仿宋_GB2312" w:cs="仿宋_GB2312"/>
          <w:sz w:val="32"/>
          <w:szCs w:val="32"/>
          <w:lang w:val="en-US" w:eastAsia="zh-CN"/>
        </w:rPr>
        <w:t>,</w:t>
      </w:r>
      <w:r>
        <w:rPr>
          <w:rFonts w:hint="eastAsia" w:eastAsia="仿宋_GB2312" w:cs="仿宋_GB2312"/>
          <w:sz w:val="32"/>
          <w:szCs w:val="32"/>
        </w:rPr>
        <w:t>090.62</w:t>
      </w:r>
      <w:r>
        <w:rPr>
          <w:rFonts w:hint="eastAsia" w:eastAsia="仿宋_GB2312" w:cs="仿宋_GB2312"/>
          <w:sz w:val="32"/>
          <w:szCs w:val="32"/>
          <w:lang w:val="en-US" w:eastAsia="zh-CN"/>
        </w:rPr>
        <w:t>万元；占89%；</w:t>
      </w:r>
      <w:r>
        <w:rPr>
          <w:rFonts w:hint="eastAsia" w:eastAsia="仿宋_GB2312" w:cs="仿宋_GB2312"/>
          <w:sz w:val="32"/>
          <w:szCs w:val="32"/>
        </w:rPr>
        <w:t>住房保障支出2</w:t>
      </w:r>
      <w:r>
        <w:rPr>
          <w:rFonts w:hint="eastAsia" w:eastAsia="仿宋_GB2312" w:cs="仿宋_GB2312"/>
          <w:sz w:val="32"/>
          <w:szCs w:val="32"/>
          <w:lang w:val="en-US" w:eastAsia="zh-CN"/>
        </w:rPr>
        <w:t>,</w:t>
      </w:r>
      <w:r>
        <w:rPr>
          <w:rFonts w:hint="eastAsia" w:eastAsia="仿宋_GB2312" w:cs="仿宋_GB2312"/>
          <w:sz w:val="32"/>
          <w:szCs w:val="32"/>
        </w:rPr>
        <w:t>793.41万元，占</w:t>
      </w:r>
      <w:r>
        <w:rPr>
          <w:rFonts w:hint="eastAsia" w:eastAsia="仿宋_GB2312" w:cs="仿宋_GB2312"/>
          <w:sz w:val="32"/>
          <w:szCs w:val="32"/>
          <w:lang w:val="en-US" w:eastAsia="zh-CN"/>
        </w:rPr>
        <w:t>3</w:t>
      </w:r>
      <w:r>
        <w:rPr>
          <w:rFonts w:hint="eastAsia" w:eastAsia="仿宋_GB2312" w:cs="仿宋_GB2312"/>
          <w:sz w:val="32"/>
          <w:szCs w:val="32"/>
        </w:rPr>
        <w:t>%</w:t>
      </w:r>
      <w:r>
        <w:rPr>
          <w:rFonts w:hint="eastAsia" w:eastAsia="仿宋_GB2312" w:cs="仿宋_GB2312"/>
          <w:sz w:val="32"/>
          <w:szCs w:val="32"/>
          <w:lang w:eastAsia="zh-CN"/>
        </w:rPr>
        <w:t>。</w:t>
      </w:r>
    </w:p>
    <w:p>
      <w:pPr>
        <w:pStyle w:val="6"/>
        <w:jc w:val="center"/>
        <w:rPr>
          <w:rFonts w:hint="eastAsia"/>
          <w:lang w:eastAsia="zh-CN"/>
        </w:rPr>
      </w:pPr>
      <w:r>
        <w:drawing>
          <wp:inline distT="0" distB="0" distL="114300" distR="114300">
            <wp:extent cx="4818380" cy="2907030"/>
            <wp:effectExtent l="4445" t="4445" r="15875" b="22225"/>
            <wp:docPr id="25172"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pPr>
        <w:spacing w:line="600" w:lineRule="exact"/>
        <w:ind w:firstLine="640"/>
        <w:jc w:val="center"/>
        <w:rPr>
          <w:rFonts w:eastAsia="仿宋_GB2312" w:cs="仿宋_GB2312"/>
          <w:sz w:val="32"/>
          <w:szCs w:val="32"/>
        </w:rPr>
      </w:pPr>
      <w:r>
        <w:rPr>
          <w:rFonts w:hint="eastAsia" w:eastAsia="仿宋_GB2312" w:cs="仿宋_GB2312"/>
          <w:sz w:val="32"/>
          <w:szCs w:val="32"/>
        </w:rPr>
        <w:t>（图6：一般公共预算财政拨款支出决算结构）</w:t>
      </w:r>
    </w:p>
    <w:p>
      <w:pPr>
        <w:spacing w:line="600" w:lineRule="exact"/>
        <w:ind w:firstLine="643" w:firstLineChars="200"/>
        <w:outlineLvl w:val="2"/>
        <w:rPr>
          <w:rFonts w:eastAsia="楷体_GB2312" w:cs="楷体_GB2312"/>
          <w:b/>
          <w:sz w:val="32"/>
          <w:szCs w:val="32"/>
        </w:rPr>
      </w:pPr>
      <w:bookmarkStart w:id="39" w:name="_Toc15377212"/>
      <w:r>
        <w:rPr>
          <w:rFonts w:hint="eastAsia" w:eastAsia="楷体_GB2312" w:cs="楷体_GB2312"/>
          <w:b/>
          <w:sz w:val="32"/>
          <w:szCs w:val="32"/>
        </w:rPr>
        <w:t>（三）一般公共预算财政拨款支出决算具体情况</w:t>
      </w:r>
      <w:bookmarkEnd w:id="39"/>
    </w:p>
    <w:p>
      <w:pPr>
        <w:spacing w:line="600" w:lineRule="exact"/>
        <w:ind w:firstLine="640"/>
        <w:rPr>
          <w:rFonts w:eastAsia="仿宋_GB2312" w:cs="仿宋_GB2312"/>
          <w:sz w:val="32"/>
          <w:szCs w:val="32"/>
        </w:rPr>
      </w:pPr>
      <w:bookmarkStart w:id="40" w:name="_Toc15378460"/>
      <w:bookmarkStart w:id="41" w:name="_Toc15377444"/>
      <w:bookmarkStart w:id="42" w:name="_Toc15377213"/>
      <w:r>
        <w:rPr>
          <w:rFonts w:hint="eastAsia" w:eastAsia="仿宋_GB2312" w:cs="仿宋_GB2312"/>
          <w:sz w:val="32"/>
          <w:szCs w:val="32"/>
        </w:rPr>
        <w:t>2024年度一般公共预算财政拨款支出决算数为</w:t>
      </w:r>
      <w:r>
        <w:rPr>
          <w:rFonts w:hint="eastAsia" w:eastAsia="仿宋_GB2312" w:cs="仿宋_GB2312"/>
          <w:sz w:val="32"/>
          <w:szCs w:val="32"/>
          <w:lang w:val="en-US" w:eastAsia="zh-CN"/>
        </w:rPr>
        <w:t>94,452.92万元</w:t>
      </w:r>
      <w:r>
        <w:rPr>
          <w:rFonts w:hint="eastAsia" w:ascii="仿宋_GB2312" w:hAnsi="仿宋_GB2312" w:eastAsia="仿宋_GB2312" w:cs="仿宋_GB2312"/>
          <w:sz w:val="32"/>
          <w:szCs w:val="32"/>
        </w:rPr>
        <w:t>，</w:t>
      </w:r>
      <w:r>
        <w:rPr>
          <w:rFonts w:hint="eastAsia" w:eastAsia="仿宋_GB2312" w:cs="仿宋_GB2312"/>
          <w:sz w:val="32"/>
          <w:szCs w:val="32"/>
        </w:rPr>
        <w:t>完成预算</w:t>
      </w:r>
      <w:r>
        <w:rPr>
          <w:rFonts w:hint="eastAsia" w:eastAsia="仿宋_GB2312" w:cs="仿宋_GB2312"/>
          <w:sz w:val="32"/>
          <w:szCs w:val="32"/>
          <w:lang w:val="en-US" w:eastAsia="zh-CN"/>
        </w:rPr>
        <w:t>100</w:t>
      </w:r>
      <w:r>
        <w:rPr>
          <w:rFonts w:hint="eastAsia" w:eastAsia="仿宋_GB2312" w:cs="仿宋_GB2312"/>
          <w:sz w:val="32"/>
          <w:szCs w:val="32"/>
        </w:rPr>
        <w:t>%。其中：</w:t>
      </w:r>
      <w:bookmarkEnd w:id="40"/>
      <w:bookmarkEnd w:id="41"/>
      <w:bookmarkEnd w:id="42"/>
    </w:p>
    <w:p>
      <w:pPr>
        <w:numPr>
          <w:ilvl w:val="0"/>
          <w:numId w:val="0"/>
        </w:numPr>
        <w:spacing w:line="600" w:lineRule="exact"/>
        <w:ind w:firstLine="640" w:firstLineChars="200"/>
        <w:rPr>
          <w:rFonts w:hint="eastAsia" w:eastAsia="仿宋_GB2312" w:cs="仿宋_GB2312"/>
          <w:sz w:val="32"/>
          <w:szCs w:val="32"/>
          <w:lang w:eastAsia="zh-CN"/>
        </w:rPr>
      </w:pPr>
      <w:r>
        <w:rPr>
          <w:rFonts w:hint="eastAsia" w:eastAsia="仿宋_GB2312" w:cs="仿宋_GB2312"/>
          <w:sz w:val="32"/>
          <w:szCs w:val="32"/>
          <w:lang w:val="en-US" w:eastAsia="zh-CN"/>
        </w:rPr>
        <w:t>1.</w:t>
      </w:r>
      <w:r>
        <w:rPr>
          <w:rFonts w:hint="eastAsia" w:eastAsia="仿宋_GB2312" w:cs="仿宋_GB2312"/>
          <w:sz w:val="32"/>
          <w:szCs w:val="32"/>
        </w:rPr>
        <w:t>文化旅游体育与传媒（类）其他文化旅游体育与传媒支出（款）其他文化旅游体育与传媒支出（项）：支出决算为0.5万元，完成预算</w:t>
      </w:r>
      <w:r>
        <w:rPr>
          <w:rFonts w:hint="eastAsia" w:eastAsia="仿宋_GB2312" w:cs="仿宋_GB2312"/>
          <w:sz w:val="32"/>
          <w:szCs w:val="32"/>
          <w:lang w:val="en-US" w:eastAsia="zh-CN"/>
        </w:rPr>
        <w:t>100</w:t>
      </w:r>
      <w:r>
        <w:rPr>
          <w:rFonts w:hint="eastAsia" w:eastAsia="仿宋_GB2312" w:cs="仿宋_GB2312"/>
          <w:sz w:val="32"/>
          <w:szCs w:val="32"/>
        </w:rPr>
        <w:t>%，决算数等于预算数</w:t>
      </w:r>
      <w:r>
        <w:rPr>
          <w:rFonts w:hint="eastAsia" w:eastAsia="仿宋_GB2312" w:cs="仿宋_GB2312"/>
          <w:sz w:val="32"/>
          <w:szCs w:val="32"/>
          <w:lang w:eastAsia="zh-CN"/>
        </w:rPr>
        <w:t>。</w:t>
      </w:r>
    </w:p>
    <w:p>
      <w:pPr>
        <w:numPr>
          <w:ilvl w:val="0"/>
          <w:numId w:val="0"/>
        </w:numPr>
        <w:spacing w:line="600" w:lineRule="exact"/>
        <w:ind w:firstLine="640" w:firstLineChars="200"/>
        <w:rPr>
          <w:rFonts w:hint="eastAsia" w:ascii="Times New Roman" w:hAnsi="Times New Roman" w:eastAsia="仿宋_GB2312" w:cs="仿宋_GB2312"/>
          <w:sz w:val="32"/>
          <w:szCs w:val="32"/>
          <w:lang w:val="en-US" w:eastAsia="zh-CN"/>
        </w:rPr>
      </w:pPr>
      <w:r>
        <w:rPr>
          <w:rFonts w:hint="eastAsia" w:ascii="Times New Roman" w:hAnsi="Times New Roman" w:eastAsia="仿宋_GB2312" w:cs="仿宋_GB2312"/>
          <w:sz w:val="32"/>
          <w:szCs w:val="32"/>
          <w:lang w:val="en-US" w:eastAsia="zh-CN"/>
        </w:rPr>
        <w:t>2.社会保障和就业（类）行政事业单位养老支出（款）事业单位离退休（项）：支出决算为434.05万元，完成预算100%，决算数等于预算数。</w:t>
      </w:r>
    </w:p>
    <w:p>
      <w:pPr>
        <w:numPr>
          <w:ilvl w:val="0"/>
          <w:numId w:val="0"/>
        </w:numPr>
        <w:spacing w:line="600" w:lineRule="exact"/>
        <w:ind w:firstLine="640" w:firstLineChars="200"/>
        <w:rPr>
          <w:rFonts w:hint="eastAsia" w:ascii="Times New Roman" w:hAnsi="Times New Roman" w:eastAsia="仿宋_GB2312" w:cs="仿宋_GB2312"/>
          <w:sz w:val="32"/>
          <w:szCs w:val="32"/>
          <w:lang w:val="en-US" w:eastAsia="zh-CN"/>
        </w:rPr>
      </w:pPr>
      <w:r>
        <w:rPr>
          <w:rFonts w:hint="eastAsia" w:ascii="Times New Roman" w:hAnsi="Times New Roman" w:eastAsia="仿宋_GB2312" w:cs="仿宋_GB2312"/>
          <w:sz w:val="32"/>
          <w:szCs w:val="32"/>
          <w:lang w:val="en-US" w:eastAsia="zh-CN"/>
        </w:rPr>
        <w:t>3.社会保障和就业（类）行政事业单位养老支出（款）机关事业单位基本养老保险缴费支出（项）：支出决算为3,242.31万元，完成预算100%，决算数等于预算数。</w:t>
      </w:r>
    </w:p>
    <w:p>
      <w:pPr>
        <w:numPr>
          <w:ilvl w:val="0"/>
          <w:numId w:val="0"/>
        </w:numPr>
        <w:spacing w:line="600" w:lineRule="exact"/>
        <w:ind w:firstLine="640" w:firstLineChars="200"/>
        <w:rPr>
          <w:rFonts w:hint="eastAsia" w:ascii="Times New Roman" w:hAnsi="Times New Roman" w:eastAsia="仿宋_GB2312" w:cs="仿宋_GB2312"/>
          <w:sz w:val="32"/>
          <w:szCs w:val="32"/>
          <w:lang w:val="en-US" w:eastAsia="zh-CN"/>
        </w:rPr>
      </w:pPr>
      <w:r>
        <w:rPr>
          <w:rFonts w:hint="eastAsia" w:ascii="Times New Roman" w:hAnsi="Times New Roman" w:eastAsia="仿宋_GB2312" w:cs="仿宋_GB2312"/>
          <w:sz w:val="32"/>
          <w:szCs w:val="32"/>
          <w:lang w:val="en-US" w:eastAsia="zh-CN"/>
        </w:rPr>
        <w:t>4.社会保障和就业（类）行政事业单位养老支出（款）机关事业单位职业年金缴费支出（项）：支出决算为1,599.54万元，完成预算100%，决算数等于预算数。</w:t>
      </w:r>
    </w:p>
    <w:p>
      <w:pPr>
        <w:numPr>
          <w:ilvl w:val="0"/>
          <w:numId w:val="0"/>
        </w:numPr>
        <w:spacing w:line="600" w:lineRule="exact"/>
        <w:ind w:firstLine="640" w:firstLineChars="200"/>
        <w:rPr>
          <w:rFonts w:hint="eastAsia" w:ascii="Times New Roman" w:hAnsi="Times New Roman" w:eastAsia="仿宋_GB2312" w:cs="仿宋_GB2312"/>
          <w:sz w:val="32"/>
          <w:szCs w:val="32"/>
          <w:lang w:val="en-US" w:eastAsia="zh-CN"/>
        </w:rPr>
      </w:pPr>
      <w:r>
        <w:rPr>
          <w:rFonts w:hint="eastAsia" w:ascii="Times New Roman" w:hAnsi="Times New Roman" w:eastAsia="仿宋_GB2312" w:cs="仿宋_GB2312"/>
          <w:sz w:val="32"/>
          <w:szCs w:val="32"/>
          <w:lang w:val="en-US" w:eastAsia="zh-CN"/>
        </w:rPr>
        <w:t>5.卫生健康（类）行政事业单位医疗（款）事业单位医疗（项）：支出决算为1,486.56万元，完成预算100%，决算数等于预算数。</w:t>
      </w:r>
    </w:p>
    <w:p>
      <w:pPr>
        <w:numPr>
          <w:ilvl w:val="0"/>
          <w:numId w:val="0"/>
        </w:numPr>
        <w:spacing w:line="600" w:lineRule="exact"/>
        <w:ind w:firstLine="640" w:firstLineChars="200"/>
        <w:rPr>
          <w:rFonts w:hint="eastAsia" w:ascii="Times New Roman" w:hAnsi="Times New Roman" w:eastAsia="仿宋_GB2312" w:cs="仿宋_GB2312"/>
          <w:sz w:val="32"/>
          <w:szCs w:val="32"/>
          <w:lang w:val="en-US" w:eastAsia="zh-CN"/>
        </w:rPr>
      </w:pPr>
      <w:r>
        <w:rPr>
          <w:rFonts w:hint="eastAsia" w:ascii="Times New Roman" w:hAnsi="Times New Roman" w:eastAsia="仿宋_GB2312" w:cs="仿宋_GB2312"/>
          <w:sz w:val="32"/>
          <w:szCs w:val="32"/>
          <w:lang w:val="en-US" w:eastAsia="zh-CN"/>
        </w:rPr>
        <w:t>6.卫生健康（类）行政事业单位医疗（款）其他行政事业单位医疗支出（项）：支出决算为805.92万元，完成预算100%，决算数等于预算数。</w:t>
      </w:r>
    </w:p>
    <w:p>
      <w:pPr>
        <w:numPr>
          <w:ilvl w:val="0"/>
          <w:numId w:val="0"/>
        </w:numPr>
        <w:spacing w:line="600" w:lineRule="exact"/>
        <w:ind w:firstLine="640" w:firstLineChars="200"/>
        <w:rPr>
          <w:rFonts w:hint="eastAsia" w:ascii="Times New Roman" w:hAnsi="Times New Roman" w:eastAsia="仿宋_GB2312" w:cs="仿宋_GB2312"/>
          <w:sz w:val="32"/>
          <w:szCs w:val="32"/>
          <w:lang w:val="en-US" w:eastAsia="zh-CN"/>
        </w:rPr>
      </w:pPr>
      <w:r>
        <w:rPr>
          <w:rFonts w:hint="eastAsia" w:ascii="Times New Roman" w:hAnsi="Times New Roman" w:eastAsia="仿宋_GB2312" w:cs="仿宋_GB2312"/>
          <w:sz w:val="32"/>
          <w:szCs w:val="32"/>
          <w:lang w:val="en-US" w:eastAsia="zh-CN"/>
        </w:rPr>
        <w:t>7.交通运输（类）公路水路运输（款）公路建设（项）：支出决算为12,506.39万元，完成预算100%，决算数等于预算数。</w:t>
      </w:r>
    </w:p>
    <w:p>
      <w:pPr>
        <w:numPr>
          <w:ilvl w:val="0"/>
          <w:numId w:val="0"/>
        </w:numPr>
        <w:spacing w:line="600" w:lineRule="exact"/>
        <w:ind w:firstLine="640" w:firstLineChars="200"/>
        <w:rPr>
          <w:rFonts w:hint="eastAsia" w:ascii="Times New Roman" w:hAnsi="Times New Roman" w:eastAsia="仿宋_GB2312" w:cs="仿宋_GB2312"/>
          <w:sz w:val="32"/>
          <w:szCs w:val="32"/>
          <w:lang w:val="en-US" w:eastAsia="zh-CN"/>
        </w:rPr>
      </w:pPr>
      <w:r>
        <w:rPr>
          <w:rFonts w:hint="eastAsia" w:ascii="Times New Roman" w:hAnsi="Times New Roman" w:eastAsia="仿宋_GB2312" w:cs="仿宋_GB2312"/>
          <w:sz w:val="32"/>
          <w:szCs w:val="32"/>
          <w:lang w:val="en-US" w:eastAsia="zh-CN"/>
        </w:rPr>
        <w:t>8.交通运输（类）公路水路运输（款）公路养护（项）：支出决算为67,073.91万元，完成预算100%，决算数等于预算数。</w:t>
      </w:r>
    </w:p>
    <w:p>
      <w:pPr>
        <w:numPr>
          <w:ilvl w:val="0"/>
          <w:numId w:val="0"/>
        </w:numPr>
        <w:spacing w:line="600" w:lineRule="exact"/>
        <w:ind w:firstLine="640" w:firstLineChars="200"/>
        <w:rPr>
          <w:rFonts w:hint="eastAsia" w:ascii="Times New Roman" w:hAnsi="Times New Roman" w:eastAsia="仿宋_GB2312" w:cs="仿宋_GB2312"/>
          <w:sz w:val="32"/>
          <w:szCs w:val="32"/>
          <w:lang w:val="en-US" w:eastAsia="zh-CN"/>
        </w:rPr>
      </w:pPr>
      <w:r>
        <w:rPr>
          <w:rFonts w:hint="eastAsia" w:ascii="Times New Roman" w:hAnsi="Times New Roman" w:eastAsia="仿宋_GB2312" w:cs="仿宋_GB2312"/>
          <w:sz w:val="32"/>
          <w:szCs w:val="32"/>
          <w:lang w:val="en-US" w:eastAsia="zh-CN"/>
        </w:rPr>
        <w:t>9.交通运输（类）公路水路运输（款）其他公路水路运输支出（项）：支出决算为4,510.33万元，完成预算100%，决算数等于预算数。</w:t>
      </w:r>
    </w:p>
    <w:p>
      <w:pPr>
        <w:numPr>
          <w:ilvl w:val="0"/>
          <w:numId w:val="0"/>
        </w:numPr>
        <w:spacing w:line="600" w:lineRule="exact"/>
        <w:ind w:firstLine="640" w:firstLineChars="200"/>
        <w:rPr>
          <w:rFonts w:hint="eastAsia" w:ascii="Times New Roman" w:hAnsi="Times New Roman" w:eastAsia="仿宋_GB2312" w:cs="仿宋_GB2312"/>
          <w:sz w:val="32"/>
          <w:szCs w:val="32"/>
          <w:lang w:val="en-US" w:eastAsia="zh-CN"/>
        </w:rPr>
      </w:pPr>
      <w:r>
        <w:rPr>
          <w:rFonts w:hint="eastAsia" w:ascii="Times New Roman" w:hAnsi="Times New Roman" w:eastAsia="仿宋_GB2312" w:cs="仿宋_GB2312"/>
          <w:sz w:val="32"/>
          <w:szCs w:val="32"/>
          <w:lang w:val="en-US" w:eastAsia="zh-CN"/>
        </w:rPr>
        <w:t>10.住房保障（类）住房改革支出（款）住房公积金（项）：支出决算为2,644.21万元，完成预算100%，决算数等于预算数。</w:t>
      </w:r>
    </w:p>
    <w:p>
      <w:pPr>
        <w:numPr>
          <w:ilvl w:val="0"/>
          <w:numId w:val="0"/>
        </w:numPr>
        <w:spacing w:line="600" w:lineRule="exact"/>
        <w:ind w:firstLine="640" w:firstLineChars="200"/>
        <w:rPr>
          <w:rFonts w:hint="eastAsia" w:ascii="Times New Roman" w:hAnsi="Times New Roman" w:eastAsia="仿宋_GB2312" w:cs="仿宋_GB2312"/>
          <w:sz w:val="32"/>
          <w:szCs w:val="32"/>
          <w:lang w:val="en-US" w:eastAsia="zh-CN"/>
        </w:rPr>
      </w:pPr>
      <w:r>
        <w:rPr>
          <w:rFonts w:hint="eastAsia" w:ascii="Times New Roman" w:hAnsi="Times New Roman" w:eastAsia="仿宋_GB2312" w:cs="仿宋_GB2312"/>
          <w:sz w:val="32"/>
          <w:szCs w:val="32"/>
          <w:lang w:val="en-US" w:eastAsia="zh-CN"/>
        </w:rPr>
        <w:t>11.住房保障（类）住房改革支出（款）购房补贴（项）：支出决算为149.20万元，完成预算100%，决算数等于预算数。</w:t>
      </w:r>
    </w:p>
    <w:p>
      <w:pPr>
        <w:tabs>
          <w:tab w:val="right" w:pos="8306"/>
        </w:tabs>
        <w:spacing w:line="600" w:lineRule="exact"/>
        <w:ind w:firstLine="640"/>
        <w:outlineLvl w:val="1"/>
        <w:rPr>
          <w:rStyle w:val="31"/>
          <w:rFonts w:ascii="Times New Roman" w:hAnsi="Times New Roman"/>
        </w:rPr>
      </w:pPr>
      <w:bookmarkStart w:id="43" w:name="_Toc15396608"/>
      <w:bookmarkStart w:id="44" w:name="_Toc2324"/>
      <w:bookmarkStart w:id="45" w:name="_Toc15377214"/>
      <w:r>
        <w:rPr>
          <w:rFonts w:hint="eastAsia" w:eastAsia="黑体"/>
          <w:sz w:val="32"/>
          <w:szCs w:val="32"/>
        </w:rPr>
        <w:t>六</w:t>
      </w:r>
      <w:r>
        <w:rPr>
          <w:rFonts w:hint="eastAsia" w:eastAsia="黑体"/>
          <w:b/>
          <w:sz w:val="32"/>
          <w:szCs w:val="32"/>
        </w:rPr>
        <w:t>、一</w:t>
      </w:r>
      <w:r>
        <w:rPr>
          <w:rStyle w:val="31"/>
          <w:rFonts w:hint="eastAsia" w:ascii="Times New Roman" w:hAnsi="Times New Roman" w:eastAsia="黑体"/>
          <w:b w:val="0"/>
        </w:rPr>
        <w:t>般公共预算财政拨款基本支出决算情况说明</w:t>
      </w:r>
      <w:bookmarkEnd w:id="43"/>
      <w:bookmarkEnd w:id="44"/>
      <w:bookmarkEnd w:id="45"/>
    </w:p>
    <w:p>
      <w:pPr>
        <w:spacing w:line="600" w:lineRule="exact"/>
        <w:ind w:firstLine="640"/>
        <w:rPr>
          <w:rFonts w:eastAsia="仿宋_GB2312" w:cs="仿宋_GB2312"/>
          <w:sz w:val="32"/>
          <w:szCs w:val="32"/>
        </w:rPr>
      </w:pPr>
      <w:r>
        <w:rPr>
          <w:rFonts w:hint="eastAsia" w:eastAsia="仿宋_GB2312" w:cs="仿宋_GB2312"/>
          <w:sz w:val="32"/>
          <w:szCs w:val="32"/>
        </w:rPr>
        <w:t>2024年度一般公共预算财政拨款基本支出44</w:t>
      </w:r>
      <w:r>
        <w:rPr>
          <w:rFonts w:hint="eastAsia" w:eastAsia="仿宋_GB2312" w:cs="仿宋_GB2312"/>
          <w:sz w:val="32"/>
          <w:szCs w:val="32"/>
          <w:lang w:val="en-US" w:eastAsia="zh-CN"/>
        </w:rPr>
        <w:t>,</w:t>
      </w:r>
      <w:r>
        <w:rPr>
          <w:rFonts w:hint="eastAsia" w:eastAsia="仿宋_GB2312" w:cs="仿宋_GB2312"/>
          <w:sz w:val="32"/>
          <w:szCs w:val="32"/>
        </w:rPr>
        <w:t>593.38</w:t>
      </w:r>
      <w:r>
        <w:rPr>
          <w:rFonts w:hint="eastAsia" w:ascii="仿宋_GB2312" w:hAnsi="仿宋_GB2312" w:eastAsia="仿宋_GB2312" w:cs="仿宋_GB2312"/>
          <w:sz w:val="32"/>
          <w:szCs w:val="32"/>
        </w:rPr>
        <w:t>万</w:t>
      </w:r>
      <w:r>
        <w:rPr>
          <w:rFonts w:hint="eastAsia" w:eastAsia="仿宋_GB2312" w:cs="仿宋_GB2312"/>
          <w:sz w:val="32"/>
          <w:szCs w:val="32"/>
        </w:rPr>
        <w:t>元，其中：</w:t>
      </w:r>
    </w:p>
    <w:p>
      <w:pPr>
        <w:spacing w:line="600" w:lineRule="exact"/>
        <w:ind w:firstLine="640"/>
        <w:rPr>
          <w:rFonts w:hint="default" w:eastAsia="仿宋_GB2312" w:cs="仿宋_GB2312"/>
          <w:sz w:val="32"/>
          <w:szCs w:val="32"/>
          <w:lang w:val="en-US" w:eastAsia="zh-CN"/>
        </w:rPr>
      </w:pPr>
      <w:r>
        <w:rPr>
          <w:rFonts w:hint="eastAsia" w:eastAsia="仿宋_GB2312" w:cs="仿宋_GB2312"/>
          <w:sz w:val="32"/>
          <w:szCs w:val="32"/>
        </w:rPr>
        <w:t>人员经费</w:t>
      </w:r>
      <w:r>
        <w:rPr>
          <w:rFonts w:hint="eastAsia" w:eastAsia="仿宋_GB2312" w:cs="仿宋_GB2312"/>
          <w:sz w:val="32"/>
          <w:szCs w:val="32"/>
          <w:lang w:val="en-US" w:eastAsia="zh-CN"/>
        </w:rPr>
        <w:t>40,679.24</w:t>
      </w:r>
      <w:r>
        <w:rPr>
          <w:rFonts w:hint="eastAsia" w:ascii="仿宋_GB2312" w:hAnsi="仿宋_GB2312" w:eastAsia="仿宋_GB2312" w:cs="仿宋_GB2312"/>
          <w:sz w:val="32"/>
          <w:szCs w:val="32"/>
        </w:rPr>
        <w:t>万</w:t>
      </w:r>
      <w:r>
        <w:rPr>
          <w:rFonts w:hint="eastAsia" w:eastAsia="仿宋_GB2312" w:cs="仿宋_GB2312"/>
          <w:sz w:val="32"/>
          <w:szCs w:val="32"/>
        </w:rPr>
        <w:t>元，主要包括：基本工资、津贴补贴、奖金、伙食补助费、绩效工资、机关事业单位基本养老保险缴费、职业年金缴费、其他社会保障缴费、其他工资福利支出、离休费、抚恤金、生活补助、奖励金、住房公积金、其他对个人和家庭的补助支出等。</w:t>
      </w:r>
      <w:r>
        <w:rPr>
          <w:rFonts w:hint="eastAsia" w:eastAsia="仿宋_GB2312" w:cs="仿宋_GB2312"/>
          <w:sz w:val="32"/>
          <w:szCs w:val="32"/>
        </w:rPr>
        <w:br w:type="textWrapping"/>
      </w:r>
      <w:r>
        <w:rPr>
          <w:rFonts w:hint="eastAsia" w:eastAsia="仿宋_GB2312" w:cs="仿宋_GB2312"/>
          <w:sz w:val="32"/>
          <w:szCs w:val="32"/>
        </w:rPr>
        <w:t>　　公用经费</w:t>
      </w:r>
      <w:r>
        <w:rPr>
          <w:rFonts w:hint="eastAsia" w:eastAsia="仿宋_GB2312" w:cs="仿宋_GB2312"/>
          <w:sz w:val="32"/>
          <w:szCs w:val="32"/>
          <w:lang w:val="en-US" w:eastAsia="zh-CN"/>
        </w:rPr>
        <w:t>3,914.15</w:t>
      </w:r>
      <w:r>
        <w:rPr>
          <w:rFonts w:hint="eastAsia" w:ascii="仿宋_GB2312" w:hAnsi="仿宋_GB2312" w:eastAsia="仿宋_GB2312" w:cs="仿宋_GB2312"/>
          <w:sz w:val="32"/>
          <w:szCs w:val="32"/>
        </w:rPr>
        <w:t>万</w:t>
      </w:r>
      <w:r>
        <w:rPr>
          <w:rFonts w:hint="eastAsia" w:eastAsia="仿宋_GB2312" w:cs="仿宋_GB2312"/>
          <w:sz w:val="32"/>
          <w:szCs w:val="32"/>
        </w:rPr>
        <w:t>元，主要包括：办公费、印刷费、咨询费、手续费、水费、电费、邮电费、物业管理费、差旅费、维修（护）费、租赁费、培训费、公务接待费、</w:t>
      </w:r>
      <w:r>
        <w:rPr>
          <w:rFonts w:hint="eastAsia" w:eastAsia="仿宋_GB2312" w:cs="仿宋_GB2312"/>
          <w:sz w:val="32"/>
          <w:szCs w:val="32"/>
          <w:lang w:val="en-US" w:eastAsia="zh-CN"/>
        </w:rPr>
        <w:t>专用燃料费、</w:t>
      </w:r>
      <w:r>
        <w:rPr>
          <w:rFonts w:hint="eastAsia" w:eastAsia="仿宋_GB2312" w:cs="仿宋_GB2312"/>
          <w:sz w:val="32"/>
          <w:szCs w:val="32"/>
        </w:rPr>
        <w:t>劳务费、委托业务费、福利费、公务用车运行维护费、其他交通费、其他商品和服务支出、办公设备购置、专用设备购置、</w:t>
      </w:r>
      <w:r>
        <w:rPr>
          <w:rFonts w:hint="eastAsia" w:eastAsia="仿宋_GB2312" w:cs="仿宋_GB2312"/>
          <w:sz w:val="32"/>
          <w:szCs w:val="32"/>
          <w:lang w:val="en-US" w:eastAsia="zh-CN"/>
        </w:rPr>
        <w:t>公务用车</w:t>
      </w:r>
      <w:r>
        <w:rPr>
          <w:rFonts w:hint="eastAsia" w:eastAsia="仿宋_GB2312" w:cs="仿宋_GB2312"/>
          <w:sz w:val="32"/>
          <w:szCs w:val="32"/>
        </w:rPr>
        <w:t>购置。</w:t>
      </w:r>
    </w:p>
    <w:p>
      <w:pPr>
        <w:spacing w:line="600" w:lineRule="exact"/>
        <w:ind w:firstLine="640"/>
        <w:outlineLvl w:val="1"/>
        <w:rPr>
          <w:rStyle w:val="31"/>
          <w:rFonts w:ascii="Times New Roman" w:hAnsi="Times New Roman" w:eastAsia="黑体"/>
          <w:b w:val="0"/>
        </w:rPr>
      </w:pPr>
      <w:bookmarkStart w:id="46" w:name="_Toc15377215"/>
      <w:bookmarkStart w:id="47" w:name="_Toc15396609"/>
      <w:bookmarkStart w:id="48" w:name="_Toc23323"/>
      <w:r>
        <w:rPr>
          <w:rFonts w:hint="eastAsia" w:eastAsia="黑体"/>
          <w:sz w:val="32"/>
          <w:szCs w:val="32"/>
        </w:rPr>
        <w:t>七、</w:t>
      </w:r>
      <w:r>
        <w:rPr>
          <w:rStyle w:val="31"/>
          <w:rFonts w:hint="eastAsia" w:ascii="Times New Roman" w:hAnsi="Times New Roman" w:eastAsia="黑体"/>
          <w:b w:val="0"/>
        </w:rPr>
        <w:t>财政拨款</w:t>
      </w:r>
      <w:r>
        <w:rPr>
          <w:rStyle w:val="31"/>
          <w:rFonts w:hint="eastAsia" w:ascii="Times New Roman" w:hAnsi="Times New Roman" w:eastAsia="黑体"/>
        </w:rPr>
        <w:t>“</w:t>
      </w:r>
      <w:r>
        <w:rPr>
          <w:rStyle w:val="31"/>
          <w:rFonts w:hint="eastAsia" w:ascii="Times New Roman" w:hAnsi="Times New Roman" w:eastAsia="黑体"/>
          <w:b w:val="0"/>
        </w:rPr>
        <w:t>三公”经费支出决算情况说明</w:t>
      </w:r>
      <w:bookmarkEnd w:id="46"/>
      <w:bookmarkEnd w:id="47"/>
      <w:bookmarkEnd w:id="48"/>
    </w:p>
    <w:p>
      <w:pPr>
        <w:spacing w:line="600" w:lineRule="exact"/>
        <w:ind w:firstLine="643" w:firstLineChars="200"/>
        <w:outlineLvl w:val="2"/>
        <w:rPr>
          <w:rFonts w:eastAsia="楷体_GB2312" w:cs="楷体_GB2312"/>
          <w:b/>
          <w:sz w:val="32"/>
          <w:szCs w:val="32"/>
        </w:rPr>
      </w:pPr>
      <w:bookmarkStart w:id="49" w:name="_Toc15377216"/>
      <w:r>
        <w:rPr>
          <w:rFonts w:hint="eastAsia" w:eastAsia="楷体_GB2312" w:cs="楷体_GB2312"/>
          <w:b/>
          <w:sz w:val="32"/>
          <w:szCs w:val="32"/>
        </w:rPr>
        <w:t>（一）“三公”经费财政拨款支出决算总体情况说明</w:t>
      </w:r>
      <w:bookmarkEnd w:id="49"/>
    </w:p>
    <w:p>
      <w:pPr>
        <w:spacing w:line="600" w:lineRule="exact"/>
        <w:ind w:firstLine="640"/>
        <w:rPr>
          <w:rFonts w:hint="default" w:eastAsia="仿宋_GB2312" w:cs="仿宋_GB2312"/>
          <w:sz w:val="32"/>
          <w:szCs w:val="32"/>
          <w:lang w:val="en-US" w:eastAsia="zh-CN"/>
        </w:rPr>
      </w:pPr>
      <w:r>
        <w:rPr>
          <w:rFonts w:hint="eastAsia" w:eastAsia="仿宋_GB2312" w:cs="仿宋_GB2312"/>
          <w:sz w:val="32"/>
          <w:szCs w:val="32"/>
        </w:rPr>
        <w:t>2024年度“三公”经费财政拨款支出决算为827.37</w:t>
      </w:r>
      <w:r>
        <w:rPr>
          <w:rFonts w:hint="eastAsia" w:ascii="仿宋_GB2312" w:hAnsi="仿宋_GB2312" w:eastAsia="仿宋_GB2312" w:cs="仿宋_GB2312"/>
          <w:sz w:val="32"/>
          <w:szCs w:val="32"/>
        </w:rPr>
        <w:t>万元，完成预算</w:t>
      </w:r>
      <w:r>
        <w:rPr>
          <w:rFonts w:hint="eastAsia" w:eastAsia="仿宋_GB2312" w:cs="仿宋_GB2312"/>
          <w:sz w:val="32"/>
          <w:szCs w:val="32"/>
          <w:lang w:val="en-US" w:eastAsia="zh-CN"/>
        </w:rPr>
        <w:t>96.2%</w:t>
      </w:r>
      <w:r>
        <w:rPr>
          <w:rFonts w:hint="eastAsia" w:ascii="仿宋_GB2312" w:hAnsi="仿宋_GB2312" w:eastAsia="仿宋_GB2312" w:cs="仿宋_GB2312"/>
          <w:sz w:val="32"/>
          <w:szCs w:val="32"/>
        </w:rPr>
        <w:t>，</w:t>
      </w:r>
      <w:r>
        <w:rPr>
          <w:rFonts w:hint="eastAsia" w:eastAsia="仿宋_GB2312" w:cs="仿宋_GB2312"/>
          <w:sz w:val="32"/>
          <w:szCs w:val="32"/>
        </w:rPr>
        <w:t>较上年度增加363.91万元，增长78.52%。决算数小于预算数的主要原因是</w:t>
      </w:r>
      <w:r>
        <w:rPr>
          <w:rFonts w:hint="eastAsia" w:eastAsia="仿宋_GB2312" w:cs="仿宋_GB2312"/>
          <w:sz w:val="32"/>
          <w:szCs w:val="32"/>
          <w:lang w:val="en-US" w:eastAsia="zh-CN"/>
        </w:rPr>
        <w:t>厉行节约原则，减少三公经费开支。</w:t>
      </w:r>
    </w:p>
    <w:p>
      <w:pPr>
        <w:spacing w:line="600" w:lineRule="exact"/>
        <w:ind w:firstLine="643" w:firstLineChars="200"/>
        <w:outlineLvl w:val="2"/>
        <w:rPr>
          <w:rFonts w:eastAsia="楷体_GB2312" w:cs="楷体_GB2312"/>
          <w:b/>
          <w:sz w:val="32"/>
          <w:szCs w:val="32"/>
        </w:rPr>
      </w:pPr>
      <w:bookmarkStart w:id="50" w:name="_Toc15377217"/>
      <w:r>
        <w:rPr>
          <w:rFonts w:hint="eastAsia" w:eastAsia="楷体_GB2312" w:cs="楷体_GB2312"/>
          <w:b/>
          <w:sz w:val="32"/>
          <w:szCs w:val="32"/>
        </w:rPr>
        <w:t>（二）“三公”经费财政拨款支出决算具体情况说明</w:t>
      </w:r>
      <w:bookmarkEnd w:id="50"/>
    </w:p>
    <w:p>
      <w:pPr>
        <w:numPr>
          <w:ilvl w:val="0"/>
          <w:numId w:val="0"/>
        </w:numPr>
        <w:spacing w:line="600" w:lineRule="exact"/>
        <w:ind w:firstLine="640" w:firstLineChars="200"/>
        <w:rPr>
          <w:rFonts w:hint="eastAsia" w:ascii="Times New Roman" w:hAnsi="Times New Roman" w:eastAsia="仿宋_GB2312" w:cs="仿宋_GB2312"/>
          <w:sz w:val="32"/>
          <w:szCs w:val="32"/>
          <w:lang w:val="en-US" w:eastAsia="zh-CN"/>
        </w:rPr>
      </w:pPr>
      <w:r>
        <w:rPr>
          <w:rFonts w:hint="eastAsia" w:ascii="Times New Roman" w:hAnsi="Times New Roman" w:eastAsia="仿宋_GB2312" w:cs="仿宋_GB2312"/>
          <w:sz w:val="32"/>
          <w:szCs w:val="32"/>
          <w:lang w:val="en-US" w:eastAsia="zh-CN"/>
        </w:rPr>
        <w:t>2024年度“三公”经费财政拨款支出决算中，因公出国（境）费支出决算0万元，占0%；公务用车购置及运行维护费支出决算824.91万元，占99.7%；公务接待费支出决算2.46万元，占0.3%。具体情况如下：</w:t>
      </w:r>
    </w:p>
    <w:p>
      <w:pPr>
        <w:jc w:val="center"/>
        <w:rPr>
          <w:rFonts w:hint="eastAsia"/>
          <w:lang w:val="en-US" w:eastAsia="zh-CN"/>
        </w:rPr>
      </w:pPr>
      <w:r>
        <w:drawing>
          <wp:inline distT="0" distB="0" distL="114300" distR="114300">
            <wp:extent cx="4665345" cy="2487930"/>
            <wp:effectExtent l="4445" t="4445" r="16510" b="22225"/>
            <wp:docPr id="25164"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pPr>
        <w:spacing w:line="600" w:lineRule="exact"/>
        <w:ind w:firstLine="640"/>
        <w:jc w:val="center"/>
        <w:rPr>
          <w:rFonts w:eastAsia="仿宋_GB2312" w:cs="仿宋_GB2312"/>
          <w:sz w:val="32"/>
          <w:szCs w:val="32"/>
        </w:rPr>
      </w:pPr>
      <w:r>
        <w:rPr>
          <w:rFonts w:hint="eastAsia" w:eastAsia="仿宋_GB2312" w:cs="仿宋_GB2312"/>
          <w:sz w:val="32"/>
          <w:szCs w:val="32"/>
        </w:rPr>
        <w:t>（图7：“三公”经费财政拨款支出结构）</w:t>
      </w:r>
    </w:p>
    <w:p>
      <w:pPr>
        <w:numPr>
          <w:ilvl w:val="0"/>
          <w:numId w:val="0"/>
        </w:numPr>
        <w:spacing w:line="600" w:lineRule="exact"/>
        <w:ind w:firstLine="643" w:firstLineChars="200"/>
        <w:rPr>
          <w:rFonts w:hint="eastAsia" w:ascii="Times New Roman" w:hAnsi="Times New Roman" w:eastAsia="仿宋_GB2312" w:cs="仿宋_GB2312"/>
          <w:sz w:val="32"/>
          <w:szCs w:val="32"/>
          <w:lang w:val="en-US" w:eastAsia="zh-CN"/>
        </w:rPr>
      </w:pPr>
      <w:r>
        <w:rPr>
          <w:rFonts w:hint="eastAsia" w:eastAsia="仿宋_GB2312" w:cs="仿宋_GB2312"/>
          <w:b/>
          <w:bCs/>
          <w:sz w:val="32"/>
          <w:szCs w:val="32"/>
          <w:lang w:val="en-US" w:eastAsia="zh-CN"/>
        </w:rPr>
        <w:t>1.</w:t>
      </w:r>
      <w:r>
        <w:rPr>
          <w:rFonts w:hint="eastAsia" w:eastAsia="仿宋_GB2312" w:cs="仿宋_GB2312"/>
          <w:b/>
          <w:bCs/>
          <w:sz w:val="32"/>
          <w:szCs w:val="32"/>
        </w:rPr>
        <w:t>因公出国（境）经费支出</w:t>
      </w:r>
      <w:r>
        <w:rPr>
          <w:rFonts w:hint="eastAsia" w:eastAsia="仿宋_GB2312" w:cs="仿宋_GB2312"/>
          <w:b/>
          <w:bCs/>
          <w:sz w:val="32"/>
          <w:szCs w:val="32"/>
          <w:lang w:val="en-US" w:eastAsia="zh-CN"/>
        </w:rPr>
        <w:t>0</w:t>
      </w:r>
      <w:r>
        <w:rPr>
          <w:rFonts w:hint="eastAsia" w:eastAsia="仿宋_GB2312" w:cs="仿宋_GB2312"/>
          <w:b/>
          <w:bCs/>
          <w:sz w:val="32"/>
          <w:szCs w:val="32"/>
        </w:rPr>
        <w:t>万元，完成预算</w:t>
      </w:r>
      <w:r>
        <w:rPr>
          <w:rFonts w:hint="eastAsia" w:eastAsia="仿宋_GB2312" w:cs="仿宋_GB2312"/>
          <w:b/>
          <w:bCs/>
          <w:sz w:val="32"/>
          <w:szCs w:val="32"/>
          <w:lang w:val="en-US" w:eastAsia="zh-CN"/>
        </w:rPr>
        <w:t>0</w:t>
      </w:r>
      <w:r>
        <w:rPr>
          <w:rFonts w:hint="eastAsia" w:eastAsia="仿宋_GB2312" w:cs="仿宋_GB2312"/>
          <w:b/>
          <w:bCs/>
          <w:sz w:val="32"/>
          <w:szCs w:val="32"/>
        </w:rPr>
        <w:t>%。</w:t>
      </w:r>
      <w:r>
        <w:rPr>
          <w:rFonts w:hint="eastAsia" w:eastAsia="仿宋_GB2312" w:cs="仿宋_GB2312"/>
          <w:sz w:val="32"/>
          <w:szCs w:val="32"/>
        </w:rPr>
        <w:t>全</w:t>
      </w:r>
      <w:r>
        <w:rPr>
          <w:rFonts w:hint="eastAsia" w:ascii="Times New Roman" w:hAnsi="Times New Roman" w:eastAsia="仿宋_GB2312" w:cs="仿宋_GB2312"/>
          <w:sz w:val="32"/>
          <w:szCs w:val="32"/>
          <w:lang w:val="en-US" w:eastAsia="zh-CN"/>
        </w:rPr>
        <w:t>年安排因公出国（境）团组0次，出国（境）0人。因公出国（境）支出决算与2023年一致。</w:t>
      </w:r>
    </w:p>
    <w:p>
      <w:pPr>
        <w:numPr>
          <w:ilvl w:val="0"/>
          <w:numId w:val="0"/>
        </w:numPr>
        <w:spacing w:line="600" w:lineRule="exact"/>
        <w:ind w:firstLine="643" w:firstLineChars="200"/>
        <w:rPr>
          <w:rFonts w:hint="default" w:eastAsia="仿宋_GB2312" w:cs="仿宋_GB2312"/>
          <w:sz w:val="32"/>
          <w:szCs w:val="32"/>
          <w:lang w:val="en-US" w:eastAsia="zh-CN"/>
        </w:rPr>
      </w:pPr>
      <w:r>
        <w:rPr>
          <w:rFonts w:hint="eastAsia" w:eastAsia="仿宋_GB2312" w:cs="仿宋_GB2312"/>
          <w:b/>
          <w:bCs/>
          <w:sz w:val="32"/>
          <w:szCs w:val="32"/>
        </w:rPr>
        <w:t>2.公务用车购置及运行维护费支出</w:t>
      </w:r>
      <w:r>
        <w:rPr>
          <w:rFonts w:hint="eastAsia" w:ascii="仿宋_GB2312" w:hAnsi="仿宋_GB2312" w:eastAsia="仿宋_GB2312" w:cs="仿宋_GB2312"/>
          <w:b/>
          <w:bCs/>
          <w:sz w:val="32"/>
          <w:szCs w:val="32"/>
        </w:rPr>
        <w:t>824.91万</w:t>
      </w:r>
      <w:r>
        <w:rPr>
          <w:rFonts w:hint="eastAsia" w:eastAsia="仿宋_GB2312" w:cs="仿宋_GB2312"/>
          <w:b/>
          <w:bCs/>
          <w:sz w:val="32"/>
          <w:szCs w:val="32"/>
        </w:rPr>
        <w:t>元，完成预算</w:t>
      </w:r>
      <w:r>
        <w:rPr>
          <w:rFonts w:hint="eastAsia" w:eastAsia="仿宋_GB2312" w:cs="仿宋_GB2312"/>
          <w:b/>
          <w:bCs/>
          <w:sz w:val="32"/>
          <w:szCs w:val="32"/>
          <w:lang w:val="en-US" w:eastAsia="zh-CN"/>
        </w:rPr>
        <w:t>99.1</w:t>
      </w:r>
      <w:r>
        <w:rPr>
          <w:rFonts w:hint="eastAsia" w:eastAsia="仿宋_GB2312" w:cs="仿宋_GB2312"/>
          <w:b/>
          <w:bCs/>
          <w:sz w:val="32"/>
          <w:szCs w:val="32"/>
        </w:rPr>
        <w:t>%。</w:t>
      </w:r>
      <w:r>
        <w:rPr>
          <w:rFonts w:hint="eastAsia" w:eastAsia="仿宋_GB2312" w:cs="仿宋_GB2312"/>
          <w:sz w:val="32"/>
          <w:szCs w:val="32"/>
        </w:rPr>
        <w:t>公务用车购置及运行维护费支出决算比2023年度增加363.63万元，增长78.8%。主要原因是</w:t>
      </w:r>
      <w:r>
        <w:rPr>
          <w:rFonts w:hint="eastAsia" w:eastAsia="仿宋_GB2312" w:cs="仿宋_GB2312"/>
          <w:sz w:val="32"/>
          <w:szCs w:val="32"/>
          <w:lang w:val="en-US" w:eastAsia="zh-CN"/>
        </w:rPr>
        <w:t>本年度新购置了7辆公务用车。</w:t>
      </w:r>
    </w:p>
    <w:p>
      <w:pPr>
        <w:spacing w:line="600" w:lineRule="exact"/>
        <w:ind w:firstLine="640"/>
        <w:rPr>
          <w:rFonts w:eastAsia="仿宋_GB2312" w:cs="仿宋_GB2312"/>
          <w:sz w:val="32"/>
          <w:szCs w:val="32"/>
          <w:highlight w:val="yellow"/>
        </w:rPr>
      </w:pPr>
      <w:r>
        <w:rPr>
          <w:rFonts w:hint="eastAsia" w:ascii="Times New Roman" w:hAnsi="Times New Roman" w:eastAsia="仿宋_GB2312" w:cs="仿宋_GB2312"/>
          <w:sz w:val="32"/>
          <w:szCs w:val="32"/>
          <w:lang w:val="en-US" w:eastAsia="zh-CN"/>
        </w:rPr>
        <w:t>其中：公务用车购置支出311.59万元。全年按规定更新购置公务用车7辆，其中：轿车0辆、金额0万元，越野车7辆、金额311.59万元，载客汽车0辆、金额0万元。截至2024年12月31日，</w:t>
      </w:r>
      <w:r>
        <w:rPr>
          <w:rFonts w:hint="eastAsia" w:eastAsia="仿宋_GB2312" w:cs="仿宋_GB2312"/>
          <w:sz w:val="32"/>
          <w:szCs w:val="32"/>
        </w:rPr>
        <w:t>单位</w:t>
      </w:r>
      <w:r>
        <w:rPr>
          <w:rFonts w:hint="eastAsia" w:eastAsia="仿宋_GB2312" w:cs="仿宋_GB2312"/>
          <w:sz w:val="32"/>
          <w:szCs w:val="32"/>
          <w:highlight w:val="none"/>
        </w:rPr>
        <w:t>共有公务用车</w:t>
      </w:r>
      <w:r>
        <w:rPr>
          <w:rFonts w:hint="eastAsia" w:eastAsia="仿宋_GB2312" w:cs="仿宋_GB2312"/>
          <w:sz w:val="32"/>
          <w:szCs w:val="32"/>
          <w:highlight w:val="none"/>
          <w:lang w:val="en-US" w:eastAsia="zh-CN"/>
        </w:rPr>
        <w:t>249</w:t>
      </w:r>
      <w:r>
        <w:rPr>
          <w:rFonts w:hint="eastAsia" w:eastAsia="仿宋_GB2312" w:cs="仿宋_GB2312"/>
          <w:sz w:val="32"/>
          <w:szCs w:val="32"/>
          <w:highlight w:val="none"/>
        </w:rPr>
        <w:t>辆，其中：轿车</w:t>
      </w:r>
      <w:r>
        <w:rPr>
          <w:rFonts w:hint="eastAsia" w:eastAsia="仿宋_GB2312" w:cs="仿宋_GB2312"/>
          <w:sz w:val="32"/>
          <w:szCs w:val="32"/>
          <w:highlight w:val="none"/>
          <w:lang w:val="en-US" w:eastAsia="zh-CN"/>
        </w:rPr>
        <w:t>45</w:t>
      </w:r>
      <w:r>
        <w:rPr>
          <w:rFonts w:hint="eastAsia" w:eastAsia="仿宋_GB2312" w:cs="仿宋_GB2312"/>
          <w:sz w:val="32"/>
          <w:szCs w:val="32"/>
          <w:highlight w:val="none"/>
        </w:rPr>
        <w:t>辆、越野车</w:t>
      </w:r>
      <w:r>
        <w:rPr>
          <w:rFonts w:hint="eastAsia" w:eastAsia="仿宋_GB2312" w:cs="仿宋_GB2312"/>
          <w:sz w:val="32"/>
          <w:szCs w:val="32"/>
          <w:highlight w:val="none"/>
          <w:lang w:val="en-US" w:eastAsia="zh-CN"/>
        </w:rPr>
        <w:t>43</w:t>
      </w:r>
      <w:r>
        <w:rPr>
          <w:rFonts w:hint="eastAsia" w:eastAsia="仿宋_GB2312" w:cs="仿宋_GB2312"/>
          <w:sz w:val="32"/>
          <w:szCs w:val="32"/>
          <w:highlight w:val="none"/>
        </w:rPr>
        <w:t>辆、载客汽车</w:t>
      </w:r>
      <w:r>
        <w:rPr>
          <w:rFonts w:hint="eastAsia" w:eastAsia="仿宋_GB2312" w:cs="仿宋_GB2312"/>
          <w:sz w:val="32"/>
          <w:szCs w:val="32"/>
          <w:highlight w:val="none"/>
          <w:lang w:val="en-US" w:eastAsia="zh-CN"/>
        </w:rPr>
        <w:t>1</w:t>
      </w:r>
      <w:r>
        <w:rPr>
          <w:rFonts w:hint="eastAsia" w:eastAsia="仿宋_GB2312" w:cs="仿宋_GB2312"/>
          <w:sz w:val="32"/>
          <w:szCs w:val="32"/>
          <w:highlight w:val="none"/>
        </w:rPr>
        <w:t>辆</w:t>
      </w:r>
      <w:r>
        <w:rPr>
          <w:rFonts w:hint="eastAsia" w:eastAsia="仿宋_GB2312" w:cs="仿宋_GB2312"/>
          <w:sz w:val="32"/>
          <w:szCs w:val="32"/>
          <w:highlight w:val="none"/>
          <w:lang w:eastAsia="zh-CN"/>
        </w:rPr>
        <w:t>、其他车型</w:t>
      </w:r>
      <w:r>
        <w:rPr>
          <w:rFonts w:hint="eastAsia" w:eastAsia="仿宋_GB2312" w:cs="仿宋_GB2312"/>
          <w:sz w:val="32"/>
          <w:szCs w:val="32"/>
          <w:highlight w:val="none"/>
          <w:lang w:val="en-US" w:eastAsia="zh-CN"/>
        </w:rPr>
        <w:t>160</w:t>
      </w:r>
      <w:r>
        <w:rPr>
          <w:rFonts w:hint="eastAsia" w:eastAsia="仿宋_GB2312" w:cs="仿宋_GB2312"/>
          <w:sz w:val="32"/>
          <w:szCs w:val="32"/>
          <w:highlight w:val="none"/>
          <w:lang w:eastAsia="zh-CN"/>
        </w:rPr>
        <w:t>辆。</w:t>
      </w:r>
    </w:p>
    <w:p>
      <w:pPr>
        <w:spacing w:line="600" w:lineRule="exact"/>
        <w:ind w:firstLine="640"/>
        <w:rPr>
          <w:rFonts w:eastAsia="仿宋_GB2312" w:cs="仿宋_GB2312"/>
          <w:sz w:val="32"/>
          <w:szCs w:val="32"/>
        </w:rPr>
      </w:pPr>
      <w:r>
        <w:rPr>
          <w:rFonts w:hint="eastAsia" w:ascii="Times New Roman" w:hAnsi="Times New Roman" w:eastAsia="仿宋_GB2312" w:cs="仿宋_GB2312"/>
          <w:sz w:val="32"/>
          <w:szCs w:val="32"/>
          <w:lang w:val="en-US" w:eastAsia="zh-CN"/>
        </w:rPr>
        <w:t>公务用车运行维护费支出513.32万元。主要用于公路养护等所需的公务用车燃料费、维修费、过路过桥费、保险费等支出</w:t>
      </w:r>
      <w:r>
        <w:rPr>
          <w:rFonts w:hint="eastAsia" w:eastAsia="仿宋_GB2312" w:cs="仿宋_GB2312"/>
          <w:sz w:val="32"/>
          <w:szCs w:val="32"/>
        </w:rPr>
        <w:t>。</w:t>
      </w:r>
    </w:p>
    <w:p>
      <w:pPr>
        <w:spacing w:line="600" w:lineRule="exact"/>
        <w:ind w:firstLine="640"/>
        <w:rPr>
          <w:rFonts w:eastAsia="仿宋_GB2312" w:cs="仿宋_GB2312"/>
          <w:sz w:val="32"/>
          <w:szCs w:val="32"/>
          <w:highlight w:val="none"/>
        </w:rPr>
      </w:pPr>
      <w:r>
        <w:rPr>
          <w:rFonts w:hint="eastAsia" w:eastAsia="仿宋_GB2312" w:cs="仿宋_GB2312"/>
          <w:b/>
          <w:bCs/>
          <w:sz w:val="32"/>
          <w:szCs w:val="32"/>
        </w:rPr>
        <w:t>3.公务接待费支出</w:t>
      </w:r>
      <w:r>
        <w:rPr>
          <w:rFonts w:hint="eastAsia" w:ascii="仿宋_GB2312" w:hAnsi="仿宋_GB2312" w:eastAsia="仿宋_GB2312" w:cs="仿宋_GB2312"/>
          <w:b/>
          <w:bCs/>
          <w:sz w:val="32"/>
          <w:szCs w:val="32"/>
        </w:rPr>
        <w:t>2.46万</w:t>
      </w:r>
      <w:r>
        <w:rPr>
          <w:rFonts w:hint="eastAsia" w:eastAsia="仿宋_GB2312" w:cs="仿宋_GB2312"/>
          <w:b/>
          <w:bCs/>
          <w:sz w:val="32"/>
          <w:szCs w:val="32"/>
        </w:rPr>
        <w:t>元，完成预算</w:t>
      </w:r>
      <w:r>
        <w:rPr>
          <w:rFonts w:hint="eastAsia" w:eastAsia="仿宋_GB2312" w:cs="仿宋_GB2312"/>
          <w:b/>
          <w:bCs/>
          <w:sz w:val="32"/>
          <w:szCs w:val="32"/>
          <w:lang w:val="en-US" w:eastAsia="zh-CN"/>
        </w:rPr>
        <w:t>9</w:t>
      </w:r>
      <w:r>
        <w:rPr>
          <w:rFonts w:hint="eastAsia" w:eastAsia="仿宋_GB2312" w:cs="仿宋_GB2312"/>
          <w:b/>
          <w:bCs/>
          <w:sz w:val="32"/>
          <w:szCs w:val="32"/>
        </w:rPr>
        <w:t>%。</w:t>
      </w:r>
      <w:r>
        <w:rPr>
          <w:rFonts w:hint="eastAsia" w:eastAsia="仿宋_GB2312" w:cs="仿宋_GB2312"/>
          <w:sz w:val="32"/>
          <w:szCs w:val="32"/>
        </w:rPr>
        <w:t>公务接待费支出决算比2023年度增加0.29万元，增长13.</w:t>
      </w:r>
      <w:r>
        <w:rPr>
          <w:rFonts w:hint="eastAsia" w:eastAsia="仿宋_GB2312" w:cs="仿宋_GB2312"/>
          <w:sz w:val="32"/>
          <w:szCs w:val="32"/>
          <w:lang w:val="en-US" w:eastAsia="zh-CN"/>
        </w:rPr>
        <w:t>3</w:t>
      </w:r>
      <w:r>
        <w:rPr>
          <w:rFonts w:hint="eastAsia" w:eastAsia="仿宋_GB2312" w:cs="仿宋_GB2312"/>
          <w:sz w:val="32"/>
          <w:szCs w:val="32"/>
        </w:rPr>
        <w:t>%。主要</w:t>
      </w:r>
      <w:r>
        <w:rPr>
          <w:rFonts w:hint="eastAsia" w:eastAsia="仿宋_GB2312" w:cs="仿宋_GB2312"/>
          <w:sz w:val="32"/>
          <w:szCs w:val="32"/>
          <w:highlight w:val="none"/>
        </w:rPr>
        <w:t>原因是</w:t>
      </w:r>
      <w:r>
        <w:rPr>
          <w:rFonts w:hint="eastAsia" w:eastAsia="仿宋_GB2312" w:cs="仿宋_GB2312"/>
          <w:sz w:val="32"/>
          <w:szCs w:val="32"/>
          <w:highlight w:val="none"/>
          <w:lang w:val="en-US" w:eastAsia="zh-CN"/>
        </w:rPr>
        <w:t>部门公务接待支出增加</w:t>
      </w:r>
      <w:r>
        <w:rPr>
          <w:rFonts w:hint="eastAsia" w:eastAsia="仿宋_GB2312" w:cs="仿宋_GB2312"/>
          <w:sz w:val="32"/>
          <w:szCs w:val="32"/>
          <w:highlight w:val="none"/>
        </w:rPr>
        <w:t>。其中：</w:t>
      </w:r>
    </w:p>
    <w:p>
      <w:pPr>
        <w:spacing w:line="600" w:lineRule="exact"/>
        <w:ind w:firstLine="640"/>
        <w:rPr>
          <w:rFonts w:hint="eastAsia" w:ascii="Times New Roman" w:hAnsi="Times New Roman" w:eastAsia="仿宋_GB2312" w:cs="仿宋_GB2312"/>
          <w:sz w:val="32"/>
          <w:szCs w:val="32"/>
          <w:highlight w:val="none"/>
        </w:rPr>
      </w:pPr>
      <w:r>
        <w:rPr>
          <w:rFonts w:hint="eastAsia" w:ascii="Times New Roman" w:hAnsi="Times New Roman" w:eastAsia="仿宋_GB2312" w:cs="仿宋_GB2312"/>
          <w:sz w:val="32"/>
          <w:szCs w:val="32"/>
          <w:highlight w:val="none"/>
        </w:rPr>
        <w:t>国内公务接待支出2.46万元，主要用于执行公务、开展业务活动开支的交通费、住宿费、用餐费等。国内公务接待</w:t>
      </w:r>
      <w:r>
        <w:rPr>
          <w:rFonts w:hint="eastAsia" w:ascii="Times New Roman" w:hAnsi="Times New Roman" w:eastAsia="仿宋_GB2312" w:cs="仿宋_GB2312"/>
          <w:sz w:val="32"/>
          <w:szCs w:val="32"/>
          <w:highlight w:val="none"/>
          <w:lang w:val="en-US" w:eastAsia="zh-CN"/>
        </w:rPr>
        <w:t>37</w:t>
      </w:r>
      <w:r>
        <w:rPr>
          <w:rFonts w:hint="eastAsia" w:ascii="Times New Roman" w:hAnsi="Times New Roman" w:eastAsia="仿宋_GB2312" w:cs="仿宋_GB2312"/>
          <w:sz w:val="32"/>
          <w:szCs w:val="32"/>
          <w:highlight w:val="none"/>
        </w:rPr>
        <w:t>批次，</w:t>
      </w:r>
      <w:r>
        <w:rPr>
          <w:rFonts w:hint="eastAsia" w:ascii="Times New Roman" w:hAnsi="Times New Roman" w:eastAsia="仿宋_GB2312" w:cs="仿宋_GB2312"/>
          <w:sz w:val="32"/>
          <w:szCs w:val="32"/>
          <w:highlight w:val="none"/>
          <w:lang w:val="en-US" w:eastAsia="zh-CN"/>
        </w:rPr>
        <w:t>365</w:t>
      </w:r>
      <w:r>
        <w:rPr>
          <w:rFonts w:hint="eastAsia" w:ascii="Times New Roman" w:hAnsi="Times New Roman" w:eastAsia="仿宋_GB2312" w:cs="仿宋_GB2312"/>
          <w:sz w:val="32"/>
          <w:szCs w:val="32"/>
          <w:highlight w:val="none"/>
        </w:rPr>
        <w:t>人次（不包括陪同人员），共计支出</w:t>
      </w:r>
      <w:r>
        <w:rPr>
          <w:rFonts w:hint="eastAsia" w:ascii="Times New Roman" w:hAnsi="Times New Roman" w:eastAsia="仿宋_GB2312" w:cs="仿宋_GB2312"/>
          <w:sz w:val="32"/>
          <w:szCs w:val="32"/>
          <w:highlight w:val="none"/>
          <w:lang w:val="en-US" w:eastAsia="zh-CN"/>
        </w:rPr>
        <w:t>2.46</w:t>
      </w:r>
      <w:r>
        <w:rPr>
          <w:rFonts w:hint="eastAsia" w:ascii="Times New Roman" w:hAnsi="Times New Roman" w:eastAsia="仿宋_GB2312" w:cs="仿宋_GB2312"/>
          <w:sz w:val="32"/>
          <w:szCs w:val="32"/>
          <w:highlight w:val="none"/>
        </w:rPr>
        <w:t>万元，具体内容包括：</w:t>
      </w:r>
      <w:r>
        <w:rPr>
          <w:rFonts w:hint="eastAsia" w:ascii="Times New Roman" w:hAnsi="Times New Roman" w:eastAsia="仿宋_GB2312" w:cs="仿宋_GB2312"/>
          <w:sz w:val="32"/>
          <w:szCs w:val="32"/>
          <w:highlight w:val="none"/>
          <w:lang w:val="en-US" w:eastAsia="zh-CN"/>
        </w:rPr>
        <w:t>考核工作接待、公路养护接待等共计2.46万元</w:t>
      </w:r>
      <w:r>
        <w:rPr>
          <w:rFonts w:hint="eastAsia" w:ascii="Times New Roman" w:hAnsi="Times New Roman" w:eastAsia="仿宋_GB2312" w:cs="仿宋_GB2312"/>
          <w:sz w:val="32"/>
          <w:szCs w:val="32"/>
          <w:highlight w:val="none"/>
        </w:rPr>
        <w:t>。</w:t>
      </w:r>
    </w:p>
    <w:p>
      <w:pPr>
        <w:spacing w:line="600" w:lineRule="exact"/>
        <w:ind w:firstLine="640"/>
        <w:rPr>
          <w:rFonts w:eastAsia="仿宋_GB2312" w:cs="仿宋_GB2312"/>
          <w:sz w:val="32"/>
          <w:szCs w:val="32"/>
        </w:rPr>
      </w:pPr>
      <w:r>
        <w:rPr>
          <w:rFonts w:hint="eastAsia" w:ascii="Times New Roman" w:hAnsi="Times New Roman" w:eastAsia="仿宋_GB2312" w:cs="仿宋_GB2312"/>
          <w:sz w:val="32"/>
          <w:szCs w:val="32"/>
          <w:lang w:val="en-US" w:eastAsia="zh-CN"/>
        </w:rPr>
        <w:t>外事接待支出0万元。外事接待0批次，0人次（不包括陪同人员），共计支出0万元。</w:t>
      </w:r>
      <w:bookmarkStart w:id="51" w:name="_Toc15377218"/>
      <w:bookmarkStart w:id="52" w:name="_Toc15396610"/>
    </w:p>
    <w:p>
      <w:pPr>
        <w:spacing w:line="600" w:lineRule="exact"/>
        <w:ind w:firstLine="640"/>
        <w:outlineLvl w:val="1"/>
        <w:rPr>
          <w:rStyle w:val="31"/>
          <w:rFonts w:ascii="Times New Roman" w:hAnsi="Times New Roman" w:eastAsia="黑体"/>
        </w:rPr>
      </w:pPr>
      <w:bookmarkStart w:id="53" w:name="_Toc22703"/>
      <w:r>
        <w:rPr>
          <w:rFonts w:hint="eastAsia" w:eastAsia="黑体"/>
          <w:sz w:val="32"/>
          <w:szCs w:val="32"/>
        </w:rPr>
        <w:t>八、</w:t>
      </w:r>
      <w:r>
        <w:rPr>
          <w:rStyle w:val="31"/>
          <w:rFonts w:hint="eastAsia" w:ascii="Times New Roman" w:hAnsi="Times New Roman" w:eastAsia="黑体"/>
          <w:b w:val="0"/>
        </w:rPr>
        <w:t>政府性基金预算支出决算情况说明</w:t>
      </w:r>
      <w:bookmarkEnd w:id="51"/>
      <w:bookmarkEnd w:id="52"/>
      <w:bookmarkEnd w:id="53"/>
    </w:p>
    <w:p>
      <w:pPr>
        <w:spacing w:line="600" w:lineRule="exact"/>
        <w:ind w:firstLine="640"/>
        <w:rPr>
          <w:rFonts w:eastAsia="仿宋_GB2312" w:cs="仿宋_GB2312"/>
          <w:sz w:val="32"/>
          <w:szCs w:val="32"/>
        </w:rPr>
      </w:pPr>
      <w:r>
        <w:rPr>
          <w:rFonts w:hint="eastAsia" w:ascii="Times New Roman" w:hAnsi="Times New Roman" w:eastAsia="仿宋_GB2312" w:cs="仿宋_GB2312"/>
          <w:sz w:val="32"/>
          <w:szCs w:val="32"/>
          <w:lang w:val="en-US" w:eastAsia="zh-CN"/>
        </w:rPr>
        <w:t>2024年度政府性基金预算财政拨款支出0万元。与2023年度一致</w:t>
      </w:r>
      <w:r>
        <w:rPr>
          <w:rFonts w:hint="eastAsia" w:eastAsia="仿宋_GB2312" w:cs="仿宋_GB2312"/>
          <w:sz w:val="32"/>
          <w:szCs w:val="32"/>
          <w:lang w:eastAsia="zh-CN"/>
        </w:rPr>
        <w:t>。</w:t>
      </w:r>
    </w:p>
    <w:p>
      <w:pPr>
        <w:spacing w:line="600" w:lineRule="exact"/>
        <w:ind w:left="630"/>
        <w:outlineLvl w:val="1"/>
        <w:rPr>
          <w:rStyle w:val="31"/>
          <w:rFonts w:ascii="Times New Roman" w:hAnsi="Times New Roman" w:eastAsia="黑体"/>
          <w:b w:val="0"/>
        </w:rPr>
      </w:pPr>
      <w:bookmarkStart w:id="54" w:name="_Toc14126"/>
      <w:bookmarkStart w:id="55" w:name="_Toc15396611"/>
      <w:bookmarkStart w:id="56" w:name="_Toc15377219"/>
      <w:r>
        <w:rPr>
          <w:rStyle w:val="31"/>
          <w:rFonts w:hint="eastAsia" w:ascii="Times New Roman" w:hAnsi="Times New Roman" w:eastAsia="黑体"/>
          <w:b w:val="0"/>
        </w:rPr>
        <w:t>九、国有资本经营预算支出决算情况说明</w:t>
      </w:r>
      <w:bookmarkEnd w:id="54"/>
      <w:bookmarkEnd w:id="55"/>
      <w:bookmarkEnd w:id="56"/>
    </w:p>
    <w:p>
      <w:pPr>
        <w:spacing w:line="600" w:lineRule="exact"/>
        <w:ind w:firstLine="640"/>
        <w:rPr>
          <w:rFonts w:hint="eastAsia" w:ascii="Times New Roman" w:hAnsi="Times New Roman" w:eastAsia="仿宋_GB2312" w:cs="仿宋_GB2312"/>
          <w:sz w:val="32"/>
          <w:szCs w:val="32"/>
          <w:lang w:val="en-US" w:eastAsia="zh-CN"/>
        </w:rPr>
      </w:pPr>
      <w:r>
        <w:rPr>
          <w:rFonts w:hint="eastAsia" w:ascii="Times New Roman" w:hAnsi="Times New Roman" w:eastAsia="仿宋_GB2312" w:cs="仿宋_GB2312"/>
          <w:sz w:val="32"/>
          <w:szCs w:val="32"/>
          <w:lang w:val="en-US" w:eastAsia="zh-CN"/>
        </w:rPr>
        <w:t>2024年度国有资本经营预算财政拨款支出0万元。与2023年度一致。</w:t>
      </w:r>
    </w:p>
    <w:p>
      <w:pPr>
        <w:spacing w:line="600" w:lineRule="exact"/>
        <w:ind w:left="630"/>
        <w:outlineLvl w:val="1"/>
        <w:rPr>
          <w:rStyle w:val="31"/>
          <w:rFonts w:ascii="Times New Roman" w:hAnsi="Times New Roman" w:eastAsia="黑体"/>
          <w:b w:val="0"/>
        </w:rPr>
      </w:pPr>
      <w:bookmarkStart w:id="57" w:name="_Toc16237"/>
      <w:bookmarkStart w:id="58" w:name="_Toc15396612"/>
      <w:bookmarkStart w:id="59" w:name="_Toc15377221"/>
      <w:r>
        <w:rPr>
          <w:rStyle w:val="31"/>
          <w:rFonts w:hint="eastAsia" w:ascii="Times New Roman" w:hAnsi="Times New Roman" w:eastAsia="黑体"/>
          <w:b w:val="0"/>
        </w:rPr>
        <w:t>十、其他重要事项的情况说明</w:t>
      </w:r>
      <w:bookmarkEnd w:id="57"/>
      <w:bookmarkEnd w:id="58"/>
      <w:bookmarkEnd w:id="59"/>
    </w:p>
    <w:p>
      <w:pPr>
        <w:spacing w:line="600" w:lineRule="exact"/>
        <w:ind w:firstLine="643" w:firstLineChars="200"/>
        <w:outlineLvl w:val="2"/>
        <w:rPr>
          <w:rFonts w:eastAsia="楷体_GB2312" w:cs="楷体_GB2312"/>
          <w:b/>
          <w:sz w:val="32"/>
          <w:szCs w:val="32"/>
        </w:rPr>
      </w:pPr>
      <w:bookmarkStart w:id="60" w:name="_Toc15377222"/>
      <w:r>
        <w:rPr>
          <w:rFonts w:hint="eastAsia" w:eastAsia="楷体_GB2312" w:cs="楷体_GB2312"/>
          <w:b/>
          <w:sz w:val="32"/>
          <w:szCs w:val="32"/>
        </w:rPr>
        <w:t>（一）机关运行经费支出情况</w:t>
      </w:r>
      <w:bookmarkEnd w:id="60"/>
    </w:p>
    <w:p>
      <w:pPr>
        <w:spacing w:line="600" w:lineRule="exact"/>
        <w:ind w:firstLine="640"/>
        <w:rPr>
          <w:rFonts w:hint="eastAsia" w:ascii="Times New Roman" w:hAnsi="Times New Roman" w:eastAsia="仿宋_GB2312" w:cs="仿宋_GB2312"/>
          <w:sz w:val="32"/>
          <w:szCs w:val="32"/>
          <w:lang w:val="en-US" w:eastAsia="zh-CN"/>
        </w:rPr>
      </w:pPr>
      <w:r>
        <w:rPr>
          <w:rFonts w:hint="eastAsia" w:ascii="Times New Roman" w:hAnsi="Times New Roman" w:eastAsia="仿宋_GB2312" w:cs="仿宋_GB2312"/>
          <w:sz w:val="32"/>
          <w:szCs w:val="32"/>
          <w:lang w:val="en-US" w:eastAsia="zh-CN"/>
        </w:rPr>
        <w:t>2024年度，阿坝州公路局机关运行经费支出0万元，与2023年度决算数持平。</w:t>
      </w:r>
      <w:bookmarkStart w:id="61" w:name="_Toc15377223"/>
    </w:p>
    <w:p>
      <w:pPr>
        <w:spacing w:line="600" w:lineRule="exact"/>
        <w:ind w:firstLine="643" w:firstLineChars="200"/>
        <w:outlineLvl w:val="2"/>
        <w:rPr>
          <w:rFonts w:eastAsia="楷体_GB2312" w:cs="楷体_GB2312"/>
          <w:b/>
          <w:sz w:val="32"/>
          <w:szCs w:val="32"/>
        </w:rPr>
      </w:pPr>
      <w:r>
        <w:rPr>
          <w:rFonts w:hint="eastAsia" w:eastAsia="楷体_GB2312" w:cs="楷体_GB2312"/>
          <w:b/>
          <w:sz w:val="32"/>
          <w:szCs w:val="32"/>
        </w:rPr>
        <w:t>（二）政府采购支出情况</w:t>
      </w:r>
      <w:bookmarkEnd w:id="61"/>
    </w:p>
    <w:p>
      <w:pPr>
        <w:spacing w:line="600" w:lineRule="exact"/>
        <w:ind w:firstLine="640"/>
        <w:rPr>
          <w:rFonts w:hint="eastAsia" w:ascii="Times New Roman" w:hAnsi="Times New Roman" w:eastAsia="仿宋_GB2312" w:cs="仿宋_GB2312"/>
          <w:sz w:val="32"/>
          <w:szCs w:val="32"/>
          <w:lang w:val="en-US" w:eastAsia="zh-CN"/>
        </w:rPr>
      </w:pPr>
      <w:r>
        <w:rPr>
          <w:rFonts w:hint="eastAsia" w:ascii="Times New Roman" w:hAnsi="Times New Roman" w:eastAsia="仿宋_GB2312" w:cs="仿宋_GB2312"/>
          <w:sz w:val="32"/>
          <w:szCs w:val="32"/>
          <w:lang w:val="en-US" w:eastAsia="zh-CN"/>
        </w:rPr>
        <w:t>2024年度，阿坝州公路局政府采购支出总额2,959.65万元，其中：政府采购货物支出221.65万元、政府采购工程支出1,872.9万元、政府采购服务支出865.10万元。主要用于单位日常工作开展。授予中小企业合同金额18.44万元，占政府采购支出总额的0%，其中：授予小微企业合同金额0万元，占政府采购支出总额的0%。</w:t>
      </w:r>
    </w:p>
    <w:p>
      <w:pPr>
        <w:spacing w:line="600" w:lineRule="exact"/>
        <w:ind w:firstLine="643" w:firstLineChars="200"/>
        <w:outlineLvl w:val="2"/>
        <w:rPr>
          <w:rFonts w:eastAsia="楷体_GB2312" w:cs="楷体_GB2312"/>
          <w:b/>
          <w:sz w:val="32"/>
          <w:szCs w:val="32"/>
        </w:rPr>
      </w:pPr>
      <w:bookmarkStart w:id="62" w:name="_Toc15377224"/>
      <w:r>
        <w:rPr>
          <w:rFonts w:hint="eastAsia" w:eastAsia="楷体_GB2312" w:cs="楷体_GB2312"/>
          <w:b/>
          <w:sz w:val="32"/>
          <w:szCs w:val="32"/>
        </w:rPr>
        <w:t>（三）国有资产占有使用情况</w:t>
      </w:r>
      <w:bookmarkEnd w:id="62"/>
    </w:p>
    <w:p>
      <w:pPr>
        <w:spacing w:line="600" w:lineRule="exact"/>
        <w:ind w:firstLine="640"/>
        <w:rPr>
          <w:rFonts w:hint="eastAsia" w:ascii="Times New Roman" w:hAnsi="Times New Roman" w:eastAsia="仿宋_GB2312" w:cs="仿宋_GB2312"/>
          <w:sz w:val="32"/>
          <w:szCs w:val="32"/>
          <w:lang w:val="en-US" w:eastAsia="zh-CN"/>
        </w:rPr>
      </w:pPr>
      <w:r>
        <w:rPr>
          <w:rFonts w:hint="eastAsia" w:ascii="Times New Roman" w:hAnsi="Times New Roman" w:eastAsia="仿宋_GB2312" w:cs="仿宋_GB2312"/>
          <w:sz w:val="32"/>
          <w:szCs w:val="32"/>
          <w:lang w:val="en-US" w:eastAsia="zh-CN"/>
        </w:rPr>
        <w:t>截至2024年12月31日，阿坝州公路局共有车辆249辆，其中：主要负责人用车0辆、机要通信用车2辆、应急保障用车117辆、执法执勤用车16辆、特种专业技术用车4辆、其他用车110</w:t>
      </w:r>
      <w:r>
        <w:rPr>
          <w:rFonts w:hint="eastAsia" w:eastAsia="仿宋_GB2312" w:cs="仿宋_GB2312"/>
          <w:sz w:val="32"/>
          <w:szCs w:val="32"/>
          <w:lang w:val="en-US" w:eastAsia="zh-CN"/>
        </w:rPr>
        <w:t>辆</w:t>
      </w:r>
      <w:r>
        <w:rPr>
          <w:rFonts w:hint="eastAsia" w:ascii="Times New Roman" w:hAnsi="Times New Roman" w:eastAsia="仿宋_GB2312" w:cs="仿宋_GB2312"/>
          <w:sz w:val="32"/>
          <w:szCs w:val="32"/>
          <w:lang w:val="en-US" w:eastAsia="zh-CN"/>
        </w:rPr>
        <w:t>，其他用车主要是用于单位执行公务。单价100万元（含）以上设备（不含车辆）0台（套）。</w:t>
      </w:r>
    </w:p>
    <w:p>
      <w:pPr>
        <w:spacing w:line="600" w:lineRule="exact"/>
        <w:ind w:firstLine="643" w:firstLineChars="200"/>
        <w:outlineLvl w:val="2"/>
        <w:rPr>
          <w:rFonts w:eastAsia="楷体_GB2312" w:cs="楷体_GB2312"/>
          <w:b/>
          <w:sz w:val="32"/>
          <w:szCs w:val="32"/>
        </w:rPr>
      </w:pPr>
      <w:r>
        <w:rPr>
          <w:rFonts w:hint="eastAsia" w:eastAsia="楷体_GB2312" w:cs="楷体_GB2312"/>
          <w:b/>
          <w:sz w:val="32"/>
          <w:szCs w:val="32"/>
        </w:rPr>
        <w:t>（四）预算绩效管理情况</w:t>
      </w:r>
    </w:p>
    <w:p>
      <w:pPr>
        <w:spacing w:line="600" w:lineRule="exact"/>
        <w:ind w:firstLine="640"/>
        <w:rPr>
          <w:rFonts w:eastAsia="仿宋_GB2312" w:cs="仿宋_GB2312"/>
          <w:sz w:val="32"/>
          <w:szCs w:val="32"/>
          <w:highlight w:val="yellow"/>
        </w:rPr>
      </w:pPr>
      <w:r>
        <w:rPr>
          <w:rFonts w:hint="eastAsia" w:eastAsia="仿宋_GB2312" w:cs="仿宋_GB2312"/>
          <w:sz w:val="32"/>
          <w:szCs w:val="32"/>
        </w:rPr>
        <w:t>根据预算绩效管理要求，阿坝州公路局在2024年度预算</w:t>
      </w:r>
      <w:r>
        <w:rPr>
          <w:rFonts w:hint="eastAsia" w:eastAsia="仿宋_GB2312" w:cs="仿宋_GB2312"/>
          <w:sz w:val="32"/>
          <w:szCs w:val="32"/>
          <w:highlight w:val="none"/>
        </w:rPr>
        <w:t>编制阶段，组织对职工工作服购置项目</w:t>
      </w:r>
      <w:r>
        <w:rPr>
          <w:rFonts w:hint="eastAsia" w:eastAsia="仿宋_GB2312" w:cs="仿宋_GB2312"/>
          <w:sz w:val="32"/>
          <w:szCs w:val="32"/>
          <w:highlight w:val="none"/>
          <w:lang w:eastAsia="zh-CN"/>
        </w:rPr>
        <w:t>、公务用车大修项目、养护站房屋维修维护、八一建军节慰问费</w:t>
      </w:r>
      <w:r>
        <w:rPr>
          <w:rFonts w:hint="eastAsia" w:eastAsia="仿宋_GB2312" w:cs="仿宋_GB2312"/>
          <w:sz w:val="32"/>
          <w:szCs w:val="32"/>
          <w:highlight w:val="none"/>
        </w:rPr>
        <w:t>等</w:t>
      </w:r>
      <w:r>
        <w:rPr>
          <w:rFonts w:hint="eastAsia" w:eastAsia="仿宋_GB2312" w:cs="仿宋_GB2312"/>
          <w:sz w:val="32"/>
          <w:szCs w:val="32"/>
          <w:highlight w:val="none"/>
          <w:lang w:val="en-US" w:eastAsia="zh-CN"/>
        </w:rPr>
        <w:t>144</w:t>
      </w:r>
      <w:r>
        <w:rPr>
          <w:rFonts w:hint="eastAsia" w:eastAsia="仿宋_GB2312" w:cs="仿宋_GB2312"/>
          <w:sz w:val="32"/>
          <w:szCs w:val="32"/>
          <w:highlight w:val="none"/>
        </w:rPr>
        <w:t>个项目开展了预算事前绩效评估，对</w:t>
      </w:r>
      <w:r>
        <w:rPr>
          <w:rFonts w:hint="eastAsia" w:eastAsia="仿宋_GB2312" w:cs="仿宋_GB2312"/>
          <w:sz w:val="32"/>
          <w:szCs w:val="32"/>
          <w:highlight w:val="none"/>
          <w:lang w:val="en-US" w:eastAsia="zh-CN"/>
        </w:rPr>
        <w:t>144</w:t>
      </w:r>
      <w:r>
        <w:rPr>
          <w:rFonts w:hint="eastAsia" w:eastAsia="仿宋_GB2312" w:cs="仿宋_GB2312"/>
          <w:sz w:val="32"/>
          <w:szCs w:val="32"/>
          <w:highlight w:val="none"/>
        </w:rPr>
        <w:t>个项目编制了绩效目标，预算执行过程中，选取</w:t>
      </w:r>
      <w:r>
        <w:rPr>
          <w:rFonts w:hint="eastAsia" w:eastAsia="仿宋_GB2312" w:cs="仿宋_GB2312"/>
          <w:sz w:val="32"/>
          <w:szCs w:val="32"/>
          <w:highlight w:val="none"/>
          <w:lang w:val="en-US" w:eastAsia="zh-CN"/>
        </w:rPr>
        <w:t>144</w:t>
      </w:r>
      <w:r>
        <w:rPr>
          <w:rFonts w:hint="eastAsia" w:eastAsia="仿宋_GB2312" w:cs="仿宋_GB2312"/>
          <w:sz w:val="32"/>
          <w:szCs w:val="32"/>
          <w:highlight w:val="none"/>
        </w:rPr>
        <w:t>个项目开展绩效监控。</w:t>
      </w:r>
    </w:p>
    <w:p>
      <w:pPr>
        <w:spacing w:line="600" w:lineRule="exact"/>
        <w:ind w:firstLine="640"/>
        <w:rPr>
          <w:rFonts w:eastAsia="仿宋_GB2312" w:cs="仿宋_GB2312"/>
          <w:b/>
          <w:bCs/>
          <w:sz w:val="32"/>
          <w:szCs w:val="32"/>
        </w:rPr>
      </w:pPr>
      <w:r>
        <w:rPr>
          <w:rFonts w:hint="eastAsia" w:eastAsia="仿宋_GB2312" w:cs="仿宋_GB2312"/>
          <w:sz w:val="32"/>
          <w:szCs w:val="32"/>
        </w:rPr>
        <w:t>组织对2024年度一般公共预算全面开展绩效自评，形成阿坝州公路管理局部门整体（含部门预算项目）绩效自评报告、2024年转移支付（国道317线阿坝州理县段灾害防治工程）自评报告</w:t>
      </w:r>
      <w:r>
        <w:rPr>
          <w:rFonts w:hint="eastAsia" w:eastAsia="仿宋_GB2312" w:cs="仿宋_GB2312"/>
          <w:sz w:val="32"/>
          <w:szCs w:val="32"/>
          <w:lang w:eastAsia="zh-CN"/>
        </w:rPr>
        <w:t>、2024年转移支付（国道248线马塘桥维修加固工程）自评报告、国道317线阿坝州金川至壤塘段灾害防治工程转移支付自评报告</w:t>
      </w:r>
      <w:r>
        <w:rPr>
          <w:rFonts w:hint="eastAsia" w:eastAsia="仿宋_GB2312" w:cs="仿宋_GB2312"/>
          <w:sz w:val="32"/>
          <w:szCs w:val="32"/>
        </w:rPr>
        <w:t>等专项预算项目绩效自评报告</w:t>
      </w:r>
      <w:r>
        <w:rPr>
          <w:rFonts w:hint="eastAsia" w:eastAsia="仿宋_GB2312" w:cs="仿宋_GB2312"/>
          <w:sz w:val="32"/>
          <w:szCs w:val="32"/>
          <w:lang w:eastAsia="zh-CN"/>
        </w:rPr>
        <w:t>。</w:t>
      </w:r>
      <w:r>
        <w:rPr>
          <w:rFonts w:hint="eastAsia" w:eastAsia="仿宋_GB2312" w:cs="仿宋_GB2312"/>
          <w:sz w:val="32"/>
          <w:szCs w:val="32"/>
        </w:rPr>
        <w:t>其中，阿坝州公路管理局部门整体（含部门预算项目）绩效自评得分为</w:t>
      </w:r>
      <w:r>
        <w:rPr>
          <w:rFonts w:hint="eastAsia" w:eastAsia="仿宋_GB2312" w:cs="仿宋_GB2312"/>
          <w:sz w:val="32"/>
          <w:szCs w:val="32"/>
          <w:lang w:val="en-US" w:eastAsia="zh-CN"/>
        </w:rPr>
        <w:t>83.06</w:t>
      </w:r>
      <w:r>
        <w:rPr>
          <w:rFonts w:hint="eastAsia" w:eastAsia="仿宋_GB2312" w:cs="仿宋_GB2312"/>
          <w:sz w:val="32"/>
          <w:szCs w:val="32"/>
        </w:rPr>
        <w:t>分，绩效自评综述</w:t>
      </w:r>
      <w:r>
        <w:rPr>
          <w:rFonts w:hint="eastAsia" w:eastAsia="仿宋_GB2312" w:cs="仿宋_GB2312"/>
          <w:sz w:val="32"/>
          <w:szCs w:val="32"/>
          <w:lang w:val="en-US" w:eastAsia="zh-CN"/>
        </w:rPr>
        <w:t>2024年我部门较好地完成了各项工作，经过对我部门总体工作进行自评，最终自评分数为83.06分，自评等级为“良”</w:t>
      </w:r>
      <w:r>
        <w:rPr>
          <w:rFonts w:hint="eastAsia" w:eastAsia="仿宋_GB2312" w:cs="仿宋_GB2312"/>
          <w:sz w:val="32"/>
          <w:szCs w:val="32"/>
        </w:rPr>
        <w:t>；2024年转移支付（国道317线阿坝州理县段灾害防治工程）自评报告专项预算项目绩效自评，绩效自评综述比对各个指标结果进行总结、分析，将各个指标反馈相应业务股室。最终自评结果为“优”</w:t>
      </w:r>
      <w:r>
        <w:rPr>
          <w:rFonts w:hint="eastAsia" w:eastAsia="仿宋_GB2312" w:cs="仿宋_GB2312"/>
          <w:sz w:val="32"/>
          <w:szCs w:val="32"/>
          <w:lang w:eastAsia="zh-CN"/>
        </w:rPr>
        <w:t>。针对绩效自评结果，拟通过以下措施强化绩效自评结果的运用:一是利用绩效自评成果改进下一年度绩效自评指标及时总结经验，改进管理措施，从而完善项目自评机制，有效提高资金管理水平和使用效率，确保项目按要求完成，及时发挥财政资金效能;二是与下一年度预算安排结合，本次自评结果作为下一年度预算的重要依据，对于合理安排下一年度预算起到关键作用；2024年转移支付（国道248线马塘桥维修加固工程）自评报告专项预算项目绩效自评，绩效自评综述比对各个指标结果进行总结、分析，将各个指标反馈相应业务股室。最终自评结果为“优”。针对绩效自评结果，拟通过以下措施强化绩效自评结果的运用:一是利用绩效自评成果改进下一年度绩效自评指标及时总结经验，改进管理措施，从而完善项目自评机制，有效提高资金管理水平和使用效率，确保项目按要求完成，及时发挥财政资金效能;二是与下一年度预算安排结合，本次自评结果作为下一年度预算的重要依据，对于合理安排下一年度预算起到关键作用；国道317线阿坝州金川至壤塘段灾害防治工程转移支付自评报告专项预算项目绩效自评，绩效自评综述比对各个指标结果进行总结、分析，将各个指标反馈相应业务股室。最终自评结果为“优”。针对绩效自评结果，拟通过以下措施强化绩效自评结果的运用:一是利用绩效自评成果改进下一年度绩效自评指标及时总结经验，改进管理措施，从而完善项目自评机制，有效提高资金管理水平和使用效率，确保项目按要求完成，及时发挥财政资金效能;二是与下一年度预算安排结合，本次自评结果作为下一年度预算的重要依据，对于合理安排下一年度预算起到关键作用。</w:t>
      </w:r>
      <w:r>
        <w:rPr>
          <w:rFonts w:hint="eastAsia" w:eastAsia="仿宋_GB2312" w:cs="仿宋_GB2312"/>
          <w:sz w:val="32"/>
          <w:szCs w:val="32"/>
        </w:rPr>
        <w:t>绩效自评报告详见附件。</w:t>
      </w:r>
    </w:p>
    <w:p>
      <w:pPr>
        <w:pStyle w:val="6"/>
        <w:bidi w:val="0"/>
      </w:pPr>
    </w:p>
    <w:p>
      <w:pPr>
        <w:pStyle w:val="6"/>
        <w:bidi w:val="0"/>
        <w:rPr>
          <w:rFonts w:hint="eastAsia"/>
        </w:rPr>
      </w:pPr>
      <w:bookmarkStart w:id="63" w:name="_Toc15396613"/>
      <w:bookmarkStart w:id="64" w:name="_Toc15377225"/>
    </w:p>
    <w:p>
      <w:pPr>
        <w:pStyle w:val="6"/>
        <w:bidi w:val="0"/>
        <w:rPr>
          <w:rFonts w:hint="eastAsia"/>
        </w:rPr>
      </w:pPr>
    </w:p>
    <w:p>
      <w:pPr>
        <w:pStyle w:val="6"/>
        <w:bidi w:val="0"/>
        <w:rPr>
          <w:rFonts w:hint="eastAsia"/>
        </w:rPr>
      </w:pPr>
    </w:p>
    <w:p>
      <w:pPr>
        <w:pStyle w:val="6"/>
        <w:bidi w:val="0"/>
        <w:rPr>
          <w:rFonts w:hint="eastAsia"/>
        </w:rPr>
      </w:pPr>
    </w:p>
    <w:p>
      <w:pPr>
        <w:pStyle w:val="6"/>
        <w:bidi w:val="0"/>
        <w:rPr>
          <w:rFonts w:hint="eastAsia"/>
        </w:rPr>
      </w:pPr>
    </w:p>
    <w:p>
      <w:pPr>
        <w:pStyle w:val="6"/>
        <w:bidi w:val="0"/>
        <w:rPr>
          <w:rFonts w:hint="eastAsia"/>
        </w:rPr>
      </w:pPr>
    </w:p>
    <w:p>
      <w:pPr>
        <w:pStyle w:val="6"/>
        <w:bidi w:val="0"/>
        <w:rPr>
          <w:rFonts w:hint="eastAsia"/>
        </w:rPr>
      </w:pPr>
    </w:p>
    <w:p>
      <w:pPr>
        <w:pStyle w:val="6"/>
        <w:bidi w:val="0"/>
        <w:rPr>
          <w:rFonts w:hint="eastAsia"/>
        </w:rPr>
      </w:pPr>
    </w:p>
    <w:p>
      <w:pPr>
        <w:pStyle w:val="6"/>
        <w:bidi w:val="0"/>
        <w:rPr>
          <w:rFonts w:hint="eastAsia"/>
        </w:rPr>
      </w:pPr>
    </w:p>
    <w:p>
      <w:pPr>
        <w:pStyle w:val="6"/>
        <w:bidi w:val="0"/>
        <w:rPr>
          <w:rFonts w:hint="eastAsia"/>
        </w:rPr>
      </w:pPr>
    </w:p>
    <w:p>
      <w:pPr>
        <w:pStyle w:val="6"/>
        <w:bidi w:val="0"/>
        <w:rPr>
          <w:rFonts w:hint="eastAsia"/>
        </w:rPr>
      </w:pPr>
    </w:p>
    <w:p>
      <w:pPr>
        <w:pStyle w:val="6"/>
        <w:bidi w:val="0"/>
        <w:rPr>
          <w:rFonts w:hint="eastAsia"/>
        </w:rPr>
      </w:pPr>
    </w:p>
    <w:p>
      <w:pPr>
        <w:pStyle w:val="6"/>
        <w:bidi w:val="0"/>
        <w:rPr>
          <w:rFonts w:hint="eastAsia"/>
        </w:rPr>
      </w:pPr>
    </w:p>
    <w:p>
      <w:pPr>
        <w:pStyle w:val="6"/>
        <w:bidi w:val="0"/>
        <w:rPr>
          <w:rFonts w:hint="eastAsia"/>
        </w:rPr>
      </w:pPr>
    </w:p>
    <w:p>
      <w:pPr>
        <w:pStyle w:val="6"/>
        <w:bidi w:val="0"/>
        <w:rPr>
          <w:rFonts w:hint="eastAsia"/>
        </w:rPr>
      </w:pPr>
    </w:p>
    <w:p>
      <w:pPr>
        <w:pStyle w:val="6"/>
        <w:bidi w:val="0"/>
        <w:rPr>
          <w:rFonts w:hint="eastAsia"/>
        </w:rPr>
      </w:pPr>
    </w:p>
    <w:p>
      <w:pPr>
        <w:pStyle w:val="6"/>
        <w:bidi w:val="0"/>
        <w:rPr>
          <w:rFonts w:hint="eastAsia"/>
        </w:rPr>
      </w:pPr>
    </w:p>
    <w:p>
      <w:pPr>
        <w:pStyle w:val="6"/>
        <w:bidi w:val="0"/>
        <w:rPr>
          <w:rFonts w:hint="eastAsia"/>
        </w:rPr>
      </w:pPr>
    </w:p>
    <w:p>
      <w:pPr>
        <w:pStyle w:val="3"/>
        <w:spacing w:before="0" w:after="0" w:line="240" w:lineRule="auto"/>
        <w:jc w:val="center"/>
        <w:rPr>
          <w:rFonts w:hint="eastAsia" w:ascii="Times New Roman" w:hAnsi="Times New Roman" w:eastAsia="方正小标宋简体" w:cs="方正小标宋简体"/>
          <w:b w:val="0"/>
        </w:rPr>
      </w:pPr>
      <w:bookmarkStart w:id="65" w:name="_Toc32554"/>
      <w:r>
        <w:rPr>
          <w:rFonts w:hint="eastAsia" w:ascii="Times New Roman" w:hAnsi="Times New Roman" w:eastAsia="方正小标宋简体" w:cs="方正小标宋简体"/>
          <w:b w:val="0"/>
        </w:rPr>
        <w:t>第三部分  名词解释</w:t>
      </w:r>
      <w:bookmarkEnd w:id="63"/>
      <w:bookmarkEnd w:id="64"/>
      <w:bookmarkEnd w:id="65"/>
    </w:p>
    <w:p>
      <w:pPr>
        <w:spacing w:line="600" w:lineRule="exact"/>
        <w:jc w:val="left"/>
        <w:rPr>
          <w:b/>
          <w:sz w:val="44"/>
          <w:szCs w:val="44"/>
        </w:rPr>
      </w:pPr>
    </w:p>
    <w:p>
      <w:pPr>
        <w:spacing w:line="600" w:lineRule="exact"/>
        <w:ind w:firstLine="640"/>
        <w:rPr>
          <w:rFonts w:eastAsia="仿宋_GB2312" w:cs="仿宋_GB2312"/>
          <w:sz w:val="32"/>
          <w:szCs w:val="32"/>
        </w:rPr>
      </w:pPr>
      <w:r>
        <w:rPr>
          <w:rFonts w:hint="eastAsia" w:eastAsia="仿宋_GB2312" w:cs="仿宋_GB2312"/>
          <w:sz w:val="32"/>
          <w:szCs w:val="32"/>
        </w:rPr>
        <w:t xml:space="preserve">1.财政拨款收入：指单位从同级财政部门取得的财政预算资金。 </w:t>
      </w:r>
    </w:p>
    <w:p>
      <w:pPr>
        <w:spacing w:line="600" w:lineRule="exact"/>
        <w:ind w:firstLine="640"/>
        <w:rPr>
          <w:rFonts w:eastAsia="仿宋_GB2312" w:cs="仿宋_GB2312"/>
          <w:sz w:val="32"/>
          <w:szCs w:val="32"/>
        </w:rPr>
      </w:pPr>
      <w:r>
        <w:rPr>
          <w:rFonts w:hint="eastAsia" w:eastAsia="仿宋_GB2312" w:cs="仿宋_GB2312"/>
          <w:sz w:val="32"/>
          <w:szCs w:val="32"/>
          <w:lang w:val="en-US" w:eastAsia="zh-CN"/>
        </w:rPr>
        <w:t>2</w:t>
      </w:r>
      <w:r>
        <w:rPr>
          <w:rFonts w:hint="eastAsia" w:eastAsia="仿宋_GB2312" w:cs="仿宋_GB2312"/>
          <w:sz w:val="32"/>
          <w:szCs w:val="32"/>
        </w:rPr>
        <w:t xml:space="preserve">.年初结转和结余：指以前年度尚未完成、结转到本年按有关规定继续使用的资金。 </w:t>
      </w:r>
    </w:p>
    <w:p>
      <w:pPr>
        <w:spacing w:line="600" w:lineRule="exact"/>
        <w:ind w:firstLine="640"/>
        <w:rPr>
          <w:rFonts w:eastAsia="仿宋_GB2312" w:cs="仿宋_GB2312"/>
          <w:sz w:val="32"/>
          <w:szCs w:val="32"/>
        </w:rPr>
      </w:pPr>
      <w:r>
        <w:rPr>
          <w:rFonts w:hint="eastAsia" w:eastAsia="仿宋_GB2312" w:cs="仿宋_GB2312"/>
          <w:sz w:val="32"/>
          <w:szCs w:val="32"/>
          <w:lang w:val="en-US" w:eastAsia="zh-CN"/>
        </w:rPr>
        <w:t>3</w:t>
      </w:r>
      <w:r>
        <w:rPr>
          <w:rFonts w:hint="eastAsia" w:eastAsia="仿宋_GB2312" w:cs="仿宋_GB2312"/>
          <w:sz w:val="32"/>
          <w:szCs w:val="32"/>
        </w:rPr>
        <w:t>.年末结转和结余：指单位按有关规定结转到下年或以后年度继续使用的资金。</w:t>
      </w:r>
    </w:p>
    <w:p>
      <w:pPr>
        <w:spacing w:line="600" w:lineRule="exact"/>
        <w:ind w:firstLine="640"/>
        <w:rPr>
          <w:rFonts w:hint="eastAsia" w:eastAsia="仿宋_GB2312" w:cs="仿宋_GB2312"/>
          <w:sz w:val="32"/>
          <w:szCs w:val="32"/>
        </w:rPr>
      </w:pPr>
      <w:r>
        <w:rPr>
          <w:rFonts w:hint="eastAsia" w:eastAsia="仿宋_GB2312" w:cs="仿宋_GB2312"/>
          <w:sz w:val="32"/>
          <w:szCs w:val="32"/>
          <w:lang w:val="en-US" w:eastAsia="zh-CN"/>
        </w:rPr>
        <w:t>4</w:t>
      </w:r>
      <w:r>
        <w:rPr>
          <w:rFonts w:hint="eastAsia" w:eastAsia="仿宋_GB2312" w:cs="仿宋_GB2312"/>
          <w:sz w:val="32"/>
          <w:szCs w:val="32"/>
        </w:rPr>
        <w:t>.社会保障和就业支出（类）行政事业单位养老支出（款）机关事业单位基本养老保险缴费支出（项）：指反映机关事业单位实施养老保险制度由单位缴纳的基本养老保险费支出。</w:t>
      </w:r>
    </w:p>
    <w:p>
      <w:pPr>
        <w:spacing w:line="600" w:lineRule="exact"/>
        <w:ind w:firstLine="640"/>
        <w:rPr>
          <w:rFonts w:hint="eastAsia" w:eastAsia="仿宋_GB2312" w:cs="仿宋_GB2312"/>
          <w:sz w:val="32"/>
          <w:szCs w:val="32"/>
        </w:rPr>
      </w:pPr>
      <w:r>
        <w:rPr>
          <w:rFonts w:hint="eastAsia" w:eastAsia="仿宋_GB2312" w:cs="仿宋_GB2312"/>
          <w:sz w:val="32"/>
          <w:szCs w:val="32"/>
          <w:lang w:val="en-US" w:eastAsia="zh-CN"/>
        </w:rPr>
        <w:t>5</w:t>
      </w:r>
      <w:r>
        <w:rPr>
          <w:rFonts w:hint="eastAsia" w:eastAsia="仿宋_GB2312" w:cs="仿宋_GB2312"/>
          <w:sz w:val="32"/>
          <w:szCs w:val="32"/>
        </w:rPr>
        <w:t>.社会保障和就业支出（类）行政事业单位养老支出（款）机关事业单位职业年金缴费支出（项）：指反映机关事业单位实施养老保险制度由单位实际缴纳的职业年金支出。</w:t>
      </w:r>
    </w:p>
    <w:p>
      <w:pPr>
        <w:spacing w:line="600" w:lineRule="exact"/>
        <w:ind w:firstLine="640"/>
        <w:rPr>
          <w:rFonts w:hint="eastAsia" w:eastAsia="仿宋_GB2312" w:cs="仿宋_GB2312"/>
          <w:sz w:val="32"/>
          <w:szCs w:val="32"/>
        </w:rPr>
      </w:pPr>
      <w:r>
        <w:rPr>
          <w:rFonts w:hint="eastAsia" w:eastAsia="仿宋_GB2312" w:cs="仿宋_GB2312"/>
          <w:sz w:val="32"/>
          <w:szCs w:val="32"/>
          <w:lang w:val="en-US" w:eastAsia="zh-CN"/>
        </w:rPr>
        <w:t>6.</w:t>
      </w:r>
      <w:r>
        <w:rPr>
          <w:rFonts w:hint="eastAsia" w:eastAsia="仿宋_GB2312" w:cs="仿宋_GB2312"/>
          <w:sz w:val="32"/>
          <w:szCs w:val="32"/>
        </w:rPr>
        <w:t>社会保障和就业支出（类）行政事业单位养老支出（款）事业单位离退休（项）：指事业单位工作人员达到国家规定的退休年龄或满足特定条件后，依法终止工作并享受相应的退休待遇支出。</w:t>
      </w:r>
    </w:p>
    <w:p>
      <w:pPr>
        <w:spacing w:line="600" w:lineRule="exact"/>
        <w:ind w:firstLine="640"/>
        <w:rPr>
          <w:rFonts w:hint="eastAsia" w:eastAsia="仿宋_GB2312" w:cs="仿宋_GB2312"/>
          <w:sz w:val="32"/>
          <w:szCs w:val="32"/>
        </w:rPr>
      </w:pPr>
      <w:r>
        <w:rPr>
          <w:rFonts w:hint="eastAsia" w:eastAsia="仿宋_GB2312" w:cs="仿宋_GB2312"/>
          <w:sz w:val="32"/>
          <w:szCs w:val="32"/>
          <w:lang w:val="en-US" w:eastAsia="zh-CN"/>
        </w:rPr>
        <w:t>7</w:t>
      </w:r>
      <w:r>
        <w:rPr>
          <w:rFonts w:hint="eastAsia" w:eastAsia="仿宋_GB2312" w:cs="仿宋_GB2312"/>
          <w:sz w:val="32"/>
          <w:szCs w:val="32"/>
        </w:rPr>
        <w:t>.卫生健康支出（类）行政事业单位医疗（款）事业单位医疗（项）：指反映财政部门安排的事业单位基本医疗保险缴费经费，未参加医疗保险的事业单位的公费医疗经费，按国家规定享受离休人员待遇的医疗经费。</w:t>
      </w:r>
    </w:p>
    <w:p>
      <w:pPr>
        <w:spacing w:line="600" w:lineRule="exact"/>
        <w:ind w:firstLine="640"/>
        <w:rPr>
          <w:rFonts w:hint="eastAsia" w:eastAsia="仿宋_GB2312" w:cs="仿宋_GB2312"/>
          <w:sz w:val="32"/>
          <w:szCs w:val="32"/>
        </w:rPr>
      </w:pPr>
      <w:r>
        <w:rPr>
          <w:rFonts w:hint="eastAsia" w:eastAsia="仿宋_GB2312" w:cs="仿宋_GB2312"/>
          <w:sz w:val="32"/>
          <w:szCs w:val="32"/>
          <w:lang w:val="en-US" w:eastAsia="zh-CN"/>
        </w:rPr>
        <w:t>8</w:t>
      </w:r>
      <w:r>
        <w:rPr>
          <w:rFonts w:hint="eastAsia" w:eastAsia="仿宋_GB2312" w:cs="仿宋_GB2312"/>
          <w:sz w:val="32"/>
          <w:szCs w:val="32"/>
        </w:rPr>
        <w:t>.卫生健康支出（类）行政事业单位医疗（款）其他行政事业单位医疗支出（项）：指反映除上述项目以外的其他用于行政事业单位医疗方面的支出。</w:t>
      </w:r>
    </w:p>
    <w:p>
      <w:pPr>
        <w:spacing w:line="600" w:lineRule="exact"/>
        <w:ind w:firstLine="640"/>
        <w:rPr>
          <w:rFonts w:hint="eastAsia" w:eastAsia="仿宋_GB2312" w:cs="仿宋_GB2312"/>
          <w:sz w:val="32"/>
          <w:szCs w:val="32"/>
        </w:rPr>
      </w:pPr>
      <w:r>
        <w:rPr>
          <w:rFonts w:hint="eastAsia" w:eastAsia="仿宋_GB2312" w:cs="仿宋_GB2312"/>
          <w:sz w:val="32"/>
          <w:szCs w:val="32"/>
          <w:lang w:val="en-US" w:eastAsia="zh-CN"/>
        </w:rPr>
        <w:t>9</w:t>
      </w:r>
      <w:r>
        <w:rPr>
          <w:rFonts w:hint="eastAsia" w:eastAsia="仿宋_GB2312" w:cs="仿宋_GB2312"/>
          <w:sz w:val="32"/>
          <w:szCs w:val="32"/>
        </w:rPr>
        <w:t>.交通运输支出（类）公路水路运输（款）公路建设（项）：指反映新建公路支出，公路改建支出，特大型桥梁建设支出，公路客货运站（场）建设支出。</w:t>
      </w:r>
    </w:p>
    <w:p>
      <w:pPr>
        <w:spacing w:line="600" w:lineRule="exact"/>
        <w:ind w:firstLine="640"/>
        <w:rPr>
          <w:rFonts w:hint="eastAsia" w:eastAsia="仿宋_GB2312" w:cs="仿宋_GB2312"/>
          <w:sz w:val="32"/>
          <w:szCs w:val="32"/>
        </w:rPr>
      </w:pPr>
      <w:r>
        <w:rPr>
          <w:rFonts w:hint="eastAsia" w:eastAsia="仿宋_GB2312" w:cs="仿宋_GB2312"/>
          <w:sz w:val="32"/>
          <w:szCs w:val="32"/>
          <w:lang w:val="en-US" w:eastAsia="zh-CN"/>
        </w:rPr>
        <w:t>10</w:t>
      </w:r>
      <w:r>
        <w:rPr>
          <w:rFonts w:hint="eastAsia" w:eastAsia="仿宋_GB2312" w:cs="仿宋_GB2312"/>
          <w:sz w:val="32"/>
          <w:szCs w:val="32"/>
        </w:rPr>
        <w:t>.交通运输支出（类）公路水路运输（款）公路养护（项）：指反映公路养护支出。</w:t>
      </w:r>
    </w:p>
    <w:p>
      <w:pPr>
        <w:spacing w:line="600" w:lineRule="exact"/>
        <w:ind w:firstLine="640"/>
        <w:rPr>
          <w:rFonts w:hint="eastAsia" w:eastAsia="仿宋_GB2312" w:cs="仿宋_GB2312"/>
          <w:sz w:val="32"/>
          <w:szCs w:val="32"/>
        </w:rPr>
      </w:pPr>
      <w:r>
        <w:rPr>
          <w:rFonts w:hint="eastAsia" w:eastAsia="仿宋_GB2312" w:cs="仿宋_GB2312"/>
          <w:sz w:val="32"/>
          <w:szCs w:val="32"/>
          <w:lang w:val="en-US" w:eastAsia="zh-CN"/>
        </w:rPr>
        <w:t>11</w:t>
      </w:r>
      <w:r>
        <w:rPr>
          <w:rFonts w:hint="eastAsia" w:eastAsia="仿宋_GB2312" w:cs="仿宋_GB2312"/>
          <w:sz w:val="32"/>
          <w:szCs w:val="32"/>
        </w:rPr>
        <w:t>.交通运输支出（类）公路水路运输（款）其他公路水路运输支出（项）：指反映除上述项目以外其他用于公路水路运输方面的支出。</w:t>
      </w:r>
    </w:p>
    <w:p>
      <w:pPr>
        <w:spacing w:line="600" w:lineRule="exact"/>
        <w:ind w:firstLine="640"/>
        <w:rPr>
          <w:rFonts w:hint="eastAsia" w:eastAsia="仿宋_GB2312" w:cs="仿宋_GB2312"/>
          <w:sz w:val="32"/>
          <w:szCs w:val="32"/>
        </w:rPr>
      </w:pPr>
      <w:r>
        <w:rPr>
          <w:rFonts w:hint="eastAsia" w:eastAsia="仿宋_GB2312" w:cs="仿宋_GB2312"/>
          <w:sz w:val="32"/>
          <w:szCs w:val="32"/>
          <w:lang w:val="en-US" w:eastAsia="zh-CN"/>
        </w:rPr>
        <w:t>12</w:t>
      </w:r>
      <w:r>
        <w:rPr>
          <w:rFonts w:hint="eastAsia" w:eastAsia="仿宋_GB2312" w:cs="仿宋_GB2312"/>
          <w:sz w:val="32"/>
          <w:szCs w:val="32"/>
        </w:rPr>
        <w:t>.交通运输支出（类）其他交通运输支出（款）其他交通运输支出（项）：指反映其他交通运输支出中除对公共交通运营补助以外的其他支出。</w:t>
      </w:r>
    </w:p>
    <w:p>
      <w:pPr>
        <w:spacing w:line="600" w:lineRule="exact"/>
        <w:ind w:firstLine="640"/>
        <w:rPr>
          <w:rFonts w:hint="eastAsia" w:eastAsia="仿宋_GB2312" w:cs="仿宋_GB2312"/>
          <w:sz w:val="32"/>
          <w:szCs w:val="32"/>
        </w:rPr>
      </w:pPr>
      <w:r>
        <w:rPr>
          <w:rFonts w:hint="eastAsia" w:eastAsia="仿宋_GB2312" w:cs="仿宋_GB2312"/>
          <w:sz w:val="32"/>
          <w:szCs w:val="32"/>
          <w:lang w:val="en-US" w:eastAsia="zh-CN"/>
        </w:rPr>
        <w:t>13</w:t>
      </w:r>
      <w:r>
        <w:rPr>
          <w:rFonts w:hint="eastAsia" w:eastAsia="仿宋_GB2312" w:cs="仿宋_GB2312"/>
          <w:sz w:val="32"/>
          <w:szCs w:val="32"/>
        </w:rPr>
        <w:t>.住房保障支出（类）住房改革支出（款）住房公积金（项）：指反映行政事业单位按人力资源和社会保障部、财政部规定的 基本工资和津贴补贴以及规定比例为职工缴纳的住房公积金。</w:t>
      </w:r>
    </w:p>
    <w:p>
      <w:pPr>
        <w:spacing w:line="600" w:lineRule="exact"/>
        <w:ind w:firstLine="640"/>
        <w:rPr>
          <w:rFonts w:hint="eastAsia" w:eastAsia="仿宋_GB2312" w:cs="仿宋_GB2312"/>
          <w:sz w:val="32"/>
          <w:szCs w:val="32"/>
        </w:rPr>
      </w:pPr>
      <w:r>
        <w:rPr>
          <w:rFonts w:hint="eastAsia" w:eastAsia="仿宋_GB2312" w:cs="仿宋_GB2312"/>
          <w:sz w:val="32"/>
          <w:szCs w:val="32"/>
          <w:lang w:val="en-US" w:eastAsia="zh-CN"/>
        </w:rPr>
        <w:t>14</w:t>
      </w:r>
      <w:r>
        <w:rPr>
          <w:rFonts w:hint="eastAsia" w:eastAsia="仿宋_GB2312" w:cs="仿宋_GB2312"/>
          <w:sz w:val="32"/>
          <w:szCs w:val="32"/>
        </w:rPr>
        <w:t>.住房保障支出（类）住房改革支出（款）购房补贴（项）：指反映按房改政策规定，行政事业单位向符合条件职工（含离 退休人员）、军队（含武警）向转役复员离退休人员发放的用于购买住房的补贴。</w:t>
      </w:r>
    </w:p>
    <w:p>
      <w:pPr>
        <w:spacing w:line="600" w:lineRule="exact"/>
        <w:ind w:firstLine="640"/>
        <w:rPr>
          <w:rFonts w:eastAsia="仿宋_GB2312" w:cs="仿宋_GB2312"/>
          <w:sz w:val="32"/>
          <w:szCs w:val="32"/>
        </w:rPr>
      </w:pPr>
      <w:r>
        <w:rPr>
          <w:rFonts w:hint="eastAsia" w:eastAsia="仿宋_GB2312" w:cs="仿宋_GB2312"/>
          <w:sz w:val="32"/>
          <w:szCs w:val="32"/>
          <w:lang w:val="en-US" w:eastAsia="zh-CN"/>
        </w:rPr>
        <w:t>15</w:t>
      </w:r>
      <w:r>
        <w:rPr>
          <w:rFonts w:hint="eastAsia" w:eastAsia="仿宋_GB2312" w:cs="仿宋_GB2312"/>
          <w:sz w:val="32"/>
          <w:szCs w:val="32"/>
        </w:rPr>
        <w:t>.基本支出：指为保障机构正常运转、完成日常工作任务而发生的人员支出和公用支出。</w:t>
      </w:r>
    </w:p>
    <w:p>
      <w:pPr>
        <w:spacing w:line="600" w:lineRule="exact"/>
        <w:ind w:firstLine="640"/>
        <w:rPr>
          <w:rFonts w:eastAsia="仿宋_GB2312" w:cs="仿宋_GB2312"/>
          <w:sz w:val="32"/>
          <w:szCs w:val="32"/>
        </w:rPr>
      </w:pPr>
      <w:r>
        <w:rPr>
          <w:rFonts w:hint="eastAsia" w:eastAsia="仿宋_GB2312" w:cs="仿宋_GB2312"/>
          <w:sz w:val="32"/>
          <w:szCs w:val="32"/>
          <w:lang w:val="en-US" w:eastAsia="zh-CN"/>
        </w:rPr>
        <w:t>16</w:t>
      </w:r>
      <w:r>
        <w:rPr>
          <w:rFonts w:hint="eastAsia" w:eastAsia="仿宋_GB2312" w:cs="仿宋_GB2312"/>
          <w:sz w:val="32"/>
          <w:szCs w:val="32"/>
        </w:rPr>
        <w:t xml:space="preserve">.项目支出：指在基本支出之外为完成特定行政任务和事业发展目标所发生的支出。 </w:t>
      </w:r>
    </w:p>
    <w:p>
      <w:pPr>
        <w:spacing w:line="600" w:lineRule="exact"/>
        <w:ind w:firstLine="640"/>
        <w:rPr>
          <w:rFonts w:eastAsia="仿宋_GB2312" w:cs="仿宋_GB2312"/>
          <w:sz w:val="32"/>
          <w:szCs w:val="32"/>
        </w:rPr>
      </w:pPr>
      <w:r>
        <w:rPr>
          <w:rFonts w:hint="eastAsia" w:eastAsia="仿宋_GB2312" w:cs="仿宋_GB2312"/>
          <w:sz w:val="32"/>
          <w:szCs w:val="32"/>
          <w:lang w:val="en-US" w:eastAsia="zh-CN"/>
        </w:rPr>
        <w:t>17</w:t>
      </w:r>
      <w:r>
        <w:rPr>
          <w:rFonts w:hint="eastAsia" w:eastAsia="仿宋_GB2312" w:cs="仿宋_GB2312"/>
          <w:sz w:val="32"/>
          <w:szCs w:val="32"/>
        </w:rPr>
        <w:t>.“三公”经费：指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w:t>
      </w:r>
    </w:p>
    <w:p>
      <w:pPr>
        <w:spacing w:line="600" w:lineRule="exact"/>
        <w:ind w:firstLine="640"/>
        <w:rPr>
          <w:rFonts w:eastAsia="仿宋_GB2312" w:cs="仿宋_GB2312"/>
          <w:sz w:val="32"/>
          <w:szCs w:val="32"/>
        </w:rPr>
      </w:pPr>
      <w:r>
        <w:rPr>
          <w:rFonts w:hint="eastAsia" w:eastAsia="仿宋_GB2312" w:cs="仿宋_GB2312"/>
          <w:sz w:val="32"/>
          <w:szCs w:val="32"/>
          <w:lang w:val="en-US" w:eastAsia="zh-CN"/>
        </w:rPr>
        <w:t>18</w:t>
      </w:r>
      <w:r>
        <w:rPr>
          <w:rFonts w:hint="eastAsia" w:eastAsia="仿宋_GB2312" w:cs="仿宋_GB2312"/>
          <w:sz w:val="32"/>
          <w:szCs w:val="32"/>
        </w:rPr>
        <w:t>.机关运行经费：为保障行政单位（含参照公务员法管理的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pStyle w:val="3"/>
        <w:spacing w:before="0" w:after="0" w:line="240" w:lineRule="auto"/>
        <w:jc w:val="center"/>
        <w:rPr>
          <w:rStyle w:val="30"/>
          <w:rFonts w:eastAsia="黑体"/>
          <w:b w:val="0"/>
          <w:bCs/>
        </w:rPr>
      </w:pPr>
      <w:bookmarkStart w:id="66" w:name="_Toc15377226"/>
      <w:r>
        <w:rPr>
          <w:rFonts w:hint="eastAsia" w:eastAsia="仿宋_GB2312" w:cs="仿宋_GB2312"/>
          <w:sz w:val="32"/>
          <w:szCs w:val="32"/>
        </w:rPr>
        <w:br w:type="page"/>
      </w:r>
      <w:bookmarkStart w:id="67" w:name="_Toc15396614"/>
      <w:bookmarkStart w:id="68" w:name="_Toc11129"/>
      <w:r>
        <w:rPr>
          <w:rFonts w:hint="eastAsia" w:ascii="Times New Roman" w:hAnsi="Times New Roman" w:eastAsia="方正小标宋简体" w:cs="方正小标宋简体"/>
          <w:b w:val="0"/>
        </w:rPr>
        <w:t>第四部分  附件</w:t>
      </w:r>
      <w:bookmarkEnd w:id="67"/>
      <w:bookmarkEnd w:id="68"/>
    </w:p>
    <w:p>
      <w:pPr>
        <w:pStyle w:val="6"/>
        <w:bidi w:val="0"/>
      </w:pPr>
    </w:p>
    <w:p>
      <w:pPr>
        <w:pStyle w:val="6"/>
        <w:spacing w:before="93"/>
        <w:rPr>
          <w:rFonts w:hint="eastAsia" w:ascii="Times New Roman" w:hAnsi="Times New Roman" w:eastAsia="黑体" w:cs="黑体"/>
          <w:sz w:val="32"/>
          <w:szCs w:val="32"/>
          <w:shd w:val="clear" w:color="auto" w:fill="FFFFFF"/>
          <w:lang w:val="en-US" w:eastAsia="zh-CN"/>
        </w:rPr>
      </w:pPr>
      <w:r>
        <w:rPr>
          <w:rFonts w:hint="eastAsia" w:ascii="Times New Roman" w:hAnsi="Times New Roman" w:eastAsia="黑体" w:cs="黑体"/>
          <w:sz w:val="32"/>
          <w:szCs w:val="32"/>
          <w:shd w:val="clear" w:color="auto" w:fill="FFFFFF"/>
          <w:lang w:val="en-US" w:eastAsia="zh-CN"/>
        </w:rPr>
        <w:t>附件1</w:t>
      </w:r>
    </w:p>
    <w:p>
      <w:pPr>
        <w:widowControl/>
        <w:spacing w:line="578" w:lineRule="exact"/>
        <w:contextualSpacing/>
        <w:jc w:val="center"/>
        <w:rPr>
          <w:rFonts w:eastAsia="方正小标宋简体"/>
          <w:bCs/>
          <w:sz w:val="44"/>
          <w:szCs w:val="44"/>
          <w:shd w:val="clear" w:color="auto" w:fill="FFFFFF"/>
        </w:rPr>
      </w:pPr>
    </w:p>
    <w:p>
      <w:pPr>
        <w:pStyle w:val="8"/>
        <w:spacing w:line="560" w:lineRule="exact"/>
        <w:ind w:left="0" w:leftChars="0" w:firstLine="640"/>
        <w:jc w:val="center"/>
        <w:rPr>
          <w:rFonts w:hint="eastAsia" w:ascii="Times New Roman" w:hAnsi="Times New Roman" w:eastAsia="方正小标宋简体" w:cs="Times New Roman"/>
          <w:b w:val="0"/>
          <w:bCs/>
          <w:kern w:val="2"/>
          <w:sz w:val="44"/>
          <w:szCs w:val="44"/>
          <w:highlight w:val="none"/>
          <w:shd w:val="clear" w:color="auto" w:fill="FFFFFF"/>
          <w:lang w:val="en-US" w:eastAsia="zh-CN" w:bidi="ar-SA"/>
        </w:rPr>
      </w:pPr>
      <w:r>
        <w:rPr>
          <w:rFonts w:hint="eastAsia" w:ascii="Times New Roman" w:hAnsi="Times New Roman" w:eastAsia="方正小标宋简体" w:cs="Times New Roman"/>
          <w:b w:val="0"/>
          <w:bCs/>
          <w:kern w:val="2"/>
          <w:sz w:val="44"/>
          <w:szCs w:val="44"/>
          <w:highlight w:val="none"/>
          <w:shd w:val="clear" w:color="auto" w:fill="FFFFFF"/>
          <w:lang w:val="en-US" w:eastAsia="zh-CN" w:bidi="ar-SA"/>
        </w:rPr>
        <w:t>阿坝州公路管理局</w:t>
      </w:r>
    </w:p>
    <w:p>
      <w:pPr>
        <w:pStyle w:val="8"/>
        <w:spacing w:line="560" w:lineRule="exact"/>
        <w:ind w:left="0" w:leftChars="0" w:firstLine="640"/>
        <w:jc w:val="center"/>
        <w:rPr>
          <w:rFonts w:hint="eastAsia" w:ascii="Times New Roman" w:hAnsi="Times New Roman" w:eastAsia="方正小标宋简体" w:cs="Times New Roman"/>
          <w:b w:val="0"/>
          <w:bCs/>
          <w:kern w:val="2"/>
          <w:sz w:val="44"/>
          <w:szCs w:val="44"/>
          <w:highlight w:val="none"/>
          <w:shd w:val="clear" w:color="auto" w:fill="FFFFFF"/>
          <w:lang w:val="en-US" w:eastAsia="zh-CN" w:bidi="ar-SA"/>
        </w:rPr>
      </w:pPr>
      <w:r>
        <w:rPr>
          <w:rFonts w:hint="eastAsia" w:ascii="Times New Roman" w:hAnsi="Times New Roman" w:eastAsia="方正小标宋简体" w:cs="Times New Roman"/>
          <w:b w:val="0"/>
          <w:bCs/>
          <w:kern w:val="2"/>
          <w:sz w:val="44"/>
          <w:szCs w:val="44"/>
          <w:highlight w:val="none"/>
          <w:shd w:val="clear" w:color="auto" w:fill="FFFFFF"/>
          <w:lang w:val="en-US" w:eastAsia="zh-CN" w:bidi="ar-SA"/>
        </w:rPr>
        <w:t>关于2024年度部门整体预算支出</w:t>
      </w:r>
    </w:p>
    <w:p>
      <w:pPr>
        <w:pStyle w:val="8"/>
        <w:spacing w:line="560" w:lineRule="exact"/>
        <w:ind w:left="0" w:leftChars="0" w:firstLine="640"/>
        <w:jc w:val="center"/>
        <w:rPr>
          <w:rFonts w:hint="eastAsia" w:ascii="Times New Roman" w:hAnsi="Times New Roman" w:eastAsia="方正小标宋简体" w:cs="Times New Roman"/>
          <w:b w:val="0"/>
          <w:bCs/>
          <w:kern w:val="2"/>
          <w:sz w:val="44"/>
          <w:szCs w:val="44"/>
          <w:highlight w:val="none"/>
          <w:shd w:val="clear" w:color="auto" w:fill="FFFFFF"/>
          <w:lang w:val="en-US" w:eastAsia="zh-CN" w:bidi="ar-SA"/>
        </w:rPr>
      </w:pPr>
      <w:r>
        <w:rPr>
          <w:rFonts w:hint="eastAsia" w:ascii="Times New Roman" w:hAnsi="Times New Roman" w:eastAsia="方正小标宋简体" w:cs="Times New Roman"/>
          <w:b w:val="0"/>
          <w:bCs/>
          <w:kern w:val="2"/>
          <w:sz w:val="44"/>
          <w:szCs w:val="44"/>
          <w:highlight w:val="none"/>
          <w:shd w:val="clear" w:color="auto" w:fill="FFFFFF"/>
          <w:lang w:val="en-US" w:eastAsia="zh-CN" w:bidi="ar-SA"/>
        </w:rPr>
        <w:t>绩效自评的报告</w:t>
      </w:r>
    </w:p>
    <w:p>
      <w:pPr>
        <w:pStyle w:val="8"/>
        <w:spacing w:line="560" w:lineRule="exact"/>
        <w:rPr>
          <w:rFonts w:hint="eastAsia" w:ascii="Times New Roman" w:hAnsi="Times New Roman" w:eastAsia="仿宋_GB2312" w:cs="仿宋_GB2312"/>
          <w:kern w:val="2"/>
          <w:sz w:val="32"/>
          <w:szCs w:val="32"/>
          <w:lang w:val="en-US" w:eastAsia="zh-CN" w:bidi="ar-SA"/>
        </w:rPr>
      </w:pPr>
    </w:p>
    <w:p>
      <w:pPr>
        <w:pStyle w:val="6"/>
        <w:bidi w:val="0"/>
        <w:rPr>
          <w:rFonts w:hint="eastAsia" w:ascii="黑体" w:hAnsi="黑体" w:eastAsia="黑体" w:cs="黑体"/>
          <w:b w:val="0"/>
          <w:bCs w:val="0"/>
          <w:lang w:val="en-US" w:eastAsia="zh-CN"/>
        </w:rPr>
      </w:pPr>
      <w:r>
        <w:rPr>
          <w:rFonts w:hint="eastAsia" w:ascii="黑体" w:hAnsi="黑体" w:eastAsia="黑体" w:cs="黑体"/>
          <w:b w:val="0"/>
          <w:bCs w:val="0"/>
          <w:lang w:val="en-US" w:eastAsia="zh-CN"/>
        </w:rPr>
        <w:t>一、部门基本情况</w:t>
      </w:r>
    </w:p>
    <w:p>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ind w:firstLine="643" w:firstLineChars="200"/>
        <w:contextualSpacing/>
        <w:jc w:val="left"/>
        <w:textAlignment w:val="auto"/>
        <w:outlineLvl w:val="9"/>
        <w:rPr>
          <w:rFonts w:hint="eastAsia" w:ascii="Times New Roman" w:hAnsi="Times New Roman" w:eastAsia="楷体_GB2312" w:cs="Times New Roman"/>
          <w:b/>
          <w:bCs/>
          <w:color w:val="000000"/>
          <w:kern w:val="0"/>
          <w:sz w:val="32"/>
          <w:szCs w:val="32"/>
          <w:highlight w:val="none"/>
          <w:shd w:val="clear" w:color="auto" w:fill="FFFFFF"/>
          <w:lang w:val="en-US" w:eastAsia="zh-CN"/>
        </w:rPr>
      </w:pPr>
      <w:r>
        <w:rPr>
          <w:rFonts w:hint="eastAsia" w:ascii="Times New Roman" w:hAnsi="Times New Roman" w:eastAsia="楷体_GB2312" w:cs="Times New Roman"/>
          <w:b/>
          <w:bCs/>
          <w:color w:val="000000"/>
          <w:kern w:val="0"/>
          <w:sz w:val="32"/>
          <w:szCs w:val="32"/>
          <w:highlight w:val="none"/>
          <w:shd w:val="clear" w:color="auto" w:fill="FFFFFF"/>
          <w:lang w:val="en-US" w:eastAsia="zh-CN"/>
        </w:rPr>
        <w:t>（一）机构组成</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我部门属一级预算单位，下属预算单位17个，分别为公路隧道管理处和14个公路管理分局（汶川公路管理分局、理县公路管理分局、茂县公路管理分局、松潘公路管理分局、九寨沟公路管理分局、黑水公路管理分局、金川公路管理分局、马尔康公路管理分局、小金公路管理分局、阿坝公路管理分局、若尔盖公路管理分局、红原公路管理分局、壤塘公路管理分局、刷经寺公路管理分局），其中干休所、机具站并实行垂直管理。部门下设党委办公室、行政办公室、工会办公室、总工办、人事科、监察审计科、工程科、财务科、机料科、安全科、养护科、路产维护科共12个科室。</w:t>
      </w:r>
    </w:p>
    <w:p>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ind w:firstLine="643" w:firstLineChars="200"/>
        <w:contextualSpacing/>
        <w:jc w:val="left"/>
        <w:textAlignment w:val="auto"/>
        <w:outlineLvl w:val="9"/>
        <w:rPr>
          <w:rFonts w:hint="eastAsia" w:ascii="Times New Roman" w:hAnsi="Times New Roman" w:eastAsia="楷体_GB2312" w:cs="Times New Roman"/>
          <w:b/>
          <w:bCs/>
          <w:color w:val="000000"/>
          <w:kern w:val="0"/>
          <w:sz w:val="32"/>
          <w:szCs w:val="32"/>
          <w:highlight w:val="none"/>
          <w:shd w:val="clear" w:color="auto" w:fill="FFFFFF"/>
          <w:lang w:val="en-US" w:eastAsia="zh-CN"/>
        </w:rPr>
      </w:pPr>
      <w:r>
        <w:rPr>
          <w:rFonts w:hint="eastAsia" w:ascii="Times New Roman" w:hAnsi="Times New Roman" w:eastAsia="楷体_GB2312" w:cs="Times New Roman"/>
          <w:b/>
          <w:bCs/>
          <w:color w:val="000000"/>
          <w:kern w:val="0"/>
          <w:sz w:val="32"/>
          <w:szCs w:val="32"/>
          <w:highlight w:val="none"/>
          <w:shd w:val="clear" w:color="auto" w:fill="FFFFFF"/>
          <w:lang w:val="en-US" w:eastAsia="zh-CN"/>
        </w:rPr>
        <w:t>（二）机构职能</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我部门主要职能职责是：在州委、州政府及州交通局的领导下，管理全州国、省道干线公路，统筹全州国、省道干线公路、隧道、桥梁的养护管理；按照州财政局下达的年度公路养护预算资金，做好全局各基层单位公路养护资金调配工作，充分发挥资金的使用效益；完成省交通厅公路局下达的大中修计划任务及各项目标任务；负责协调处理县与县之间的公路养护管理关系；负责组织实施全州国、省干线公路遭受自然灾害的抢修恢复；指导局属各单位的养护管理工作；完成州委、州政府及州交通局交办的其他任务。</w:t>
      </w:r>
    </w:p>
    <w:p>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ind w:firstLine="643" w:firstLineChars="200"/>
        <w:contextualSpacing/>
        <w:jc w:val="left"/>
        <w:textAlignment w:val="auto"/>
        <w:outlineLvl w:val="9"/>
        <w:rPr>
          <w:rFonts w:hint="eastAsia" w:ascii="Times New Roman" w:hAnsi="Times New Roman" w:eastAsia="楷体_GB2312" w:cs="Times New Roman"/>
          <w:b/>
          <w:bCs/>
          <w:color w:val="000000"/>
          <w:kern w:val="0"/>
          <w:sz w:val="32"/>
          <w:szCs w:val="32"/>
          <w:highlight w:val="none"/>
          <w:shd w:val="clear" w:color="auto" w:fill="FFFFFF"/>
          <w:lang w:val="en-US" w:eastAsia="zh-CN"/>
        </w:rPr>
      </w:pPr>
      <w:r>
        <w:rPr>
          <w:rFonts w:hint="eastAsia" w:ascii="Times New Roman" w:hAnsi="Times New Roman" w:eastAsia="楷体_GB2312" w:cs="Times New Roman"/>
          <w:b/>
          <w:bCs/>
          <w:color w:val="000000"/>
          <w:kern w:val="0"/>
          <w:sz w:val="32"/>
          <w:szCs w:val="32"/>
          <w:highlight w:val="none"/>
          <w:shd w:val="clear" w:color="auto" w:fill="FFFFFF"/>
          <w:lang w:val="en-US" w:eastAsia="zh-CN"/>
        </w:rPr>
        <w:t>（三）人员概况</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截至2024年末，根据阿坝藏族羌族自治州机构编制委员会核定，我部门总编制核编1933名，其他事业编制1933名。截至2024年末，我部门实有在职人员总数1582名，其他事业编制1582名,离休人员2人。</w:t>
      </w:r>
    </w:p>
    <w:p>
      <w:pPr>
        <w:pStyle w:val="6"/>
        <w:bidi w:val="0"/>
        <w:rPr>
          <w:rFonts w:hint="eastAsia" w:ascii="黑体" w:hAnsi="黑体" w:eastAsia="黑体" w:cs="黑体"/>
          <w:b w:val="0"/>
          <w:bCs w:val="0"/>
          <w:lang w:val="en-US" w:eastAsia="zh-CN"/>
        </w:rPr>
      </w:pPr>
      <w:r>
        <w:rPr>
          <w:rFonts w:hint="eastAsia" w:ascii="黑体" w:hAnsi="黑体" w:eastAsia="黑体" w:cs="黑体"/>
          <w:b w:val="0"/>
          <w:bCs w:val="0"/>
          <w:lang w:val="en-US" w:eastAsia="zh-CN"/>
        </w:rPr>
        <w:t>二、部门资金收支情况</w:t>
      </w:r>
    </w:p>
    <w:p>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ind w:firstLine="643" w:firstLineChars="200"/>
        <w:contextualSpacing/>
        <w:jc w:val="left"/>
        <w:textAlignment w:val="auto"/>
        <w:outlineLvl w:val="9"/>
        <w:rPr>
          <w:rFonts w:hint="eastAsia" w:ascii="Times New Roman" w:hAnsi="Times New Roman" w:eastAsia="楷体_GB2312" w:cs="Times New Roman"/>
          <w:b/>
          <w:bCs/>
          <w:color w:val="000000"/>
          <w:kern w:val="0"/>
          <w:sz w:val="32"/>
          <w:szCs w:val="32"/>
          <w:highlight w:val="none"/>
          <w:shd w:val="clear" w:color="auto" w:fill="FFFFFF"/>
          <w:lang w:val="en-US" w:eastAsia="zh-CN"/>
        </w:rPr>
      </w:pPr>
      <w:r>
        <w:rPr>
          <w:rFonts w:hint="eastAsia" w:ascii="Times New Roman" w:hAnsi="Times New Roman" w:eastAsia="楷体_GB2312" w:cs="Times New Roman"/>
          <w:b/>
          <w:bCs/>
          <w:color w:val="000000"/>
          <w:kern w:val="0"/>
          <w:sz w:val="32"/>
          <w:szCs w:val="32"/>
          <w:highlight w:val="none"/>
          <w:shd w:val="clear" w:color="auto" w:fill="FFFFFF"/>
          <w:lang w:val="en-US" w:eastAsia="zh-CN"/>
        </w:rPr>
        <w:t>（一）收入情况</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我部门2024年年初预算收入52599.03万元，其中,一般公共预算财政拨款收入52599.03万元，占100%。</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截至2024年末，我部门决算收入为94641.96万元，其中,一般公共预算财政拨款收入94440.62万元，占99.79%;非财政拨款收入47.95万元，占0.05%;年初结转和结余153.38万元，占0.16%。</w:t>
      </w:r>
    </w:p>
    <w:p>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ind w:firstLine="643" w:firstLineChars="200"/>
        <w:contextualSpacing/>
        <w:jc w:val="left"/>
        <w:textAlignment w:val="auto"/>
        <w:outlineLvl w:val="9"/>
        <w:rPr>
          <w:rFonts w:hint="eastAsia" w:ascii="Times New Roman" w:hAnsi="Times New Roman" w:eastAsia="楷体_GB2312" w:cs="Times New Roman"/>
          <w:b/>
          <w:bCs/>
          <w:color w:val="000000"/>
          <w:kern w:val="0"/>
          <w:sz w:val="32"/>
          <w:szCs w:val="32"/>
          <w:highlight w:val="none"/>
          <w:shd w:val="clear" w:color="auto" w:fill="FFFFFF"/>
          <w:lang w:val="en-US" w:eastAsia="zh-CN"/>
        </w:rPr>
      </w:pPr>
      <w:r>
        <w:rPr>
          <w:rFonts w:hint="eastAsia" w:ascii="Times New Roman" w:hAnsi="Times New Roman" w:eastAsia="楷体_GB2312" w:cs="Times New Roman"/>
          <w:b/>
          <w:bCs/>
          <w:color w:val="000000"/>
          <w:kern w:val="0"/>
          <w:sz w:val="32"/>
          <w:szCs w:val="32"/>
          <w:highlight w:val="none"/>
          <w:shd w:val="clear" w:color="auto" w:fill="FFFFFF"/>
          <w:lang w:val="en-US" w:eastAsia="zh-CN"/>
        </w:rPr>
        <w:t>（二）支出情况</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我部门2024年支出预算52599.03万元，其中,基本支出45610.74万元，占86.71%；项目支出6988.29万元，占13.29%。</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截至2024年末，我部门决算支出94641.96万元，其中,基本支出44596.38万元，占47.12%；项目支出49883.81万元，占52.71%;年末结转结余161.77万元，占0.17%。</w:t>
      </w:r>
    </w:p>
    <w:p>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ind w:firstLine="643" w:firstLineChars="200"/>
        <w:contextualSpacing/>
        <w:jc w:val="left"/>
        <w:textAlignment w:val="auto"/>
        <w:outlineLvl w:val="9"/>
        <w:rPr>
          <w:rFonts w:hint="eastAsia" w:ascii="Times New Roman" w:hAnsi="Times New Roman" w:eastAsia="楷体_GB2312" w:cs="Times New Roman"/>
          <w:b/>
          <w:bCs/>
          <w:color w:val="000000"/>
          <w:kern w:val="0"/>
          <w:sz w:val="32"/>
          <w:szCs w:val="32"/>
          <w:highlight w:val="none"/>
          <w:shd w:val="clear" w:color="auto" w:fill="FFFFFF"/>
          <w:lang w:val="en-US" w:eastAsia="zh-CN"/>
        </w:rPr>
      </w:pPr>
      <w:r>
        <w:rPr>
          <w:rFonts w:hint="eastAsia" w:ascii="Times New Roman" w:hAnsi="Times New Roman" w:eastAsia="楷体_GB2312" w:cs="Times New Roman"/>
          <w:b/>
          <w:bCs/>
          <w:color w:val="000000"/>
          <w:kern w:val="0"/>
          <w:sz w:val="32"/>
          <w:szCs w:val="32"/>
          <w:highlight w:val="none"/>
          <w:shd w:val="clear" w:color="auto" w:fill="FFFFFF"/>
          <w:lang w:val="en-US" w:eastAsia="zh-CN"/>
        </w:rPr>
        <w:t>（三）结余分配和结转结余情况</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我部门2024年初结转结余资金为153.38万元，年末结转结余资金为161.77万元，2024年结转结余资金较上年增加8.39万元。</w:t>
      </w:r>
    </w:p>
    <w:p>
      <w:pPr>
        <w:pStyle w:val="6"/>
        <w:bidi w:val="0"/>
        <w:rPr>
          <w:rFonts w:hint="eastAsia" w:ascii="黑体" w:hAnsi="黑体" w:eastAsia="黑体" w:cs="黑体"/>
          <w:b w:val="0"/>
          <w:bCs w:val="0"/>
          <w:lang w:val="en-US" w:eastAsia="zh-CN"/>
        </w:rPr>
      </w:pPr>
      <w:r>
        <w:rPr>
          <w:rFonts w:hint="eastAsia" w:ascii="黑体" w:hAnsi="黑体" w:eastAsia="黑体" w:cs="黑体"/>
          <w:b w:val="0"/>
          <w:bCs w:val="0"/>
          <w:lang w:val="en-US" w:eastAsia="zh-CN"/>
        </w:rPr>
        <w:t>三、部门预算绩效分析</w:t>
      </w:r>
    </w:p>
    <w:p>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ind w:firstLine="643" w:firstLineChars="200"/>
        <w:contextualSpacing/>
        <w:jc w:val="left"/>
        <w:textAlignment w:val="auto"/>
        <w:outlineLvl w:val="9"/>
        <w:rPr>
          <w:rFonts w:hint="eastAsia" w:ascii="Times New Roman" w:hAnsi="Times New Roman" w:eastAsia="楷体_GB2312" w:cs="Times New Roman"/>
          <w:b/>
          <w:bCs/>
          <w:color w:val="000000"/>
          <w:kern w:val="0"/>
          <w:sz w:val="32"/>
          <w:szCs w:val="32"/>
          <w:highlight w:val="none"/>
          <w:shd w:val="clear" w:color="auto" w:fill="FFFFFF"/>
          <w:lang w:val="en-US" w:eastAsia="zh-CN"/>
        </w:rPr>
      </w:pPr>
      <w:r>
        <w:rPr>
          <w:rFonts w:hint="eastAsia" w:ascii="Times New Roman" w:hAnsi="Times New Roman" w:eastAsia="楷体_GB2312" w:cs="Times New Roman"/>
          <w:b/>
          <w:bCs/>
          <w:color w:val="000000"/>
          <w:kern w:val="0"/>
          <w:sz w:val="32"/>
          <w:szCs w:val="32"/>
          <w:highlight w:val="none"/>
          <w:shd w:val="clear" w:color="auto" w:fill="FFFFFF"/>
          <w:lang w:val="en-US" w:eastAsia="zh-CN"/>
        </w:rPr>
        <w:t>（一）部门预算总体绩效分析</w:t>
      </w:r>
    </w:p>
    <w:p>
      <w:pPr>
        <w:pStyle w:val="8"/>
        <w:spacing w:line="560" w:lineRule="exact"/>
        <w:ind w:left="0" w:leftChars="0" w:firstLine="640"/>
        <w:rPr>
          <w:rFonts w:hint="eastAsia" w:ascii="楷体_GB2312" w:hAnsi="楷体_GB2312" w:eastAsia="楷体_GB2312" w:cs="楷体_GB2312"/>
          <w:color w:val="000000"/>
          <w:kern w:val="0"/>
          <w:sz w:val="32"/>
          <w:szCs w:val="32"/>
          <w:highlight w:val="none"/>
          <w:shd w:val="clear" w:color="auto" w:fill="FFFFFF"/>
          <w:lang w:val="en-US" w:eastAsia="zh-CN" w:bidi="ar-SA"/>
        </w:rPr>
      </w:pPr>
      <w:r>
        <w:rPr>
          <w:rFonts w:hint="eastAsia" w:ascii="楷体_GB2312" w:hAnsi="楷体_GB2312" w:eastAsia="楷体_GB2312" w:cs="楷体_GB2312"/>
          <w:color w:val="000000"/>
          <w:kern w:val="0"/>
          <w:sz w:val="32"/>
          <w:szCs w:val="32"/>
          <w:highlight w:val="none"/>
          <w:shd w:val="clear" w:color="auto" w:fill="FFFFFF"/>
          <w:lang w:val="en-US" w:eastAsia="zh-CN" w:bidi="ar-SA"/>
        </w:rPr>
        <w:t>1.履职效能。</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我部门年度总体目标：加强全州2216.450公里国省干线公路的养护管理工作，保证公路运输的安全，扩大和改善公路服务质量，提高公路使用寿命，保证人民群众安全出行，提高国省干线营运状况，最终达到畅、安、舒的整体效果。</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1）持续优化路域环境。全面贯彻落实“阿坝州城乡环境质量提升行动”要求，以“交旅融合”为抓手，全面塑造“安全有保障、整治有力度、路域大提升、通行更舒畅”的道路环境。截至11月15日，累计修补路面坑凼、沉陷10547.05m²，修补道路标线143.522km，清理坍塌方24.62万m³，校正、修复波形护栏24.62km，清洗隧道壁47次，全年完成道路绿化美化种植补栽380公里。年初组织局属各分局在小金召开公路绿化美化工作现场交流会，结合养护实际，在花草品种选择、路肩培土、间隙种植技术等亮点进行深入讨论和交流，为进一步做好全州国省干线公路绿化美化工作奠定坚实基础。</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（2）全力推进养护工程。2024年省厅下达计划任务共计133.18公里（其中大修4公里，中修99.264公里，预防性养护29.916公里），2024年完成施工图设计并取得批复、施工及监理正在挂网招标。</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3）稳步推进养护站建设。逐步拓展公路服务能力，依托养护站建设完成公路停车区、服务区建设，促进交通基础设施与旅游资源有效连接。一是采用勘察设计施工总承包（EPC）方式建设的21处养护管理站及公路养护和应急保通中心，已全部完成财务决算审计工作；二是若尔盖公路养护和应急保通中心建设项目于2024年6月28日开工建设，主体已完工；三是汶川威州养护管理站建设项目于2023年11月17日开工建设，主体已完工；四是马尔康色尔米公路养护管理站建设项目正在实施。</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4）积极开展地灾处置。一是金川至壤塘段地灾治理工程，于2023年8月13日开工建设，共21个点位，均已完工，完成产值4858万元，累计完成支付4086.6894万元。二是理县段地灾治理工程，于2023年10月5日开工建设，共16个点位，全面完工5处，主体完工7处，其余4处正在实施，完成产值6062万元，累计完成支付4188.589211万元。三是国道347线茂县赤不苏镇两河口崩塌段治理工程，于2024年3月初开工，于4月底完工，目前正积极对接上级部门争取补助资金。</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5）定期开展桥梁检测。完成2024年桥梁定期检测201座，检测报告初稿已编制完成；整治四类桥共1座（若尔盖国道213线K36+500通道桥），主体工程已完成，正在组织验收；国省干线公路10座4类、5类危病桥维修处治工程设计初稿已完成，正在编制修订稿。</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6）信息化建设持续推进。2024年持续推进公路养护信息化建设，完成了信息化成果展示，开展了日常系统维护，大幅提升了信息化养护的效率。采用道路可变情报板、手机APP、微信公众号等发布路况信息、旅游路线、气象预警等，为公众出行提供全方位服务。截至目前，通过使用巡查养护系统巡查道路共21920次。</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7）积极申报三项工程。国道213线茂县叠溪镇蚕丛村K2003+960段、国道213线茂县南新镇苏村K2087+000段、国道213线茂县燕儿岩K2059+700段、国道213线松潘县K1914+280至K1964+600段、国道248线马尔康市卓克基镇K939+500段，5个灾害防治工程项目已完成设计工作，其中国道213线茂县叠溪镇蚕丛村K2003+960段、国道213线茂县燕儿岩K2059+700段已通过四川省交通运输厅审查并上报交通运输部，剩余3个正在审批。羊毛坪大桥、吉鱼尾水大桥结构健康监测已设计完成并取得批复，已通过四川省交通运输厅审查上报交通运输部。</w:t>
      </w:r>
    </w:p>
    <w:p>
      <w:pPr>
        <w:pStyle w:val="8"/>
        <w:spacing w:line="560" w:lineRule="exact"/>
        <w:ind w:left="0" w:leftChars="0" w:firstLine="640"/>
        <w:rPr>
          <w:rFonts w:hint="eastAsia" w:ascii="楷体_GB2312" w:hAnsi="楷体_GB2312" w:eastAsia="楷体_GB2312" w:cs="楷体_GB2312"/>
          <w:color w:val="000000"/>
          <w:kern w:val="0"/>
          <w:sz w:val="32"/>
          <w:szCs w:val="32"/>
          <w:highlight w:val="none"/>
          <w:shd w:val="clear" w:color="auto" w:fill="FFFFFF"/>
          <w:lang w:val="en-US" w:eastAsia="zh-CN" w:bidi="ar-SA"/>
        </w:rPr>
      </w:pPr>
      <w:r>
        <w:rPr>
          <w:rFonts w:hint="eastAsia" w:ascii="楷体_GB2312" w:hAnsi="楷体_GB2312" w:eastAsia="楷体_GB2312" w:cs="楷体_GB2312"/>
          <w:color w:val="000000"/>
          <w:kern w:val="0"/>
          <w:sz w:val="32"/>
          <w:szCs w:val="32"/>
          <w:highlight w:val="none"/>
          <w:shd w:val="clear" w:color="auto" w:fill="FFFFFF"/>
          <w:lang w:val="en-US" w:eastAsia="zh-CN" w:bidi="ar-SA"/>
        </w:rPr>
        <w:t>2.预算管理。</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1）预算编制质量。一是我部门2024年年初预算为52599.03万元，全年预算执行数为94641.96万元，预算偏离度为：（94641.96-52599.03）/52599.03=79.93%，得0.3分，偏离度较大的原因为：上级部门年中安排任务较多，追加项目预算资金量较大(包括省补助项目资金和中央项目专项资金）；二是我部门2024年资产配置预算为0，资产预算配置偏离度为0；三是我部门2024年政府采购预算342.04万元，实际执行2994.36万元，政府采购预算偏离度为：（2994.36-342.04）/342.04=775.44%，得0分。政府采购执行率偏差度较大的原是年中追加工程类项目采购预算资金量较大，故预算编制质量得2.1分。</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2）单位收入统筹。我部门为财政全额拨款补助单位，财政核定的综合补助比例为100%，我部门2024年一般公共预算全年预算数94440.62万元，预算全年执行数为94440.62万元，实际执行测算的综合补助比例为100%。故根据评分标准，该指标得4分。</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（3）支出执行进度。根据1-6月可执行情况表，本部门1至6月预算执行数为46872.22万元，根据决算报表，部门预算数为94641.96万元，1至6月支出预警金额为20332.5万元，占比为21.48%，1至6月无支出违规金额。</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我部门2024年1-10月预算执行数为79219.94万元，部门预算数为94641.96万元，1至10月支出预警金额为24321.55万元，占比为25.7%，1至10月无支出违规金额。</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综上，根据评分标准该项指标得分为2.96分。</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（4）预算年终结余。我部门2024年预算结转结余161.77万元，占部门全年预算0.17%，根据评分标准，该指标得2.00分。</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（5）严控一般性支出。我部门“三公”经费、会议、培训、差旅、办节办展、办公设备购置、信息网络及软件购置更新、课题经费等8项一般性支出情况详见下表：</w:t>
      </w:r>
    </w:p>
    <w:p>
      <w:pPr>
        <w:keepNext w:val="0"/>
        <w:keepLines w:val="0"/>
        <w:pageBreakBefore w:val="0"/>
        <w:widowControl w:val="0"/>
        <w:kinsoku/>
        <w:wordWrap/>
        <w:overflowPunct/>
        <w:topLinePunct w:val="0"/>
        <w:autoSpaceDE/>
        <w:autoSpaceDN/>
        <w:bidi w:val="0"/>
        <w:adjustRightInd w:val="0"/>
        <w:snapToGrid w:val="0"/>
        <w:spacing w:line="560" w:lineRule="exact"/>
        <w:ind w:left="0" w:firstLine="667" w:firstLineChars="200"/>
        <w:contextualSpacing/>
        <w:jc w:val="center"/>
        <w:textAlignment w:val="auto"/>
        <w:outlineLvl w:val="9"/>
        <w:rPr>
          <w:rFonts w:hint="eastAsia" w:ascii="仿宋_GB2312" w:hAnsi="Times New Roman" w:eastAsia="仿宋_GB2312" w:cs="Times New Roman"/>
          <w:b/>
          <w:bCs/>
          <w:color w:val="000000"/>
          <w:spacing w:val="6"/>
          <w:kern w:val="0"/>
          <w:sz w:val="32"/>
          <w:szCs w:val="32"/>
          <w:highlight w:val="none"/>
          <w:shd w:val="clear" w:color="auto" w:fill="FFFFFF"/>
          <w:lang w:val="en-US" w:eastAsia="zh-CN" w:bidi="ar-SA"/>
        </w:rPr>
      </w:pPr>
      <w:r>
        <w:rPr>
          <w:rFonts w:hint="eastAsia" w:ascii="仿宋_GB2312" w:hAnsi="Times New Roman" w:eastAsia="仿宋_GB2312" w:cs="Times New Roman"/>
          <w:b/>
          <w:bCs/>
          <w:color w:val="000000"/>
          <w:spacing w:val="6"/>
          <w:kern w:val="0"/>
          <w:sz w:val="32"/>
          <w:szCs w:val="32"/>
          <w:highlight w:val="none"/>
          <w:shd w:val="clear" w:color="auto" w:fill="FFFFFF"/>
          <w:lang w:val="en-US" w:eastAsia="zh-CN" w:bidi="ar-SA"/>
        </w:rPr>
        <w:t>表3-1：严控一般性支出控制情况</w:t>
      </w:r>
    </w:p>
    <w:tbl>
      <w:tblPr>
        <w:tblStyle w:val="16"/>
        <w:tblW w:w="90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5"/>
        <w:gridCol w:w="1442"/>
        <w:gridCol w:w="1269"/>
        <w:gridCol w:w="1273"/>
        <w:gridCol w:w="860"/>
        <w:gridCol w:w="1267"/>
        <w:gridCol w:w="1267"/>
        <w:gridCol w:w="8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825" w:type="dxa"/>
            <w:vMerge w:val="restar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序号</w:t>
            </w:r>
          </w:p>
        </w:tc>
        <w:tc>
          <w:tcPr>
            <w:tcW w:w="1442" w:type="dxa"/>
            <w:vMerge w:val="restar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项目名称</w:t>
            </w:r>
          </w:p>
        </w:tc>
        <w:tc>
          <w:tcPr>
            <w:tcW w:w="1269"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202</w:t>
            </w: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3</w:t>
            </w: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年度</w:t>
            </w:r>
          </w:p>
        </w:tc>
        <w:tc>
          <w:tcPr>
            <w:tcW w:w="1273"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202</w:t>
            </w: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4</w:t>
            </w: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年度</w:t>
            </w:r>
          </w:p>
        </w:tc>
        <w:tc>
          <w:tcPr>
            <w:tcW w:w="860" w:type="dxa"/>
            <w:vMerge w:val="restar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变动情况</w:t>
            </w:r>
          </w:p>
        </w:tc>
        <w:tc>
          <w:tcPr>
            <w:tcW w:w="12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202</w:t>
            </w: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3</w:t>
            </w: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年度</w:t>
            </w:r>
          </w:p>
        </w:tc>
        <w:tc>
          <w:tcPr>
            <w:tcW w:w="12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202</w:t>
            </w: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4</w:t>
            </w: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年度</w:t>
            </w:r>
          </w:p>
        </w:tc>
        <w:tc>
          <w:tcPr>
            <w:tcW w:w="867" w:type="dxa"/>
            <w:vMerge w:val="restar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变动情况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8" w:hRule="atLeast"/>
        </w:trPr>
        <w:tc>
          <w:tcPr>
            <w:tcW w:w="825" w:type="dxa"/>
            <w:vMerge w:val="continue"/>
            <w:tcBorders>
              <w:top w:val="single" w:color="auto" w:sz="4" w:space="0"/>
              <w:left w:val="single" w:color="auto" w:sz="4" w:space="0"/>
              <w:bottom w:val="single" w:color="auto" w:sz="4" w:space="0"/>
              <w:right w:val="single" w:color="auto" w:sz="4" w:space="0"/>
            </w:tcBorders>
            <w:noWrap/>
            <w:vAlign w:val="center"/>
          </w:tcPr>
          <w:p>
            <w:pPr>
              <w:rPr>
                <w:rFonts w:ascii="Times New Roman" w:hAnsi="Times New Roman" w:eastAsia="仿宋_GB2312" w:cs="Times New Roman"/>
                <w:sz w:val="32"/>
              </w:rPr>
            </w:pPr>
          </w:p>
        </w:tc>
        <w:tc>
          <w:tcPr>
            <w:tcW w:w="1442" w:type="dxa"/>
            <w:vMerge w:val="continue"/>
            <w:tcBorders>
              <w:top w:val="single" w:color="auto" w:sz="4" w:space="0"/>
              <w:left w:val="single" w:color="auto" w:sz="4" w:space="0"/>
              <w:bottom w:val="single" w:color="auto" w:sz="4" w:space="0"/>
              <w:right w:val="single" w:color="auto" w:sz="4" w:space="0"/>
            </w:tcBorders>
            <w:noWrap/>
            <w:vAlign w:val="center"/>
          </w:tcPr>
          <w:p>
            <w:pPr>
              <w:rPr>
                <w:rFonts w:ascii="Times New Roman" w:hAnsi="Times New Roman" w:eastAsia="仿宋_GB2312" w:cs="Times New Roman"/>
                <w:sz w:val="32"/>
              </w:rPr>
            </w:pPr>
          </w:p>
        </w:tc>
        <w:tc>
          <w:tcPr>
            <w:tcW w:w="1269"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财政拨款年初预算数</w:t>
            </w:r>
          </w:p>
        </w:tc>
        <w:tc>
          <w:tcPr>
            <w:tcW w:w="1273"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财政拨款年初预算数</w:t>
            </w:r>
          </w:p>
        </w:tc>
        <w:tc>
          <w:tcPr>
            <w:tcW w:w="860" w:type="dxa"/>
            <w:vMerge w:val="continue"/>
            <w:tcBorders>
              <w:top w:val="single" w:color="auto" w:sz="4" w:space="0"/>
              <w:left w:val="single" w:color="auto" w:sz="4" w:space="0"/>
              <w:bottom w:val="single" w:color="auto" w:sz="4" w:space="0"/>
              <w:right w:val="single" w:color="auto" w:sz="4" w:space="0"/>
            </w:tcBorders>
            <w:noWrap/>
            <w:vAlign w:val="center"/>
          </w:tcPr>
          <w:p>
            <w:pPr>
              <w:rPr>
                <w:rFonts w:ascii="Times New Roman" w:hAnsi="Times New Roman" w:eastAsia="仿宋_GB2312" w:cs="Times New Roman"/>
                <w:sz w:val="32"/>
              </w:rPr>
            </w:pPr>
          </w:p>
        </w:tc>
        <w:tc>
          <w:tcPr>
            <w:tcW w:w="12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财政拨款</w:t>
            </w: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执行数</w:t>
            </w:r>
          </w:p>
        </w:tc>
        <w:tc>
          <w:tcPr>
            <w:tcW w:w="12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财政拨款</w:t>
            </w: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执行</w:t>
            </w: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数</w:t>
            </w:r>
          </w:p>
        </w:tc>
        <w:tc>
          <w:tcPr>
            <w:tcW w:w="867" w:type="dxa"/>
            <w:vMerge w:val="continue"/>
            <w:tcBorders>
              <w:top w:val="single" w:color="auto" w:sz="4" w:space="0"/>
              <w:left w:val="single" w:color="auto" w:sz="4" w:space="0"/>
              <w:bottom w:val="single" w:color="auto" w:sz="4" w:space="0"/>
              <w:right w:val="single" w:color="auto" w:sz="4" w:space="0"/>
            </w:tcBorders>
            <w:noWrap/>
            <w:vAlign w:val="center"/>
          </w:tcPr>
          <w:p>
            <w:pPr>
              <w:rPr>
                <w:rFonts w:ascii="Times New Roman" w:hAnsi="Times New Roman" w:eastAsia="仿宋_GB2312" w:cs="Times New Roman"/>
                <w:sz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2" w:hRule="atLeast"/>
        </w:trPr>
        <w:tc>
          <w:tcPr>
            <w:tcW w:w="825"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ind w:left="0" w:firstLine="0"/>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1</w:t>
            </w:r>
          </w:p>
        </w:tc>
        <w:tc>
          <w:tcPr>
            <w:tcW w:w="1442"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ind w:left="0" w:firstLine="0"/>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仿宋_GB2312" w:hAnsi="Times New Roman" w:eastAsia="仿宋_GB2312" w:cs="仿宋_GB2312"/>
                <w:color w:val="000000"/>
                <w:spacing w:val="6"/>
                <w:kern w:val="0"/>
                <w:sz w:val="21"/>
                <w:szCs w:val="21"/>
                <w:highlight w:val="none"/>
                <w:shd w:val="clear" w:color="auto" w:fill="FFFFFF"/>
                <w:vertAlign w:val="baseline"/>
                <w:lang w:val="en-US" w:eastAsia="zh-CN" w:bidi="ar-SA"/>
              </w:rPr>
              <w:t>“三公”经</w:t>
            </w: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费</w:t>
            </w:r>
          </w:p>
        </w:tc>
        <w:tc>
          <w:tcPr>
            <w:tcW w:w="1269"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505.06</w:t>
            </w:r>
          </w:p>
        </w:tc>
        <w:tc>
          <w:tcPr>
            <w:tcW w:w="1273"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535.72</w:t>
            </w:r>
          </w:p>
        </w:tc>
        <w:tc>
          <w:tcPr>
            <w:tcW w:w="860"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增加</w:t>
            </w:r>
          </w:p>
        </w:tc>
        <w:tc>
          <w:tcPr>
            <w:tcW w:w="12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463</w:t>
            </w: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.46</w:t>
            </w:r>
          </w:p>
        </w:tc>
        <w:tc>
          <w:tcPr>
            <w:tcW w:w="12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both"/>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484.94</w:t>
            </w:r>
          </w:p>
        </w:tc>
        <w:tc>
          <w:tcPr>
            <w:tcW w:w="8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增加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2" w:hRule="atLeast"/>
        </w:trPr>
        <w:tc>
          <w:tcPr>
            <w:tcW w:w="825"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ind w:left="0" w:firstLine="0"/>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2</w:t>
            </w:r>
          </w:p>
        </w:tc>
        <w:tc>
          <w:tcPr>
            <w:tcW w:w="1442"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ind w:left="0" w:firstLine="0"/>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会议经费</w:t>
            </w:r>
          </w:p>
        </w:tc>
        <w:tc>
          <w:tcPr>
            <w:tcW w:w="1269"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ind w:left="0" w:firstLine="0"/>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0</w:t>
            </w:r>
          </w:p>
        </w:tc>
        <w:tc>
          <w:tcPr>
            <w:tcW w:w="1273"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ind w:left="0" w:firstLine="0"/>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0</w:t>
            </w:r>
          </w:p>
        </w:tc>
        <w:tc>
          <w:tcPr>
            <w:tcW w:w="860"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持平</w:t>
            </w:r>
          </w:p>
        </w:tc>
        <w:tc>
          <w:tcPr>
            <w:tcW w:w="12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0</w:t>
            </w:r>
          </w:p>
        </w:tc>
        <w:tc>
          <w:tcPr>
            <w:tcW w:w="12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both"/>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0</w:t>
            </w:r>
          </w:p>
        </w:tc>
        <w:tc>
          <w:tcPr>
            <w:tcW w:w="8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持平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2" w:hRule="atLeast"/>
        </w:trPr>
        <w:tc>
          <w:tcPr>
            <w:tcW w:w="825"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ind w:left="0" w:firstLine="0"/>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3</w:t>
            </w:r>
          </w:p>
        </w:tc>
        <w:tc>
          <w:tcPr>
            <w:tcW w:w="1442"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ind w:left="0" w:firstLine="0"/>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培训经费</w:t>
            </w:r>
          </w:p>
        </w:tc>
        <w:tc>
          <w:tcPr>
            <w:tcW w:w="1269"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301.28</w:t>
            </w:r>
          </w:p>
        </w:tc>
        <w:tc>
          <w:tcPr>
            <w:tcW w:w="1273"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365.11</w:t>
            </w:r>
          </w:p>
        </w:tc>
        <w:tc>
          <w:tcPr>
            <w:tcW w:w="860"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增加</w:t>
            </w:r>
          </w:p>
        </w:tc>
        <w:tc>
          <w:tcPr>
            <w:tcW w:w="12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257.98</w:t>
            </w:r>
          </w:p>
        </w:tc>
        <w:tc>
          <w:tcPr>
            <w:tcW w:w="12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both"/>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268.32</w:t>
            </w:r>
          </w:p>
        </w:tc>
        <w:tc>
          <w:tcPr>
            <w:tcW w:w="8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增加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2" w:hRule="atLeast"/>
        </w:trPr>
        <w:tc>
          <w:tcPr>
            <w:tcW w:w="825"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ind w:left="0" w:firstLine="0"/>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4</w:t>
            </w:r>
          </w:p>
        </w:tc>
        <w:tc>
          <w:tcPr>
            <w:tcW w:w="1442"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ind w:left="0" w:firstLine="0"/>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差旅经费</w:t>
            </w:r>
          </w:p>
        </w:tc>
        <w:tc>
          <w:tcPr>
            <w:tcW w:w="1269"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814.02</w:t>
            </w:r>
          </w:p>
        </w:tc>
        <w:tc>
          <w:tcPr>
            <w:tcW w:w="1273"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850.61</w:t>
            </w:r>
          </w:p>
        </w:tc>
        <w:tc>
          <w:tcPr>
            <w:tcW w:w="860"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增加</w:t>
            </w:r>
          </w:p>
        </w:tc>
        <w:tc>
          <w:tcPr>
            <w:tcW w:w="12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862.7</w:t>
            </w:r>
          </w:p>
        </w:tc>
        <w:tc>
          <w:tcPr>
            <w:tcW w:w="12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both"/>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893.91</w:t>
            </w:r>
          </w:p>
        </w:tc>
        <w:tc>
          <w:tcPr>
            <w:tcW w:w="8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增加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6" w:hRule="atLeast"/>
        </w:trPr>
        <w:tc>
          <w:tcPr>
            <w:tcW w:w="825"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ind w:left="0" w:firstLine="0"/>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5</w:t>
            </w:r>
          </w:p>
        </w:tc>
        <w:tc>
          <w:tcPr>
            <w:tcW w:w="1442"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办节办展</w:t>
            </w:r>
          </w:p>
          <w:p>
            <w:pPr>
              <w:keepNext w:val="0"/>
              <w:keepLines w:val="0"/>
              <w:pageBreakBefore w:val="0"/>
              <w:widowControl w:val="0"/>
              <w:kinsoku/>
              <w:wordWrap/>
              <w:overflowPunct/>
              <w:topLinePunct w:val="0"/>
              <w:autoSpaceDE/>
              <w:autoSpaceDN/>
              <w:bidi w:val="0"/>
              <w:adjustRightInd w:val="0"/>
              <w:snapToGrid w:val="0"/>
              <w:spacing w:line="560" w:lineRule="exact"/>
              <w:ind w:left="0" w:firstLine="0"/>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经费</w:t>
            </w:r>
          </w:p>
        </w:tc>
        <w:tc>
          <w:tcPr>
            <w:tcW w:w="1269"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0</w:t>
            </w:r>
          </w:p>
        </w:tc>
        <w:tc>
          <w:tcPr>
            <w:tcW w:w="1273"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0</w:t>
            </w:r>
          </w:p>
        </w:tc>
        <w:tc>
          <w:tcPr>
            <w:tcW w:w="860"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持平</w:t>
            </w:r>
          </w:p>
        </w:tc>
        <w:tc>
          <w:tcPr>
            <w:tcW w:w="12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0</w:t>
            </w:r>
          </w:p>
        </w:tc>
        <w:tc>
          <w:tcPr>
            <w:tcW w:w="12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0</w:t>
            </w:r>
          </w:p>
        </w:tc>
        <w:tc>
          <w:tcPr>
            <w:tcW w:w="8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持平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6" w:hRule="atLeast"/>
        </w:trPr>
        <w:tc>
          <w:tcPr>
            <w:tcW w:w="825"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ind w:left="0" w:firstLine="0"/>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6</w:t>
            </w:r>
          </w:p>
        </w:tc>
        <w:tc>
          <w:tcPr>
            <w:tcW w:w="1442"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办公设备</w:t>
            </w:r>
          </w:p>
          <w:p>
            <w:pPr>
              <w:keepNext w:val="0"/>
              <w:keepLines w:val="0"/>
              <w:pageBreakBefore w:val="0"/>
              <w:widowControl w:val="0"/>
              <w:kinsoku/>
              <w:wordWrap/>
              <w:overflowPunct/>
              <w:topLinePunct w:val="0"/>
              <w:autoSpaceDE/>
              <w:autoSpaceDN/>
              <w:bidi w:val="0"/>
              <w:adjustRightInd w:val="0"/>
              <w:snapToGrid w:val="0"/>
              <w:spacing w:line="560" w:lineRule="exact"/>
              <w:ind w:left="0" w:firstLine="0"/>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购置经费</w:t>
            </w:r>
          </w:p>
        </w:tc>
        <w:tc>
          <w:tcPr>
            <w:tcW w:w="1269"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54.46</w:t>
            </w:r>
          </w:p>
        </w:tc>
        <w:tc>
          <w:tcPr>
            <w:tcW w:w="1273"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50</w:t>
            </w:r>
          </w:p>
        </w:tc>
        <w:tc>
          <w:tcPr>
            <w:tcW w:w="860"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减少</w:t>
            </w:r>
          </w:p>
        </w:tc>
        <w:tc>
          <w:tcPr>
            <w:tcW w:w="12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54.46</w:t>
            </w:r>
          </w:p>
        </w:tc>
        <w:tc>
          <w:tcPr>
            <w:tcW w:w="12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50</w:t>
            </w:r>
          </w:p>
        </w:tc>
        <w:tc>
          <w:tcPr>
            <w:tcW w:w="8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减少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8" w:hRule="atLeast"/>
        </w:trPr>
        <w:tc>
          <w:tcPr>
            <w:tcW w:w="825"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ind w:left="0" w:firstLine="0"/>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7</w:t>
            </w:r>
          </w:p>
        </w:tc>
        <w:tc>
          <w:tcPr>
            <w:tcW w:w="1442"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ind w:left="0" w:firstLine="0"/>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信息网络及软件购置更新经费</w:t>
            </w:r>
          </w:p>
        </w:tc>
        <w:tc>
          <w:tcPr>
            <w:tcW w:w="1269"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0</w:t>
            </w:r>
          </w:p>
        </w:tc>
        <w:tc>
          <w:tcPr>
            <w:tcW w:w="1273"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0</w:t>
            </w:r>
          </w:p>
        </w:tc>
        <w:tc>
          <w:tcPr>
            <w:tcW w:w="860"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持平</w:t>
            </w:r>
          </w:p>
        </w:tc>
        <w:tc>
          <w:tcPr>
            <w:tcW w:w="12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0</w:t>
            </w:r>
          </w:p>
        </w:tc>
        <w:tc>
          <w:tcPr>
            <w:tcW w:w="12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ind w:firstLine="444" w:firstLineChars="200"/>
              <w:contextualSpacing/>
              <w:jc w:val="both"/>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0</w:t>
            </w:r>
          </w:p>
        </w:tc>
        <w:tc>
          <w:tcPr>
            <w:tcW w:w="8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持平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2" w:hRule="atLeast"/>
        </w:trPr>
        <w:tc>
          <w:tcPr>
            <w:tcW w:w="825"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ind w:left="0" w:firstLine="0"/>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8</w:t>
            </w:r>
          </w:p>
        </w:tc>
        <w:tc>
          <w:tcPr>
            <w:tcW w:w="1442"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ind w:left="0" w:firstLine="0"/>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课题经费</w:t>
            </w:r>
          </w:p>
        </w:tc>
        <w:tc>
          <w:tcPr>
            <w:tcW w:w="1269"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0</w:t>
            </w:r>
          </w:p>
        </w:tc>
        <w:tc>
          <w:tcPr>
            <w:tcW w:w="1273"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0</w:t>
            </w:r>
          </w:p>
        </w:tc>
        <w:tc>
          <w:tcPr>
            <w:tcW w:w="860"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both"/>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持平</w:t>
            </w:r>
          </w:p>
        </w:tc>
        <w:tc>
          <w:tcPr>
            <w:tcW w:w="12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0</w:t>
            </w:r>
          </w:p>
        </w:tc>
        <w:tc>
          <w:tcPr>
            <w:tcW w:w="12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0</w:t>
            </w:r>
          </w:p>
        </w:tc>
        <w:tc>
          <w:tcPr>
            <w:tcW w:w="8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持平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trPr>
        <w:tc>
          <w:tcPr>
            <w:tcW w:w="825"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ind w:left="0" w:firstLine="0"/>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9</w:t>
            </w:r>
          </w:p>
        </w:tc>
        <w:tc>
          <w:tcPr>
            <w:tcW w:w="1442"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ind w:left="0" w:firstLine="0"/>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合计</w:t>
            </w:r>
          </w:p>
        </w:tc>
        <w:tc>
          <w:tcPr>
            <w:tcW w:w="1269"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both"/>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1674.82</w:t>
            </w:r>
          </w:p>
        </w:tc>
        <w:tc>
          <w:tcPr>
            <w:tcW w:w="1273"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both"/>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1801.44</w:t>
            </w:r>
          </w:p>
        </w:tc>
        <w:tc>
          <w:tcPr>
            <w:tcW w:w="860"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增加</w:t>
            </w:r>
          </w:p>
        </w:tc>
        <w:tc>
          <w:tcPr>
            <w:tcW w:w="12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both"/>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1638.6</w:t>
            </w:r>
          </w:p>
        </w:tc>
        <w:tc>
          <w:tcPr>
            <w:tcW w:w="12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both"/>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1697.17</w:t>
            </w:r>
          </w:p>
        </w:tc>
        <w:tc>
          <w:tcPr>
            <w:tcW w:w="867"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kinsoku/>
              <w:wordWrap/>
              <w:overflowPunct/>
              <w:topLinePunct w:val="0"/>
              <w:autoSpaceDE/>
              <w:autoSpaceDN/>
              <w:bidi w:val="0"/>
              <w:adjustRightInd w:val="0"/>
              <w:snapToGrid w:val="0"/>
              <w:spacing w:line="560" w:lineRule="exact"/>
              <w:contextualSpacing/>
              <w:jc w:val="center"/>
              <w:textAlignment w:val="auto"/>
              <w:outlineLvl w:val="9"/>
              <w:rPr>
                <w:rFonts w:hint="default"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pPr>
            <w:r>
              <w:rPr>
                <w:rFonts w:hint="eastAsia" w:ascii="Times New Roman" w:hAnsi="Times New Roman" w:eastAsia="仿宋_GB2312" w:cs="Times New Roman"/>
                <w:color w:val="000000"/>
                <w:spacing w:val="6"/>
                <w:kern w:val="0"/>
                <w:sz w:val="21"/>
                <w:szCs w:val="21"/>
                <w:highlight w:val="none"/>
                <w:shd w:val="clear" w:color="auto" w:fill="FFFFFF"/>
                <w:vertAlign w:val="baseline"/>
                <w:lang w:val="en-US" w:eastAsia="zh-CN" w:bidi="ar-SA"/>
              </w:rPr>
              <w:t>增加</w:t>
            </w:r>
          </w:p>
        </w:tc>
      </w:tr>
    </w:tbl>
    <w:p>
      <w:pPr>
        <w:pStyle w:val="8"/>
        <w:spacing w:after="0" w:line="240" w:lineRule="auto"/>
        <w:ind w:left="0" w:leftChars="0" w:firstLine="640" w:firstLineChars="200"/>
        <w:jc w:val="left"/>
        <w:rPr>
          <w:rFonts w:hint="default" w:ascii="Times New Roman" w:hAnsi="Times New Roman" w:eastAsia="仿宋_GB2312" w:cs="仿宋_GB2312"/>
          <w:kern w:val="2"/>
          <w:sz w:val="32"/>
          <w:szCs w:val="32"/>
          <w:lang w:val="en-US" w:eastAsia="zh-CN" w:bidi="ar-SA"/>
        </w:rPr>
      </w:pPr>
      <w:r>
        <w:rPr>
          <w:rFonts w:hint="default" w:ascii="Times New Roman" w:hAnsi="Times New Roman" w:eastAsia="仿宋_GB2312" w:cs="仿宋_GB2312"/>
          <w:kern w:val="2"/>
          <w:sz w:val="32"/>
          <w:szCs w:val="32"/>
          <w:lang w:val="en-US" w:eastAsia="zh-CN" w:bidi="ar-SA"/>
        </w:rPr>
        <w:t>综上，我部门2024年一般性支出财政拨款预算增加，财政拨款执行数增加，一般性支出压减效果不显著，指标得0分。</w:t>
      </w:r>
    </w:p>
    <w:p>
      <w:pPr>
        <w:pStyle w:val="8"/>
        <w:spacing w:line="560" w:lineRule="exact"/>
        <w:ind w:left="0" w:leftChars="0" w:firstLine="640"/>
        <w:rPr>
          <w:rFonts w:hint="eastAsia" w:ascii="楷体_GB2312" w:hAnsi="楷体_GB2312" w:eastAsia="楷体_GB2312" w:cs="楷体_GB2312"/>
          <w:color w:val="000000"/>
          <w:kern w:val="0"/>
          <w:sz w:val="32"/>
          <w:szCs w:val="32"/>
          <w:highlight w:val="none"/>
          <w:shd w:val="clear" w:color="auto" w:fill="FFFFFF"/>
          <w:lang w:val="en-US" w:eastAsia="zh-CN" w:bidi="ar-SA"/>
        </w:rPr>
      </w:pPr>
      <w:r>
        <w:rPr>
          <w:rFonts w:hint="eastAsia" w:ascii="楷体_GB2312" w:hAnsi="楷体_GB2312" w:eastAsia="楷体_GB2312" w:cs="楷体_GB2312"/>
          <w:color w:val="000000"/>
          <w:kern w:val="0"/>
          <w:sz w:val="32"/>
          <w:szCs w:val="32"/>
          <w:highlight w:val="none"/>
          <w:shd w:val="clear" w:color="auto" w:fill="FFFFFF"/>
          <w:lang w:val="en-US" w:eastAsia="zh-CN" w:bidi="ar-SA"/>
        </w:rPr>
        <w:t>3.财务管理。</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为规范我部门财务工作管理，我部门制定了《阿坝州公路管理局财务管理暂行办法》，对我部门预算、收入、支出、费用报销、资产、票据和银行账户管理方面做出规定，相关管理制度建立健全。我部门设有财务岗位对部门财务进行管理，部门资金使用规范，无违规支出，故财务管理得10分。</w:t>
      </w:r>
    </w:p>
    <w:p>
      <w:pPr>
        <w:pStyle w:val="8"/>
        <w:spacing w:line="560" w:lineRule="exact"/>
        <w:ind w:left="0" w:leftChars="0" w:firstLine="640"/>
        <w:rPr>
          <w:rFonts w:hint="eastAsia" w:ascii="楷体_GB2312" w:hAnsi="楷体_GB2312" w:eastAsia="楷体_GB2312" w:cs="楷体_GB2312"/>
          <w:color w:val="000000"/>
          <w:kern w:val="0"/>
          <w:sz w:val="32"/>
          <w:szCs w:val="32"/>
          <w:highlight w:val="none"/>
          <w:shd w:val="clear" w:color="auto" w:fill="FFFFFF"/>
          <w:lang w:val="en-US" w:eastAsia="zh-CN" w:bidi="ar-SA"/>
        </w:rPr>
      </w:pPr>
      <w:r>
        <w:rPr>
          <w:rFonts w:hint="eastAsia" w:ascii="楷体_GB2312" w:hAnsi="楷体_GB2312" w:eastAsia="楷体_GB2312" w:cs="楷体_GB2312"/>
          <w:color w:val="000000"/>
          <w:kern w:val="0"/>
          <w:sz w:val="32"/>
          <w:szCs w:val="32"/>
          <w:highlight w:val="none"/>
          <w:shd w:val="clear" w:color="auto" w:fill="FFFFFF"/>
          <w:lang w:val="en-US" w:eastAsia="zh-CN" w:bidi="ar-SA"/>
        </w:rPr>
        <w:t>4.资产管理。</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2023年年末我部门固定资产总额为38487.24万元，在职人员1751人，人均资产为21.98万元/人；2024我部门固定资产总额35629.9万元，在职人员1582人，人均资产为22.52万元/人。人均资产变化率为2.46%，大于2024年州直行政事业单位人均资产变化率-3.96%，得0分。2024年我部门资产均处于在用状态，无资产闲置的情况。故资产管理得6分。</w:t>
      </w:r>
    </w:p>
    <w:p>
      <w:pPr>
        <w:pStyle w:val="8"/>
        <w:spacing w:line="560" w:lineRule="exact"/>
        <w:ind w:left="0" w:leftChars="0" w:firstLine="640"/>
        <w:rPr>
          <w:rFonts w:hint="eastAsia" w:ascii="楷体_GB2312" w:hAnsi="楷体_GB2312" w:eastAsia="楷体_GB2312" w:cs="楷体_GB2312"/>
          <w:color w:val="000000"/>
          <w:kern w:val="0"/>
          <w:sz w:val="32"/>
          <w:szCs w:val="32"/>
          <w:highlight w:val="none"/>
          <w:shd w:val="clear" w:color="auto" w:fill="FFFFFF"/>
          <w:lang w:val="en-US" w:eastAsia="zh-CN" w:bidi="ar-SA"/>
        </w:rPr>
      </w:pPr>
      <w:r>
        <w:rPr>
          <w:rFonts w:hint="eastAsia" w:ascii="楷体_GB2312" w:hAnsi="楷体_GB2312" w:eastAsia="楷体_GB2312" w:cs="楷体_GB2312"/>
          <w:color w:val="000000"/>
          <w:kern w:val="0"/>
          <w:sz w:val="32"/>
          <w:szCs w:val="32"/>
          <w:highlight w:val="none"/>
          <w:shd w:val="clear" w:color="auto" w:fill="FFFFFF"/>
          <w:lang w:val="en-US" w:eastAsia="zh-CN" w:bidi="ar-SA"/>
        </w:rPr>
        <w:t>5.采购管理。</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1）支持中小企业发展。我部门严格执行政府采购促进中小企业发展相关管理办法，对适宜由中小企业提供的采购项目和采购包，预留了采购份额专门面向中小企业采购，并在采购预算中单独列示，2024年我部门执行政府采购累计金额2994.36万元，政府采购授予中小企业合同金额为2994.36万元，占比为100%。该指标得3分</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（2）政府采购执行率。我局2024年度的政府采购总预算数为2994.36万元，当年政府采购预算执行数为2994.36万元，已完成采购执行率100%。根据评分标准，该项指标得3分。</w:t>
      </w:r>
    </w:p>
    <w:p>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ind w:firstLine="643" w:firstLineChars="200"/>
        <w:contextualSpacing/>
        <w:jc w:val="left"/>
        <w:textAlignment w:val="auto"/>
        <w:outlineLvl w:val="9"/>
        <w:rPr>
          <w:rFonts w:hint="eastAsia" w:ascii="Times New Roman" w:hAnsi="Times New Roman" w:eastAsia="楷体_GB2312" w:cs="Times New Roman"/>
          <w:b/>
          <w:bCs/>
          <w:color w:val="000000"/>
          <w:kern w:val="0"/>
          <w:sz w:val="32"/>
          <w:szCs w:val="32"/>
          <w:highlight w:val="none"/>
          <w:shd w:val="clear" w:color="auto" w:fill="FFFFFF"/>
          <w:lang w:val="en-US" w:eastAsia="zh-CN"/>
        </w:rPr>
      </w:pPr>
      <w:r>
        <w:rPr>
          <w:rFonts w:hint="eastAsia" w:ascii="Times New Roman" w:hAnsi="Times New Roman" w:eastAsia="楷体_GB2312" w:cs="Times New Roman"/>
          <w:b/>
          <w:bCs/>
          <w:color w:val="000000"/>
          <w:kern w:val="0"/>
          <w:sz w:val="32"/>
          <w:szCs w:val="32"/>
          <w:highlight w:val="none"/>
          <w:shd w:val="clear" w:color="auto" w:fill="FFFFFF"/>
          <w:lang w:val="en-US" w:eastAsia="zh-CN"/>
        </w:rPr>
        <w:t>（二）部门预算项目绩效分析</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人员类项目分析。该类项目总数12个，涉及预算总金额41185.05万元，实际执行40613.79万元，1—12月预算执行总体进度为98.61%，其中：预算结余率大于10%的项目共计0个。</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公用经费类（运转类）项目分析。该类项目总数2个，涉及项目预算总金额4425.68万元，实际执行4076.69万元，1—12月预算执行总体进度为92.11%，其中：预算结余率大于10%的项目共计0个。</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特定目标类项目分析。该类项目总数59个，涉及预算总金额51052.17万元，实际执行金额51052.17万元，1—12月预算执行总体进度为100%，其中：预算结余率大于10%的项目共计0个。</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转移类项目绩效分析。该类项目总数1个，涉及预算总金额31.87万元，实际执行31.87万元，1—12月预算执行总体进度为100%，其中：预算结余率大于10%的项目共计0个。</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p>
    <w:p>
      <w:pPr>
        <w:pStyle w:val="8"/>
        <w:spacing w:line="560" w:lineRule="exact"/>
        <w:ind w:left="0" w:leftChars="0" w:firstLine="640"/>
        <w:rPr>
          <w:rFonts w:hint="eastAsia" w:ascii="楷体_GB2312" w:hAnsi="楷体_GB2312" w:eastAsia="楷体_GB2312" w:cs="楷体_GB2312"/>
          <w:color w:val="000000"/>
          <w:kern w:val="0"/>
          <w:sz w:val="32"/>
          <w:szCs w:val="32"/>
          <w:highlight w:val="none"/>
          <w:shd w:val="clear" w:color="auto" w:fill="FFFFFF"/>
          <w:lang w:val="en-US" w:eastAsia="zh-CN" w:bidi="ar-SA"/>
        </w:rPr>
      </w:pPr>
      <w:r>
        <w:rPr>
          <w:rFonts w:hint="eastAsia" w:ascii="楷体_GB2312" w:hAnsi="楷体_GB2312" w:eastAsia="楷体_GB2312" w:cs="楷体_GB2312"/>
          <w:color w:val="000000"/>
          <w:kern w:val="0"/>
          <w:sz w:val="32"/>
          <w:szCs w:val="32"/>
          <w:highlight w:val="none"/>
          <w:shd w:val="clear" w:color="auto" w:fill="FFFFFF"/>
          <w:lang w:val="en-US" w:eastAsia="zh-CN" w:bidi="ar-SA"/>
        </w:rPr>
        <w:t>1.项目决策。</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1）决策程序。为保障我部门各项工作顺利开展，在编制部门年初预算时，我部门围绕年度重点工作和以往年度工作开展情况，初步确定了我部门预算项目，并通过我局党委会议审议，审核通过后根据财政要求填报了《项目支出绩效目标申报表》，并得到财政批复。我部门项目决策程序合规，故该指标得4分。</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2）目标设置。在目标设置方面，我部门根据年度工作计划，为部门拟开展得项目设定了绩效目标，并通过具体的绩效指标对绩效目标进行细化量化，绩效指标设置与预算安排的资金量匹配，绩效目标设置科学合理。故目标设置得4分。</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（3）项目入库。对于年初编报的预算项目，我部门根据州财政局有关要求，认真梳理2024年预算项目，并在财政部门规定时间内前完成了项目入库工作。故该指标得4分。</w:t>
      </w:r>
    </w:p>
    <w:p>
      <w:pPr>
        <w:pStyle w:val="8"/>
        <w:spacing w:line="560" w:lineRule="exact"/>
        <w:ind w:left="0" w:leftChars="0" w:firstLine="640"/>
        <w:rPr>
          <w:rFonts w:hint="eastAsia" w:ascii="楷体_GB2312" w:hAnsi="楷体_GB2312" w:eastAsia="楷体_GB2312" w:cs="楷体_GB2312"/>
          <w:color w:val="000000"/>
          <w:kern w:val="0"/>
          <w:sz w:val="32"/>
          <w:szCs w:val="32"/>
          <w:highlight w:val="none"/>
          <w:shd w:val="clear" w:color="auto" w:fill="FFFFFF"/>
          <w:lang w:val="en-US" w:eastAsia="zh-CN" w:bidi="ar-SA"/>
        </w:rPr>
      </w:pPr>
      <w:r>
        <w:rPr>
          <w:rFonts w:hint="eastAsia" w:ascii="楷体_GB2312" w:hAnsi="楷体_GB2312" w:eastAsia="楷体_GB2312" w:cs="楷体_GB2312"/>
          <w:color w:val="000000"/>
          <w:kern w:val="0"/>
          <w:sz w:val="32"/>
          <w:szCs w:val="32"/>
          <w:highlight w:val="none"/>
          <w:shd w:val="clear" w:color="auto" w:fill="FFFFFF"/>
          <w:lang w:val="en-US" w:eastAsia="zh-CN" w:bidi="ar-SA"/>
        </w:rPr>
        <w:t>2.项目执行。</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（1）执行同向。我部门2024年全年执行项目共74个，各项目严格按照财政批复的用途使用项目资金，预算资金支出方向与项目年度目标一致，不存在挪用、挤占和虚列项目资金的情况。故该指标得4分。</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2）项目调整。我部门2024年严格按照州财政要求，对部门1-6月和1-10月项目预算执行情况进行开展绩效监控，及时分析资金支出情况。我部门未出现“应采取未采取收回预算、调整目标等处置措施的部门预算阶段项目”，故该指标得4分。</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（3）执行结果。我部门全年执行项目共计74个，涉及项目资金94440.62万元，其中2024年项目预算结余率＞10%的项目为0。故根据评分标准，该指标得4分。</w:t>
      </w:r>
    </w:p>
    <w:p>
      <w:pPr>
        <w:pStyle w:val="8"/>
        <w:spacing w:line="560" w:lineRule="exact"/>
        <w:ind w:left="0" w:leftChars="0" w:firstLine="640"/>
        <w:rPr>
          <w:rFonts w:hint="eastAsia" w:ascii="楷体_GB2312" w:hAnsi="楷体_GB2312" w:eastAsia="楷体_GB2312" w:cs="楷体_GB2312"/>
          <w:color w:val="000000"/>
          <w:kern w:val="0"/>
          <w:sz w:val="32"/>
          <w:szCs w:val="32"/>
          <w:highlight w:val="none"/>
          <w:shd w:val="clear" w:color="auto" w:fill="FFFFFF"/>
          <w:lang w:val="en-US" w:eastAsia="zh-CN" w:bidi="ar-SA"/>
        </w:rPr>
      </w:pPr>
      <w:r>
        <w:rPr>
          <w:rFonts w:hint="eastAsia" w:ascii="楷体_GB2312" w:hAnsi="楷体_GB2312" w:eastAsia="楷体_GB2312" w:cs="楷体_GB2312"/>
          <w:color w:val="000000"/>
          <w:kern w:val="0"/>
          <w:sz w:val="32"/>
          <w:szCs w:val="32"/>
          <w:highlight w:val="none"/>
          <w:shd w:val="clear" w:color="auto" w:fill="FFFFFF"/>
          <w:lang w:val="en-US" w:eastAsia="zh-CN" w:bidi="ar-SA"/>
        </w:rPr>
        <w:t>3．目标实现</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1）目标完成。我部门2024年共申报项目74个，项目涉及数量指标74条。截至2024年12月，累计完成74条。通过项目执行，我部门在职人员工资发放、社保缴纳和办公用品保障率100%，保障了我部门各项工作正常开展，确保全州道路交通安全畅通。部门各项目标均已完成，故该指标得4分。</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（2）目标偏离。我部门2024年共为74个项目设定了绩效目标，共设置绩效指标108余条，通过对部门工作进行自评，2024年我部门各项目绩效指标完成偏离度均小于30%。故该指标得4分。</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3）实现效果。2024年我部门共执行项目74个，共设置效益指标108余条。2023年我部门通过对全州道路、桥梁和隧道等设施进行维护管理，提升了道路通行能力，延长了道路使用寿命，保障了全区道路安全畅通。部门履职效益显著，故该指标得3分。</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楷体_GB2312" w:cs="Times New Roman"/>
          <w:b/>
          <w:bCs/>
          <w:color w:val="000000"/>
          <w:kern w:val="0"/>
          <w:sz w:val="32"/>
          <w:szCs w:val="32"/>
          <w:highlight w:val="none"/>
          <w:shd w:val="clear" w:color="auto" w:fill="FFFFFF"/>
          <w:lang w:val="en-US" w:eastAsia="zh-CN" w:bidi="ar-SA"/>
        </w:rPr>
        <w:t>（三）重点领域绩效分析</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我部门2024年执行政府采购预算2994.36万元，涉及采购项目34个；采购过程中我部门严格按照《阿坝州公路管理局政府采购管理暂行办法》及《阿坝州公路管理局内部采购管理暂行办法》等文件开展采购工作，所购服务和货物均达到质量要求，采购流程遵循相关规定，采购程序合理合规。采购实施后，一方面通过对全州辖区道路开展养护工作，提升了全州道路畅通能力。另一方面，通过采购一些公务用车、工作制服等物资采购，提升了我部门工作开展的便利性，同时也提升了我部门工作人员的形象。</w:t>
      </w:r>
    </w:p>
    <w:p>
      <w:pPr>
        <w:pStyle w:val="8"/>
        <w:spacing w:line="560" w:lineRule="exact"/>
        <w:ind w:left="0" w:leftChars="0" w:firstLine="640"/>
        <w:rPr>
          <w:rFonts w:hint="eastAsia" w:ascii="Times New Roman" w:hAnsi="Times New Roman" w:eastAsia="楷体_GB2312" w:cs="Times New Roman"/>
          <w:b/>
          <w:bCs/>
          <w:color w:val="000000"/>
          <w:kern w:val="0"/>
          <w:sz w:val="32"/>
          <w:szCs w:val="32"/>
          <w:highlight w:val="none"/>
          <w:shd w:val="clear" w:color="auto" w:fill="FFFFFF"/>
          <w:lang w:val="en-US" w:eastAsia="zh-CN" w:bidi="ar-SA"/>
        </w:rPr>
      </w:pPr>
      <w:r>
        <w:rPr>
          <w:rFonts w:hint="eastAsia" w:ascii="Times New Roman" w:hAnsi="Times New Roman" w:eastAsia="楷体_GB2312" w:cs="Times New Roman"/>
          <w:b/>
          <w:bCs/>
          <w:color w:val="000000"/>
          <w:kern w:val="0"/>
          <w:sz w:val="32"/>
          <w:szCs w:val="32"/>
          <w:highlight w:val="none"/>
          <w:shd w:val="clear" w:color="auto" w:fill="FFFFFF"/>
          <w:lang w:val="en-US" w:eastAsia="zh-CN" w:bidi="ar-SA"/>
        </w:rPr>
        <w:t>（四）绩效结果应用情况</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一是通过本次绩效自评工作，我部门将进一步加强部门预算绩效管理知识学习，加强部门预算编制的科学性和合理性，并加强项目资金管理，提高资金使用效益，保障各项工作顺利开展。二是严格按照州财政局有关要求公开。</w:t>
      </w:r>
    </w:p>
    <w:p>
      <w:pPr>
        <w:pStyle w:val="6"/>
        <w:bidi w:val="0"/>
        <w:rPr>
          <w:rFonts w:hint="eastAsia" w:ascii="黑体" w:hAnsi="黑体" w:eastAsia="黑体" w:cs="黑体"/>
          <w:b w:val="0"/>
          <w:bCs w:val="0"/>
          <w:lang w:val="en-US" w:eastAsia="zh-CN"/>
        </w:rPr>
      </w:pPr>
      <w:r>
        <w:rPr>
          <w:rFonts w:hint="eastAsia" w:ascii="黑体" w:hAnsi="黑体" w:eastAsia="黑体" w:cs="黑体"/>
          <w:b w:val="0"/>
          <w:bCs w:val="0"/>
          <w:lang w:val="en-US" w:eastAsia="zh-CN"/>
        </w:rPr>
        <w:t>四、评价结论及建议</w:t>
      </w:r>
    </w:p>
    <w:p>
      <w:pPr>
        <w:pStyle w:val="8"/>
        <w:spacing w:line="560" w:lineRule="exact"/>
        <w:ind w:left="0" w:leftChars="0" w:firstLine="640"/>
        <w:rPr>
          <w:rFonts w:hint="eastAsia" w:ascii="Times New Roman" w:hAnsi="Times New Roman" w:eastAsia="楷体_GB2312" w:cs="Times New Roman"/>
          <w:b/>
          <w:bCs/>
          <w:color w:val="000000"/>
          <w:kern w:val="0"/>
          <w:sz w:val="32"/>
          <w:szCs w:val="32"/>
          <w:highlight w:val="none"/>
          <w:shd w:val="clear" w:color="auto" w:fill="FFFFFF"/>
          <w:lang w:val="en-US" w:eastAsia="zh-CN" w:bidi="ar-SA"/>
        </w:rPr>
      </w:pPr>
      <w:r>
        <w:rPr>
          <w:rFonts w:hint="eastAsia" w:ascii="Times New Roman" w:hAnsi="Times New Roman" w:eastAsia="楷体_GB2312" w:cs="Times New Roman"/>
          <w:b/>
          <w:bCs/>
          <w:color w:val="000000"/>
          <w:kern w:val="0"/>
          <w:sz w:val="32"/>
          <w:szCs w:val="32"/>
          <w:highlight w:val="none"/>
          <w:shd w:val="clear" w:color="auto" w:fill="FFFFFF"/>
          <w:lang w:val="en-US" w:eastAsia="zh-CN" w:bidi="ar-SA"/>
        </w:rPr>
        <w:t>（一）评价结论</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2024年我部门较好的完成了各项工作，通过对我部门总体工作进行自评，最终自评分数为83.06分，自评等级为“良”。</w:t>
      </w:r>
    </w:p>
    <w:p>
      <w:pPr>
        <w:pStyle w:val="8"/>
        <w:spacing w:line="560" w:lineRule="exact"/>
        <w:ind w:left="0" w:leftChars="0" w:firstLine="640"/>
        <w:rPr>
          <w:rFonts w:hint="eastAsia" w:ascii="Times New Roman" w:hAnsi="Times New Roman" w:eastAsia="楷体_GB2312" w:cs="Times New Roman"/>
          <w:b/>
          <w:bCs/>
          <w:color w:val="000000"/>
          <w:kern w:val="0"/>
          <w:sz w:val="32"/>
          <w:szCs w:val="32"/>
          <w:highlight w:val="none"/>
          <w:shd w:val="clear" w:color="auto" w:fill="FFFFFF"/>
          <w:lang w:val="en-US" w:eastAsia="zh-CN" w:bidi="ar-SA"/>
        </w:rPr>
      </w:pPr>
      <w:r>
        <w:rPr>
          <w:rFonts w:hint="eastAsia" w:ascii="Times New Roman" w:hAnsi="Times New Roman" w:eastAsia="楷体_GB2312" w:cs="Times New Roman"/>
          <w:b/>
          <w:bCs/>
          <w:color w:val="000000"/>
          <w:kern w:val="0"/>
          <w:sz w:val="32"/>
          <w:szCs w:val="32"/>
          <w:highlight w:val="none"/>
          <w:shd w:val="clear" w:color="auto" w:fill="FFFFFF"/>
          <w:lang w:val="en-US" w:eastAsia="zh-CN" w:bidi="ar-SA"/>
        </w:rPr>
        <w:t>（二）存在问题</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1.预算编制准确性有待进一步提高。部门年初预算与全年预算数存在较大差异，预算编制长远性谋划不足，对部门预算执行进度考核和部门整体绩效评价有一定影响。</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2.一般性支出压减力度不够。2024年一般性支出中，部门“三公经费”“差旅经费”和“培训经费”年初预算较上年未实现压减，“三公经费”“差旅经费”“培训经费”预算执行较上年未实现压减。主要原因一是我州需要养护公路里程数增加，道路养护需开展的培训费用增加；二是我部门2024年追加的工程类项目较多，频繁往返项目点检查工作导致差旅费等费用增加。</w:t>
      </w:r>
    </w:p>
    <w:p>
      <w:pPr>
        <w:pStyle w:val="8"/>
        <w:spacing w:line="560" w:lineRule="exact"/>
        <w:ind w:left="0" w:leftChars="0" w:firstLine="640"/>
        <w:rPr>
          <w:rFonts w:hint="eastAsia" w:ascii="Times New Roman" w:hAnsi="Times New Roman" w:eastAsia="楷体_GB2312" w:cs="Times New Roman"/>
          <w:b/>
          <w:bCs/>
          <w:color w:val="000000"/>
          <w:kern w:val="0"/>
          <w:sz w:val="32"/>
          <w:szCs w:val="32"/>
          <w:highlight w:val="none"/>
          <w:shd w:val="clear" w:color="auto" w:fill="FFFFFF"/>
          <w:lang w:val="en-US" w:eastAsia="zh-CN" w:bidi="ar-SA"/>
        </w:rPr>
      </w:pPr>
      <w:r>
        <w:rPr>
          <w:rFonts w:hint="eastAsia" w:ascii="Times New Roman" w:hAnsi="Times New Roman" w:eastAsia="楷体_GB2312" w:cs="Times New Roman"/>
          <w:b/>
          <w:bCs/>
          <w:color w:val="000000"/>
          <w:kern w:val="0"/>
          <w:sz w:val="32"/>
          <w:szCs w:val="32"/>
          <w:highlight w:val="none"/>
          <w:shd w:val="clear" w:color="auto" w:fill="FFFFFF"/>
          <w:lang w:val="en-US" w:eastAsia="zh-CN" w:bidi="ar-SA"/>
        </w:rPr>
        <w:t>（三）改进建议</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1.合理进行预算测算，提高预算编制准确性。加强研究分析，夯实预算编制工作的基础，在编制部门预算时，深入调研和分析各部门的实际需求，根据事业发展规划、年度工作计划和履职需要，科学合理地预测未来一年的资产配置需求、政府采购规模和方向，并充分考虑市场变化、政策调整等因素对计划的影响，增强预算的计划性、前瞻性，提高预算编制的科学性、准确性。</w:t>
      </w:r>
    </w:p>
    <w:p>
      <w:pPr>
        <w:pStyle w:val="8"/>
        <w:spacing w:line="560" w:lineRule="exact"/>
        <w:ind w:left="0" w:leftChars="0"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2.厉行勤俭节约，压减一般性支出。牢固树立过紧日子思想，坚持严预算、提绩效，压缩非急需非刚性支出，严格控制“三公”经费支出，重点保障民生、工资、运转等重点领域支出，进一步提高资金配置效率，全面提高财政资金使用效益。</w:t>
      </w:r>
    </w:p>
    <w:p>
      <w:pPr>
        <w:pStyle w:val="8"/>
        <w:spacing w:line="560" w:lineRule="exact"/>
        <w:ind w:left="0" w:leftChars="0" w:firstLine="640"/>
        <w:rPr>
          <w:rFonts w:ascii="Times New Roman"/>
          <w:sz w:val="32"/>
          <w:highlight w:val="yellow"/>
          <w:lang w:val="zh-CN"/>
        </w:rPr>
      </w:pPr>
    </w:p>
    <w:p>
      <w:pPr>
        <w:pStyle w:val="8"/>
        <w:spacing w:line="560" w:lineRule="exact"/>
        <w:ind w:left="0" w:leftChars="0" w:firstLine="640"/>
        <w:rPr>
          <w:rFonts w:ascii="Times New Roman"/>
          <w:sz w:val="32"/>
          <w:highlight w:val="yellow"/>
          <w:lang w:val="zh-CN"/>
        </w:rPr>
        <w:sectPr>
          <w:footerReference r:id="rId5" w:type="first"/>
          <w:headerReference r:id="rId3" w:type="default"/>
          <w:footerReference r:id="rId4" w:type="default"/>
          <w:pgSz w:w="11906" w:h="16838"/>
          <w:pgMar w:top="1440" w:right="1800" w:bottom="1440" w:left="1800" w:header="851" w:footer="992" w:gutter="0"/>
          <w:pgNumType w:fmt="decimal" w:start="1"/>
          <w:cols w:space="425" w:num="1"/>
          <w:titlePg/>
          <w:docGrid w:type="lines" w:linePitch="312" w:charSpace="0"/>
        </w:sectPr>
      </w:pPr>
    </w:p>
    <w:p>
      <w:pPr>
        <w:pStyle w:val="6"/>
        <w:spacing w:before="93"/>
        <w:rPr>
          <w:rFonts w:hint="default" w:ascii="Times New Roman" w:eastAsia="黑体" w:cs="黑体"/>
          <w:sz w:val="32"/>
          <w:szCs w:val="32"/>
          <w:shd w:val="clear" w:color="auto" w:fill="FFFFFF"/>
          <w:lang w:val="en-US" w:eastAsia="zh-CN"/>
        </w:rPr>
      </w:pPr>
      <w:r>
        <w:rPr>
          <w:rFonts w:hint="eastAsia" w:ascii="Times New Roman" w:eastAsia="黑体" w:cs="黑体"/>
          <w:sz w:val="32"/>
          <w:szCs w:val="32"/>
          <w:shd w:val="clear" w:color="auto" w:fill="FFFFFF"/>
          <w:lang w:val="en-US" w:eastAsia="zh-CN"/>
        </w:rPr>
        <w:t>附件1-1</w:t>
      </w:r>
    </w:p>
    <w:p>
      <w:pPr>
        <w:widowControl/>
        <w:spacing w:line="600" w:lineRule="exact"/>
        <w:jc w:val="center"/>
        <w:textAlignment w:val="center"/>
        <w:rPr>
          <w:rFonts w:hint="eastAsia" w:eastAsia="方正小标宋简体"/>
          <w:color w:val="000000"/>
          <w:kern w:val="0"/>
          <w:sz w:val="44"/>
          <w:szCs w:val="44"/>
        </w:rPr>
      </w:pPr>
      <w:r>
        <w:rPr>
          <w:rFonts w:hint="eastAsia" w:eastAsia="方正小标宋简体"/>
          <w:color w:val="000000"/>
          <w:kern w:val="0"/>
          <w:sz w:val="44"/>
          <w:szCs w:val="44"/>
        </w:rPr>
        <w:t>部门预算绩效自评打分表</w:t>
      </w:r>
    </w:p>
    <w:tbl>
      <w:tblPr>
        <w:tblStyle w:val="16"/>
        <w:tblW w:w="10819" w:type="dxa"/>
        <w:jc w:val="center"/>
        <w:tblLayout w:type="fixed"/>
        <w:tblCellMar>
          <w:top w:w="0" w:type="dxa"/>
          <w:left w:w="108" w:type="dxa"/>
          <w:bottom w:w="0" w:type="dxa"/>
          <w:right w:w="108" w:type="dxa"/>
        </w:tblCellMar>
      </w:tblPr>
      <w:tblGrid>
        <w:gridCol w:w="1004"/>
        <w:gridCol w:w="1462"/>
        <w:gridCol w:w="1665"/>
        <w:gridCol w:w="720"/>
        <w:gridCol w:w="4734"/>
        <w:gridCol w:w="756"/>
        <w:gridCol w:w="478"/>
      </w:tblGrid>
      <w:tr>
        <w:tblPrEx>
          <w:tblCellMar>
            <w:top w:w="0" w:type="dxa"/>
            <w:left w:w="108" w:type="dxa"/>
            <w:bottom w:w="0" w:type="dxa"/>
            <w:right w:w="108" w:type="dxa"/>
          </w:tblCellMar>
        </w:tblPrEx>
        <w:trPr>
          <w:trHeight w:val="23" w:hRule="atLeast"/>
          <w:jc w:val="center"/>
        </w:trPr>
        <w:tc>
          <w:tcPr>
            <w:tcW w:w="4851" w:type="dxa"/>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黑体" w:hAnsi="Times New Roman" w:eastAsia="黑体" w:cs="黑体"/>
                <w:color w:val="000000"/>
                <w:sz w:val="24"/>
              </w:rPr>
            </w:pPr>
            <w:r>
              <w:rPr>
                <w:rFonts w:hint="eastAsia" w:ascii="黑体" w:hAnsi="Times New Roman" w:eastAsia="黑体" w:cs="黑体"/>
                <w:color w:val="000000"/>
                <w:kern w:val="0"/>
                <w:sz w:val="24"/>
              </w:rPr>
              <w:t>绩效评价指标指标分值</w:t>
            </w:r>
          </w:p>
        </w:tc>
        <w:tc>
          <w:tcPr>
            <w:tcW w:w="4734"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黑体" w:hAnsi="Times New Roman" w:eastAsia="黑体" w:cs="黑体"/>
                <w:color w:val="000000"/>
                <w:sz w:val="24"/>
              </w:rPr>
            </w:pPr>
            <w:r>
              <w:rPr>
                <w:rFonts w:hint="eastAsia" w:ascii="黑体" w:hAnsi="Times New Roman" w:eastAsia="黑体" w:cs="黑体"/>
                <w:color w:val="000000"/>
                <w:kern w:val="0"/>
                <w:sz w:val="24"/>
              </w:rPr>
              <w:t>指标解释</w:t>
            </w:r>
          </w:p>
        </w:tc>
        <w:tc>
          <w:tcPr>
            <w:tcW w:w="756" w:type="dxa"/>
            <w:vMerge w:val="restart"/>
            <w:tcBorders>
              <w:top w:val="single" w:color="000000" w:sz="4" w:space="0"/>
              <w:left w:val="single" w:color="000000" w:sz="4" w:space="0"/>
              <w:bottom w:val="nil"/>
              <w:right w:val="single" w:color="000000" w:sz="4" w:space="0"/>
            </w:tcBorders>
            <w:shd w:val="clear" w:color="auto" w:fill="auto"/>
            <w:noWrap/>
            <w:vAlign w:val="center"/>
          </w:tcPr>
          <w:p>
            <w:pPr>
              <w:widowControl/>
              <w:spacing w:line="240" w:lineRule="exact"/>
              <w:jc w:val="center"/>
              <w:textAlignment w:val="center"/>
              <w:rPr>
                <w:rFonts w:hint="eastAsia" w:ascii="黑体" w:hAnsi="Times New Roman" w:eastAsia="黑体" w:cs="黑体"/>
                <w:color w:val="000000"/>
                <w:kern w:val="0"/>
                <w:sz w:val="24"/>
              </w:rPr>
            </w:pPr>
            <w:r>
              <w:rPr>
                <w:rFonts w:hint="eastAsia" w:ascii="黑体" w:hAnsi="Times New Roman" w:eastAsia="黑体" w:cs="黑体"/>
                <w:color w:val="000000"/>
                <w:kern w:val="0"/>
                <w:sz w:val="24"/>
              </w:rPr>
              <w:t>自评得分</w:t>
            </w:r>
          </w:p>
        </w:tc>
        <w:tc>
          <w:tcPr>
            <w:tcW w:w="478" w:type="dxa"/>
            <w:vMerge w:val="restart"/>
            <w:tcBorders>
              <w:top w:val="single" w:color="000000" w:sz="4" w:space="0"/>
              <w:left w:val="single" w:color="000000" w:sz="4" w:space="0"/>
              <w:bottom w:val="nil"/>
              <w:right w:val="single" w:color="000000" w:sz="4" w:space="0"/>
            </w:tcBorders>
            <w:shd w:val="clear" w:color="auto" w:fill="auto"/>
            <w:noWrap/>
            <w:vAlign w:val="center"/>
          </w:tcPr>
          <w:p>
            <w:pPr>
              <w:widowControl/>
              <w:spacing w:line="240" w:lineRule="exact"/>
              <w:jc w:val="center"/>
              <w:textAlignment w:val="center"/>
              <w:rPr>
                <w:rFonts w:hint="eastAsia" w:ascii="黑体" w:hAnsi="Times New Roman" w:eastAsia="黑体" w:cs="黑体"/>
                <w:color w:val="000000"/>
                <w:kern w:val="0"/>
                <w:sz w:val="24"/>
              </w:rPr>
            </w:pPr>
            <w:r>
              <w:rPr>
                <w:rFonts w:hint="eastAsia" w:ascii="黑体" w:hAnsi="Times New Roman" w:eastAsia="黑体" w:cs="黑体"/>
                <w:color w:val="000000"/>
                <w:kern w:val="0"/>
                <w:sz w:val="24"/>
              </w:rPr>
              <w:t>备注</w:t>
            </w:r>
          </w:p>
        </w:tc>
      </w:tr>
      <w:tr>
        <w:tblPrEx>
          <w:tblCellMar>
            <w:top w:w="0" w:type="dxa"/>
            <w:left w:w="108" w:type="dxa"/>
            <w:bottom w:w="0" w:type="dxa"/>
            <w:right w:w="108" w:type="dxa"/>
          </w:tblCellMar>
        </w:tblPrEx>
        <w:trPr>
          <w:trHeight w:val="23" w:hRule="atLeast"/>
          <w:jc w:val="center"/>
        </w:trPr>
        <w:tc>
          <w:tcPr>
            <w:tcW w:w="1004" w:type="dxa"/>
            <w:tcBorders>
              <w:top w:val="single" w:color="000000" w:sz="4" w:space="0"/>
              <w:left w:val="single" w:color="000000" w:sz="4" w:space="0"/>
              <w:bottom w:val="single" w:color="000000" w:sz="4" w:space="0"/>
              <w:right w:val="nil"/>
            </w:tcBorders>
            <w:shd w:val="clear" w:color="auto" w:fill="auto"/>
            <w:noWrap/>
            <w:vAlign w:val="center"/>
          </w:tcPr>
          <w:p>
            <w:pPr>
              <w:widowControl/>
              <w:spacing w:line="240" w:lineRule="exact"/>
              <w:jc w:val="center"/>
              <w:textAlignment w:val="center"/>
              <w:rPr>
                <w:rFonts w:hint="eastAsia" w:ascii="黑体" w:hAnsi="Times New Roman" w:eastAsia="黑体" w:cs="黑体"/>
                <w:color w:val="000000"/>
                <w:sz w:val="24"/>
              </w:rPr>
            </w:pPr>
            <w:r>
              <w:rPr>
                <w:rFonts w:hint="eastAsia" w:ascii="黑体" w:hAnsi="Times New Roman" w:eastAsia="黑体" w:cs="黑体"/>
                <w:color w:val="000000"/>
                <w:kern w:val="0"/>
                <w:sz w:val="24"/>
              </w:rPr>
              <w:t>一级指标</w:t>
            </w:r>
          </w:p>
        </w:tc>
        <w:tc>
          <w:tcPr>
            <w:tcW w:w="14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黑体" w:hAnsi="Times New Roman" w:eastAsia="黑体" w:cs="黑体"/>
                <w:color w:val="000000"/>
                <w:sz w:val="24"/>
              </w:rPr>
            </w:pPr>
            <w:r>
              <w:rPr>
                <w:rFonts w:hint="eastAsia" w:ascii="黑体" w:hAnsi="Times New Roman" w:eastAsia="黑体" w:cs="黑体"/>
                <w:color w:val="000000"/>
                <w:kern w:val="0"/>
                <w:sz w:val="24"/>
              </w:rPr>
              <w:t>二级指标</w:t>
            </w: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黑体" w:hAnsi="Times New Roman" w:eastAsia="黑体" w:cs="黑体"/>
                <w:color w:val="000000"/>
                <w:sz w:val="24"/>
              </w:rPr>
            </w:pPr>
            <w:r>
              <w:rPr>
                <w:rFonts w:hint="eastAsia" w:ascii="黑体" w:hAnsi="Times New Roman" w:eastAsia="黑体" w:cs="黑体"/>
                <w:color w:val="000000"/>
                <w:kern w:val="0"/>
                <w:sz w:val="24"/>
              </w:rPr>
              <w:t>三级指标</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黑体" w:hAnsi="Times New Roman" w:eastAsia="黑体" w:cs="黑体"/>
                <w:color w:val="000000"/>
                <w:sz w:val="24"/>
              </w:rPr>
            </w:pPr>
            <w:r>
              <w:rPr>
                <w:rFonts w:hint="eastAsia" w:ascii="黑体" w:hAnsi="Times New Roman" w:eastAsia="黑体" w:cs="黑体"/>
                <w:color w:val="000000"/>
                <w:kern w:val="0"/>
                <w:sz w:val="24"/>
              </w:rPr>
              <w:t>指标</w:t>
            </w:r>
            <w:r>
              <w:rPr>
                <w:rFonts w:hint="eastAsia" w:ascii="黑体" w:hAnsi="Times New Roman" w:eastAsia="黑体" w:cs="黑体"/>
                <w:color w:val="000000"/>
                <w:kern w:val="0"/>
                <w:sz w:val="24"/>
              </w:rPr>
              <w:br w:type="textWrapping"/>
            </w:r>
            <w:r>
              <w:rPr>
                <w:rFonts w:hint="eastAsia" w:ascii="黑体" w:hAnsi="Times New Roman" w:eastAsia="黑体" w:cs="黑体"/>
                <w:color w:val="000000"/>
                <w:kern w:val="0"/>
                <w:sz w:val="24"/>
              </w:rPr>
              <w:t>分值</w:t>
            </w:r>
          </w:p>
        </w:tc>
        <w:tc>
          <w:tcPr>
            <w:tcW w:w="473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756" w:type="dxa"/>
            <w:vMerge w:val="continue"/>
            <w:tcBorders>
              <w:top w:val="nil"/>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478" w:type="dxa"/>
            <w:vMerge w:val="continue"/>
            <w:tcBorders>
              <w:top w:val="nil"/>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r>
      <w:tr>
        <w:tblPrEx>
          <w:tblCellMar>
            <w:top w:w="0" w:type="dxa"/>
            <w:left w:w="108" w:type="dxa"/>
            <w:bottom w:w="0" w:type="dxa"/>
            <w:right w:w="108" w:type="dxa"/>
          </w:tblCellMar>
        </w:tblPrEx>
        <w:trPr>
          <w:trHeight w:val="23" w:hRule="atLeast"/>
          <w:jc w:val="center"/>
        </w:trPr>
        <w:tc>
          <w:tcPr>
            <w:tcW w:w="1004"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b/>
                <w:color w:val="000000"/>
                <w:sz w:val="24"/>
              </w:rPr>
            </w:pPr>
            <w:r>
              <w:rPr>
                <w:rFonts w:hint="eastAsia" w:ascii="宋体" w:hAnsi="Times New Roman" w:eastAsia="宋体" w:cs="宋体"/>
                <w:b/>
                <w:color w:val="000000"/>
                <w:kern w:val="0"/>
                <w:sz w:val="24"/>
              </w:rPr>
              <w:t>总体绩效</w:t>
            </w:r>
            <w:r>
              <w:rPr>
                <w:rFonts w:hint="eastAsia" w:ascii="宋体" w:hAnsi="Times New Roman" w:eastAsia="宋体" w:cs="宋体"/>
                <w:b/>
                <w:color w:val="000000"/>
                <w:kern w:val="0"/>
                <w:sz w:val="24"/>
              </w:rPr>
              <w:br w:type="textWrapping"/>
            </w:r>
            <w:r>
              <w:rPr>
                <w:rFonts w:hint="eastAsia" w:ascii="宋体" w:hAnsi="Times New Roman" w:eastAsia="宋体" w:cs="宋体"/>
                <w:b/>
                <w:color w:val="000000"/>
                <w:kern w:val="0"/>
                <w:sz w:val="24"/>
              </w:rPr>
              <w:t>（65分）</w:t>
            </w:r>
          </w:p>
        </w:tc>
        <w:tc>
          <w:tcPr>
            <w:tcW w:w="14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b/>
                <w:color w:val="000000"/>
                <w:sz w:val="24"/>
              </w:rPr>
            </w:pPr>
            <w:r>
              <w:rPr>
                <w:rFonts w:hint="eastAsia" w:ascii="宋体" w:hAnsi="Times New Roman" w:eastAsia="宋体" w:cs="宋体"/>
                <w:b/>
                <w:color w:val="000000"/>
                <w:kern w:val="0"/>
                <w:sz w:val="24"/>
              </w:rPr>
              <w:t>履职效能</w:t>
            </w:r>
            <w:r>
              <w:rPr>
                <w:rFonts w:hint="eastAsia" w:ascii="宋体" w:hAnsi="Times New Roman" w:eastAsia="宋体" w:cs="宋体"/>
                <w:b/>
                <w:color w:val="000000"/>
                <w:kern w:val="0"/>
                <w:sz w:val="24"/>
              </w:rPr>
              <w:br w:type="textWrapping"/>
            </w:r>
            <w:r>
              <w:rPr>
                <w:rFonts w:hint="eastAsia" w:ascii="宋体" w:hAnsi="Times New Roman" w:eastAsia="宋体" w:cs="宋体"/>
                <w:b/>
                <w:color w:val="000000"/>
                <w:kern w:val="0"/>
                <w:sz w:val="24"/>
              </w:rPr>
              <w:t>（15分）</w:t>
            </w: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XX履职效果</w:t>
            </w:r>
          </w:p>
        </w:tc>
        <w:tc>
          <w:tcPr>
            <w:tcW w:w="720" w:type="dxa"/>
            <w:tcBorders>
              <w:top w:val="nil"/>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15</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部门整体绩效目标中选定3-5个核心职能目标，反映该项职能目标完成效果情况</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15</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462"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b/>
                <w:color w:val="000000"/>
                <w:sz w:val="24"/>
              </w:rPr>
            </w:pPr>
            <w:r>
              <w:rPr>
                <w:rFonts w:hint="eastAsia" w:ascii="宋体" w:hAnsi="Times New Roman" w:eastAsia="宋体" w:cs="宋体"/>
                <w:b/>
                <w:color w:val="000000"/>
                <w:kern w:val="0"/>
                <w:sz w:val="24"/>
              </w:rPr>
              <w:t>预算管理</w:t>
            </w:r>
            <w:r>
              <w:rPr>
                <w:rFonts w:hint="eastAsia" w:ascii="宋体" w:hAnsi="Times New Roman" w:eastAsia="宋体" w:cs="宋体"/>
                <w:b/>
                <w:color w:val="000000"/>
                <w:kern w:val="0"/>
                <w:sz w:val="24"/>
              </w:rPr>
              <w:br w:type="textWrapping"/>
            </w:r>
            <w:r>
              <w:rPr>
                <w:rFonts w:hint="eastAsia" w:ascii="宋体" w:hAnsi="Times New Roman" w:eastAsia="宋体" w:cs="宋体"/>
                <w:b/>
                <w:color w:val="000000"/>
                <w:kern w:val="0"/>
                <w:sz w:val="24"/>
              </w:rPr>
              <w:t>（25分）</w:t>
            </w: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预算编制质量</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8</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部门是否严格按要求编制年初部门预算，年初预算编制的科学性和准确性</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2.1</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单位收入统筹</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4</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部门统筹自有收入程度</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4</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支出执行进度</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6</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部门1至6月、1至10月预算执行情况</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2.96</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预算年终结余</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2</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部门整体年终预算结余情况</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2</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严控一般性支出</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5</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部门严控“三公”经费、会议、培训、差旅、办节办展、办公设备购置、信息网络及软件购置更新、课题经费等8项一般性支出情况</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0</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462"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b/>
                <w:color w:val="000000"/>
                <w:sz w:val="24"/>
              </w:rPr>
            </w:pPr>
            <w:r>
              <w:rPr>
                <w:rFonts w:hint="eastAsia" w:ascii="宋体" w:hAnsi="Times New Roman" w:eastAsia="宋体" w:cs="宋体"/>
                <w:b/>
                <w:color w:val="000000"/>
                <w:kern w:val="0"/>
                <w:sz w:val="24"/>
              </w:rPr>
              <w:t>财务管理</w:t>
            </w:r>
            <w:r>
              <w:rPr>
                <w:rFonts w:hint="eastAsia" w:ascii="宋体" w:hAnsi="Times New Roman" w:eastAsia="宋体" w:cs="宋体"/>
                <w:b/>
                <w:color w:val="000000"/>
                <w:kern w:val="0"/>
                <w:sz w:val="24"/>
              </w:rPr>
              <w:br w:type="textWrapping"/>
            </w:r>
            <w:r>
              <w:rPr>
                <w:rFonts w:hint="eastAsia" w:ascii="宋体" w:hAnsi="Times New Roman" w:eastAsia="宋体" w:cs="宋体"/>
                <w:b/>
                <w:color w:val="000000"/>
                <w:kern w:val="0"/>
                <w:sz w:val="24"/>
              </w:rPr>
              <w:t>（10分）</w:t>
            </w: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财务管理制度</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4</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部门财务管理制度建立情况</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4</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财务岗位设置</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2</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部门财务岗位设置是否符合相关财务管理制度要求</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2</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资金使用规范</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4</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部门资金使用是否符合相关财务管理制度规定</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4</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462"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b/>
                <w:color w:val="000000"/>
                <w:sz w:val="24"/>
              </w:rPr>
            </w:pPr>
            <w:r>
              <w:rPr>
                <w:rFonts w:hint="eastAsia" w:ascii="宋体" w:hAnsi="Times New Roman" w:eastAsia="宋体" w:cs="宋体"/>
                <w:b/>
                <w:color w:val="000000"/>
                <w:kern w:val="0"/>
                <w:sz w:val="24"/>
              </w:rPr>
              <w:t>资产管理</w:t>
            </w:r>
            <w:r>
              <w:rPr>
                <w:rFonts w:hint="eastAsia" w:ascii="宋体" w:hAnsi="Times New Roman" w:eastAsia="宋体" w:cs="宋体"/>
                <w:b/>
                <w:color w:val="000000"/>
                <w:kern w:val="0"/>
                <w:sz w:val="24"/>
              </w:rPr>
              <w:br w:type="textWrapping"/>
            </w:r>
            <w:r>
              <w:rPr>
                <w:rFonts w:hint="eastAsia" w:ascii="宋体" w:hAnsi="Times New Roman" w:eastAsia="宋体" w:cs="宋体"/>
                <w:b/>
                <w:color w:val="000000"/>
                <w:kern w:val="0"/>
                <w:sz w:val="24"/>
              </w:rPr>
              <w:t>（9分）</w:t>
            </w: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人均资产变化率</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3</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部门人均资产变化情况</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0</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资产利用率</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3</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部门资产超最低使用年限情况</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3</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b/>
                <w:color w:val="000000"/>
                <w:sz w:val="24"/>
              </w:rPr>
            </w:pPr>
            <w:r>
              <w:rPr>
                <w:rFonts w:hint="eastAsia" w:ascii="宋体" w:hAnsi="Times New Roman" w:eastAsia="宋体" w:cs="宋体"/>
                <w:b/>
                <w:color w:val="000000"/>
                <w:kern w:val="0"/>
                <w:sz w:val="24"/>
              </w:rPr>
              <w:t>总体绩效</w:t>
            </w:r>
            <w:r>
              <w:rPr>
                <w:rFonts w:hint="eastAsia" w:ascii="宋体" w:hAnsi="Times New Roman" w:eastAsia="宋体" w:cs="宋体"/>
                <w:b/>
                <w:color w:val="000000"/>
                <w:kern w:val="0"/>
                <w:sz w:val="24"/>
              </w:rPr>
              <w:br w:type="textWrapping"/>
            </w:r>
            <w:r>
              <w:rPr>
                <w:rFonts w:hint="eastAsia" w:ascii="宋体" w:hAnsi="Times New Roman" w:eastAsia="宋体" w:cs="宋体"/>
                <w:b/>
                <w:color w:val="000000"/>
                <w:kern w:val="0"/>
                <w:sz w:val="24"/>
              </w:rPr>
              <w:t>（65分）</w:t>
            </w:r>
          </w:p>
        </w:tc>
        <w:tc>
          <w:tcPr>
            <w:tcW w:w="14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b/>
                <w:color w:val="000000"/>
                <w:sz w:val="24"/>
              </w:rPr>
            </w:pPr>
            <w:r>
              <w:rPr>
                <w:rFonts w:hint="eastAsia" w:ascii="宋体" w:hAnsi="Times New Roman" w:eastAsia="宋体" w:cs="宋体"/>
                <w:b/>
                <w:color w:val="000000"/>
                <w:kern w:val="0"/>
                <w:sz w:val="24"/>
              </w:rPr>
              <w:t>资产管理</w:t>
            </w:r>
            <w:r>
              <w:rPr>
                <w:rFonts w:hint="eastAsia" w:ascii="宋体" w:hAnsi="Times New Roman" w:eastAsia="宋体" w:cs="宋体"/>
                <w:b/>
                <w:color w:val="000000"/>
                <w:kern w:val="0"/>
                <w:sz w:val="24"/>
              </w:rPr>
              <w:br w:type="textWrapping"/>
            </w:r>
            <w:r>
              <w:rPr>
                <w:rFonts w:hint="eastAsia" w:ascii="宋体" w:hAnsi="Times New Roman" w:eastAsia="宋体" w:cs="宋体"/>
                <w:b/>
                <w:color w:val="000000"/>
                <w:kern w:val="0"/>
                <w:sz w:val="24"/>
              </w:rPr>
              <w:t>（9分）</w:t>
            </w: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资产盘活率</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3</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部门闲置一年以上的资产盘活情况</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3</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462"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b/>
                <w:color w:val="000000"/>
                <w:sz w:val="24"/>
              </w:rPr>
            </w:pPr>
            <w:r>
              <w:rPr>
                <w:rFonts w:hint="eastAsia" w:ascii="宋体" w:hAnsi="Times New Roman" w:eastAsia="宋体" w:cs="宋体"/>
                <w:b/>
                <w:color w:val="000000"/>
                <w:kern w:val="0"/>
                <w:sz w:val="24"/>
              </w:rPr>
              <w:t>采购管理</w:t>
            </w:r>
            <w:r>
              <w:rPr>
                <w:rFonts w:hint="eastAsia" w:ascii="宋体" w:hAnsi="Times New Roman" w:eastAsia="宋体" w:cs="宋体"/>
                <w:b/>
                <w:color w:val="000000"/>
                <w:kern w:val="0"/>
                <w:sz w:val="24"/>
              </w:rPr>
              <w:br w:type="textWrapping"/>
            </w:r>
            <w:r>
              <w:rPr>
                <w:rFonts w:hint="eastAsia" w:ascii="宋体" w:hAnsi="Times New Roman" w:eastAsia="宋体" w:cs="宋体"/>
                <w:b/>
                <w:color w:val="000000"/>
                <w:kern w:val="0"/>
                <w:sz w:val="24"/>
              </w:rPr>
              <w:t>（6分）</w:t>
            </w: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支持中小企业发展</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3</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部门是否严格执行政府采购促进中小企业发展相关管理办法</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3</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采购执行率</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3</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部门政府采购项目资金支付比例情况</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3</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b/>
                <w:color w:val="000000"/>
                <w:sz w:val="24"/>
              </w:rPr>
            </w:pPr>
            <w:r>
              <w:rPr>
                <w:rFonts w:hint="eastAsia" w:ascii="宋体" w:hAnsi="Times New Roman" w:eastAsia="宋体" w:cs="宋体"/>
                <w:b/>
                <w:color w:val="000000"/>
                <w:kern w:val="0"/>
                <w:sz w:val="24"/>
              </w:rPr>
              <w:t>项目绩效</w:t>
            </w:r>
            <w:r>
              <w:rPr>
                <w:rFonts w:hint="eastAsia" w:ascii="宋体" w:hAnsi="Times New Roman" w:eastAsia="宋体" w:cs="宋体"/>
                <w:b/>
                <w:color w:val="000000"/>
                <w:kern w:val="0"/>
                <w:sz w:val="24"/>
              </w:rPr>
              <w:br w:type="textWrapping"/>
            </w:r>
            <w:r>
              <w:rPr>
                <w:rFonts w:hint="eastAsia" w:ascii="宋体" w:hAnsi="Times New Roman" w:eastAsia="宋体" w:cs="宋体"/>
                <w:b/>
                <w:color w:val="000000"/>
                <w:kern w:val="0"/>
                <w:sz w:val="24"/>
              </w:rPr>
              <w:t>（35分）</w:t>
            </w:r>
          </w:p>
        </w:tc>
        <w:tc>
          <w:tcPr>
            <w:tcW w:w="1462" w:type="dxa"/>
            <w:vMerge w:val="restart"/>
            <w:tcBorders>
              <w:top w:val="single" w:color="000000" w:sz="4" w:space="0"/>
              <w:left w:val="single" w:color="000000" w:sz="4" w:space="0"/>
              <w:bottom w:val="nil"/>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b/>
                <w:color w:val="000000"/>
                <w:sz w:val="24"/>
              </w:rPr>
            </w:pPr>
            <w:r>
              <w:rPr>
                <w:rFonts w:hint="eastAsia" w:ascii="宋体" w:hAnsi="Times New Roman" w:eastAsia="宋体" w:cs="宋体"/>
                <w:b/>
                <w:color w:val="000000"/>
                <w:kern w:val="0"/>
                <w:sz w:val="24"/>
              </w:rPr>
              <w:t>项目决策</w:t>
            </w:r>
            <w:r>
              <w:rPr>
                <w:rFonts w:hint="eastAsia" w:ascii="宋体" w:hAnsi="Times New Roman" w:eastAsia="宋体" w:cs="宋体"/>
                <w:b/>
                <w:color w:val="000000"/>
                <w:kern w:val="0"/>
                <w:sz w:val="24"/>
              </w:rPr>
              <w:br w:type="textWrapping"/>
            </w:r>
            <w:r>
              <w:rPr>
                <w:rFonts w:hint="eastAsia" w:ascii="宋体" w:hAnsi="Times New Roman" w:eastAsia="宋体" w:cs="宋体"/>
                <w:b/>
                <w:color w:val="000000"/>
                <w:kern w:val="0"/>
                <w:sz w:val="24"/>
              </w:rPr>
              <w:t>（12分）</w:t>
            </w: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决策程序</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4</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部门预算项目设立是否按规定履行评估论证、申报程序</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4</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462" w:type="dxa"/>
            <w:vMerge w:val="continue"/>
            <w:tcBorders>
              <w:top w:val="single" w:color="000000" w:sz="4" w:space="0"/>
              <w:left w:val="single" w:color="000000" w:sz="4" w:space="0"/>
              <w:bottom w:val="nil"/>
              <w:right w:val="single" w:color="000000" w:sz="4" w:space="0"/>
            </w:tcBorders>
            <w:shd w:val="clear" w:color="auto" w:fill="auto"/>
            <w:noWrap/>
            <w:vAlign w:val="center"/>
          </w:tcPr>
          <w:p>
            <w:pPr>
              <w:rPr>
                <w:rFonts w:ascii="Times New Roman" w:hAnsi="Times New Roman" w:eastAsia="仿宋_GB2312" w:cs="Times New Roman"/>
                <w:sz w:val="32"/>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目标设置</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4</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部门预算项目绩效目标与计划期内的任务量、预算安排的资金量匹配情况，绩效目标设置是否科学合理、规范完整、量化细化、预算匹配</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4</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462" w:type="dxa"/>
            <w:vMerge w:val="continue"/>
            <w:tcBorders>
              <w:top w:val="single" w:color="000000" w:sz="4" w:space="0"/>
              <w:left w:val="single" w:color="000000" w:sz="4" w:space="0"/>
              <w:bottom w:val="nil"/>
              <w:right w:val="single" w:color="000000" w:sz="4" w:space="0"/>
            </w:tcBorders>
            <w:shd w:val="clear" w:color="auto" w:fill="auto"/>
            <w:noWrap/>
            <w:vAlign w:val="center"/>
          </w:tcPr>
          <w:p>
            <w:pPr>
              <w:rPr>
                <w:rFonts w:ascii="Times New Roman" w:hAnsi="Times New Roman" w:eastAsia="仿宋_GB2312" w:cs="Times New Roman"/>
                <w:sz w:val="32"/>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项目入库</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4</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部门预算项目是否在规定时间完成项目入库</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4</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462" w:type="dxa"/>
            <w:vMerge w:val="restart"/>
            <w:tcBorders>
              <w:top w:val="single" w:color="000000" w:sz="4" w:space="0"/>
              <w:left w:val="single" w:color="000000" w:sz="4" w:space="0"/>
              <w:bottom w:val="nil"/>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b/>
                <w:color w:val="000000"/>
                <w:sz w:val="24"/>
              </w:rPr>
            </w:pPr>
            <w:r>
              <w:rPr>
                <w:rFonts w:hint="eastAsia" w:ascii="宋体" w:hAnsi="Times New Roman" w:eastAsia="宋体" w:cs="宋体"/>
                <w:b/>
                <w:color w:val="000000"/>
                <w:kern w:val="0"/>
                <w:sz w:val="24"/>
              </w:rPr>
              <w:t>项目执行</w:t>
            </w:r>
            <w:r>
              <w:rPr>
                <w:rFonts w:hint="eastAsia" w:ascii="宋体" w:hAnsi="Times New Roman" w:eastAsia="宋体" w:cs="宋体"/>
                <w:b/>
                <w:color w:val="000000"/>
                <w:kern w:val="0"/>
                <w:sz w:val="24"/>
              </w:rPr>
              <w:br w:type="textWrapping"/>
            </w:r>
            <w:r>
              <w:rPr>
                <w:rFonts w:hint="eastAsia" w:ascii="宋体" w:hAnsi="Times New Roman" w:eastAsia="宋体" w:cs="宋体"/>
                <w:b/>
                <w:color w:val="000000"/>
                <w:kern w:val="0"/>
                <w:sz w:val="24"/>
              </w:rPr>
              <w:t>（12分）</w:t>
            </w: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执行同向</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4</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部门预算项目实际列支内容是否与绩效目标设置方向相符</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4</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462" w:type="dxa"/>
            <w:vMerge w:val="continue"/>
            <w:tcBorders>
              <w:top w:val="single" w:color="000000" w:sz="4" w:space="0"/>
              <w:left w:val="single" w:color="000000" w:sz="4" w:space="0"/>
              <w:bottom w:val="nil"/>
              <w:right w:val="single" w:color="000000" w:sz="4" w:space="0"/>
            </w:tcBorders>
            <w:shd w:val="clear" w:color="auto" w:fill="auto"/>
            <w:noWrap/>
            <w:vAlign w:val="center"/>
          </w:tcPr>
          <w:p>
            <w:pPr>
              <w:rPr>
                <w:rFonts w:ascii="Times New Roman" w:hAnsi="Times New Roman" w:eastAsia="仿宋_GB2312" w:cs="Times New Roman"/>
                <w:sz w:val="32"/>
              </w:rPr>
            </w:pPr>
          </w:p>
        </w:tc>
        <w:tc>
          <w:tcPr>
            <w:tcW w:w="1665" w:type="dxa"/>
            <w:tcBorders>
              <w:top w:val="single" w:color="000000" w:sz="4" w:space="0"/>
              <w:left w:val="single" w:color="000000" w:sz="4" w:space="0"/>
              <w:bottom w:val="nil"/>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项目调整</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4</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部门预算项目是否采取对应调整措施</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4</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462" w:type="dxa"/>
            <w:vMerge w:val="continue"/>
            <w:tcBorders>
              <w:top w:val="single" w:color="000000" w:sz="4" w:space="0"/>
              <w:left w:val="single" w:color="000000" w:sz="4" w:space="0"/>
              <w:bottom w:val="nil"/>
              <w:right w:val="single" w:color="000000" w:sz="4" w:space="0"/>
            </w:tcBorders>
            <w:shd w:val="clear" w:color="auto" w:fill="auto"/>
            <w:noWrap/>
            <w:vAlign w:val="center"/>
          </w:tcPr>
          <w:p>
            <w:pPr>
              <w:rPr>
                <w:rFonts w:ascii="Times New Roman" w:hAnsi="Times New Roman" w:eastAsia="仿宋_GB2312" w:cs="Times New Roman"/>
                <w:sz w:val="32"/>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执行结果</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4</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部门预算项目预算执行情况</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4</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462"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b/>
                <w:color w:val="000000"/>
                <w:sz w:val="24"/>
              </w:rPr>
            </w:pPr>
            <w:r>
              <w:rPr>
                <w:rFonts w:hint="eastAsia" w:ascii="宋体" w:hAnsi="Times New Roman" w:eastAsia="宋体" w:cs="宋体"/>
                <w:b/>
                <w:color w:val="000000"/>
                <w:kern w:val="0"/>
                <w:sz w:val="24"/>
              </w:rPr>
              <w:t>目标实现</w:t>
            </w:r>
            <w:r>
              <w:rPr>
                <w:rFonts w:hint="eastAsia" w:ascii="宋体" w:hAnsi="Times New Roman" w:eastAsia="宋体" w:cs="宋体"/>
                <w:b/>
                <w:color w:val="000000"/>
                <w:kern w:val="0"/>
                <w:sz w:val="24"/>
              </w:rPr>
              <w:br w:type="textWrapping"/>
            </w:r>
            <w:r>
              <w:rPr>
                <w:rFonts w:hint="eastAsia" w:ascii="宋体" w:hAnsi="Times New Roman" w:eastAsia="宋体" w:cs="宋体"/>
                <w:b/>
                <w:color w:val="000000"/>
                <w:kern w:val="0"/>
                <w:sz w:val="24"/>
              </w:rPr>
              <w:t>（11分）</w:t>
            </w: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目标完成</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4</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部门预算项目绩效目标数量指标完成情况</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4</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目标偏离</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4</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部门预算项目绩效目标数量指标实现程度与预期目标的偏离情况</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4</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Times New Roman" w:hAnsi="Times New Roman" w:eastAsia="仿宋_GB2312" w:cs="Times New Roman"/>
                <w:sz w:val="32"/>
              </w:rPr>
            </w:pPr>
          </w:p>
        </w:tc>
        <w:tc>
          <w:tcPr>
            <w:tcW w:w="1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实现效果</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3</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部门预算项目绩效目标效益指标实施效果</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r>
              <w:rPr>
                <w:rFonts w:hint="eastAsia" w:ascii="宋体" w:hAnsi="Times New Roman" w:eastAsia="宋体" w:cs="宋体"/>
                <w:color w:val="000000"/>
                <w:kern w:val="0"/>
                <w:sz w:val="24"/>
              </w:rPr>
              <w:t>3</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r>
        <w:tblPrEx>
          <w:tblCellMar>
            <w:top w:w="0" w:type="dxa"/>
            <w:left w:w="108" w:type="dxa"/>
            <w:bottom w:w="0" w:type="dxa"/>
            <w:right w:w="108" w:type="dxa"/>
          </w:tblCellMar>
        </w:tblPrEx>
        <w:trPr>
          <w:trHeight w:val="23" w:hRule="atLeast"/>
          <w:jc w:val="center"/>
        </w:trPr>
        <w:tc>
          <w:tcPr>
            <w:tcW w:w="10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b/>
                <w:color w:val="000000"/>
                <w:sz w:val="24"/>
              </w:rPr>
            </w:pPr>
            <w:r>
              <w:rPr>
                <w:rFonts w:hint="eastAsia" w:ascii="宋体" w:hAnsi="Times New Roman" w:eastAsia="宋体" w:cs="宋体"/>
                <w:b/>
                <w:color w:val="000000"/>
                <w:kern w:val="0"/>
                <w:sz w:val="24"/>
              </w:rPr>
              <w:t>扣分项</w:t>
            </w:r>
            <w:r>
              <w:rPr>
                <w:rFonts w:hint="eastAsia" w:ascii="宋体" w:hAnsi="Times New Roman" w:eastAsia="宋体" w:cs="宋体"/>
                <w:b/>
                <w:color w:val="000000"/>
                <w:kern w:val="0"/>
                <w:sz w:val="24"/>
              </w:rPr>
              <w:br w:type="textWrapping"/>
            </w:r>
            <w:r>
              <w:rPr>
                <w:rFonts w:hint="eastAsia" w:ascii="宋体" w:hAnsi="Times New Roman" w:eastAsia="宋体" w:cs="宋体"/>
                <w:b/>
                <w:color w:val="000000"/>
                <w:kern w:val="0"/>
                <w:sz w:val="24"/>
              </w:rPr>
              <w:t>（10分）</w:t>
            </w:r>
          </w:p>
        </w:tc>
        <w:tc>
          <w:tcPr>
            <w:tcW w:w="3127"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被评价部门配合度</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center"/>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sz w:val="24"/>
              </w:rPr>
            </w:pPr>
            <w:r>
              <w:rPr>
                <w:rFonts w:hint="eastAsia" w:ascii="宋体" w:hAnsi="Times New Roman" w:eastAsia="宋体" w:cs="宋体"/>
                <w:color w:val="000000"/>
                <w:kern w:val="0"/>
                <w:sz w:val="24"/>
              </w:rPr>
              <w:t>被评价对象工作配合情况</w:t>
            </w:r>
          </w:p>
        </w:tc>
        <w:tc>
          <w:tcPr>
            <w:tcW w:w="7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exact"/>
              <w:jc w:val="left"/>
              <w:textAlignment w:val="center"/>
              <w:rPr>
                <w:rFonts w:hint="eastAsia" w:ascii="宋体" w:hAnsi="Times New Roman" w:eastAsia="宋体" w:cs="宋体"/>
                <w:color w:val="000000"/>
                <w:kern w:val="0"/>
                <w:sz w:val="24"/>
              </w:rPr>
            </w:pPr>
          </w:p>
        </w:tc>
      </w:tr>
    </w:tbl>
    <w:p>
      <w:pPr>
        <w:pStyle w:val="8"/>
        <w:spacing w:line="560" w:lineRule="exact"/>
        <w:rPr>
          <w:rFonts w:ascii="Times New Roman"/>
          <w:sz w:val="32"/>
          <w:highlight w:val="yellow"/>
          <w:lang w:val="zh-CN"/>
        </w:rPr>
        <w:sectPr>
          <w:footerReference r:id="rId7" w:type="first"/>
          <w:footerReference r:id="rId6" w:type="default"/>
          <w:pgSz w:w="11906" w:h="16838"/>
          <w:pgMar w:top="1440" w:right="1800" w:bottom="1440" w:left="1800" w:header="851" w:footer="992" w:gutter="0"/>
          <w:pgNumType w:fmt="decimal" w:start="34"/>
          <w:cols w:space="425" w:num="1"/>
          <w:titlePg/>
          <w:docGrid w:type="lines" w:linePitch="312" w:charSpace="0"/>
        </w:sectPr>
      </w:pPr>
    </w:p>
    <w:p>
      <w:pPr>
        <w:pStyle w:val="6"/>
        <w:spacing w:before="93"/>
        <w:rPr>
          <w:rFonts w:hint="default" w:ascii="Times New Roman" w:eastAsia="黑体" w:cs="黑体"/>
          <w:sz w:val="32"/>
          <w:szCs w:val="32"/>
          <w:shd w:val="clear" w:color="auto" w:fill="FFFFFF"/>
          <w:lang w:val="en-US" w:eastAsia="zh-CN"/>
        </w:rPr>
      </w:pPr>
      <w:r>
        <w:rPr>
          <w:rFonts w:hint="eastAsia" w:ascii="Times New Roman" w:eastAsia="黑体" w:cs="黑体"/>
          <w:sz w:val="32"/>
          <w:szCs w:val="32"/>
          <w:shd w:val="clear" w:color="auto" w:fill="FFFFFF"/>
          <w:lang w:val="en-US" w:eastAsia="zh-CN"/>
        </w:rPr>
        <w:t>附件1-2</w:t>
      </w:r>
    </w:p>
    <w:p>
      <w:pPr>
        <w:jc w:val="center"/>
        <w:rPr>
          <w:rFonts w:ascii="Times New Roman" w:hAnsi="Times New Roman" w:eastAsia="方正小标宋简体" w:cs="Times New Roman"/>
          <w:color w:val="000000"/>
          <w:spacing w:val="6"/>
          <w:kern w:val="0"/>
          <w:sz w:val="44"/>
          <w:szCs w:val="44"/>
        </w:rPr>
      </w:pPr>
      <w:r>
        <w:rPr>
          <w:rFonts w:ascii="Times New Roman" w:hAnsi="Times New Roman" w:eastAsia="方正小标宋简体" w:cs="Times New Roman"/>
          <w:color w:val="000000"/>
          <w:spacing w:val="6"/>
          <w:kern w:val="0"/>
          <w:sz w:val="44"/>
          <w:szCs w:val="44"/>
        </w:rPr>
        <w:t>部门整体绩效目标完成情况自评表</w:t>
      </w:r>
    </w:p>
    <w:p>
      <w:pPr>
        <w:jc w:val="center"/>
        <w:rPr>
          <w:rFonts w:ascii="Times New Roman" w:hAnsi="Times New Roman" w:eastAsia="仿宋_GB2312" w:cs="Times New Roman"/>
          <w:sz w:val="32"/>
        </w:rPr>
      </w:pPr>
      <w:r>
        <w:rPr>
          <w:rFonts w:ascii="Times New Roman" w:hAnsi="Times New Roman" w:eastAsia="宋体" w:cs="Times New Roman"/>
          <w:color w:val="000000"/>
          <w:spacing w:val="6"/>
          <w:kern w:val="0"/>
          <w:sz w:val="28"/>
          <w:szCs w:val="28"/>
        </w:rPr>
        <w:t>（202</w:t>
      </w:r>
      <w:r>
        <w:rPr>
          <w:rFonts w:hint="eastAsia" w:ascii="Times New Roman" w:hAnsi="Times New Roman" w:eastAsia="宋体" w:cs="Times New Roman"/>
          <w:color w:val="000000"/>
          <w:spacing w:val="6"/>
          <w:kern w:val="0"/>
          <w:sz w:val="28"/>
          <w:szCs w:val="28"/>
        </w:rPr>
        <w:t>4</w:t>
      </w:r>
      <w:r>
        <w:rPr>
          <w:rFonts w:ascii="Times New Roman" w:hAnsi="Times New Roman" w:eastAsia="宋体" w:cs="Times New Roman"/>
          <w:color w:val="000000"/>
          <w:spacing w:val="6"/>
          <w:kern w:val="0"/>
          <w:sz w:val="28"/>
          <w:szCs w:val="28"/>
        </w:rPr>
        <w:t>年度）</w:t>
      </w:r>
    </w:p>
    <w:tbl>
      <w:tblPr>
        <w:tblStyle w:val="16"/>
        <w:tblpPr w:leftFromText="180" w:rightFromText="180" w:vertAnchor="text" w:horzAnchor="page" w:tblpX="1940" w:tblpY="79"/>
        <w:tblOverlap w:val="never"/>
        <w:tblW w:w="4999" w:type="pct"/>
        <w:tblInd w:w="0" w:type="dxa"/>
        <w:tblLayout w:type="autofit"/>
        <w:tblCellMar>
          <w:top w:w="15" w:type="dxa"/>
          <w:left w:w="15" w:type="dxa"/>
          <w:bottom w:w="15" w:type="dxa"/>
          <w:right w:w="15" w:type="dxa"/>
        </w:tblCellMar>
      </w:tblPr>
      <w:tblGrid>
        <w:gridCol w:w="873"/>
        <w:gridCol w:w="364"/>
        <w:gridCol w:w="431"/>
        <w:gridCol w:w="2371"/>
        <w:gridCol w:w="298"/>
        <w:gridCol w:w="2973"/>
        <w:gridCol w:w="431"/>
        <w:gridCol w:w="164"/>
        <w:gridCol w:w="431"/>
      </w:tblGrid>
      <w:tr>
        <w:tblPrEx>
          <w:tblCellMar>
            <w:top w:w="15" w:type="dxa"/>
            <w:left w:w="15" w:type="dxa"/>
            <w:bottom w:w="15" w:type="dxa"/>
            <w:right w:w="15" w:type="dxa"/>
          </w:tblCellMar>
        </w:tblPrEx>
        <w:trPr>
          <w:trHeight w:val="23" w:hRule="atLeast"/>
        </w:trPr>
        <w:tc>
          <w:tcPr>
            <w:tcW w:w="1958" w:type="pct"/>
            <w:gridSpan w:val="3"/>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ascii="Times New Roman" w:hAnsi="Times New Roman" w:eastAsia="宋体" w:cs="Times New Roman"/>
                <w:color w:val="000000"/>
                <w:spacing w:val="6"/>
                <w:sz w:val="24"/>
              </w:rPr>
            </w:pPr>
            <w:r>
              <w:rPr>
                <w:rFonts w:ascii="Times New Roman" w:hAnsi="Times New Roman" w:eastAsia="宋体" w:cs="Times New Roman"/>
                <w:color w:val="000000"/>
                <w:spacing w:val="6"/>
                <w:kern w:val="0"/>
                <w:sz w:val="24"/>
              </w:rPr>
              <w:t>部门名称</w:t>
            </w:r>
          </w:p>
        </w:tc>
        <w:tc>
          <w:tcPr>
            <w:tcW w:w="3041" w:type="pct"/>
            <w:gridSpan w:val="6"/>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ascii="Times New Roman" w:hAnsi="Times New Roman" w:eastAsia="宋体" w:cs="Times New Roman"/>
                <w:color w:val="000000"/>
                <w:spacing w:val="6"/>
                <w:sz w:val="24"/>
                <w:lang w:eastAsia="en-US"/>
              </w:rPr>
            </w:pPr>
            <w:r>
              <w:rPr>
                <w:rFonts w:hint="eastAsia" w:ascii="Times New Roman" w:hAnsi="Times New Roman" w:eastAsia="宋体" w:cs="Times New Roman"/>
                <w:color w:val="000000"/>
                <w:spacing w:val="6"/>
                <w:kern w:val="0"/>
                <w:sz w:val="24"/>
              </w:rPr>
              <w:t>阿坝州公路管理局</w:t>
            </w:r>
          </w:p>
        </w:tc>
      </w:tr>
      <w:tr>
        <w:tblPrEx>
          <w:tblCellMar>
            <w:top w:w="15" w:type="dxa"/>
            <w:left w:w="15" w:type="dxa"/>
            <w:bottom w:w="15" w:type="dxa"/>
            <w:right w:w="15" w:type="dxa"/>
          </w:tblCellMar>
        </w:tblPrEx>
        <w:trPr>
          <w:trHeight w:val="23" w:hRule="atLeast"/>
        </w:trPr>
        <w:tc>
          <w:tcPr>
            <w:tcW w:w="962" w:type="pct"/>
            <w:vMerge w:val="restar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ascii="Times New Roman" w:hAnsi="Times New Roman" w:eastAsia="宋体" w:cs="Times New Roman"/>
                <w:color w:val="000000"/>
                <w:spacing w:val="6"/>
                <w:sz w:val="24"/>
              </w:rPr>
            </w:pPr>
            <w:r>
              <w:rPr>
                <w:rFonts w:ascii="Times New Roman" w:hAnsi="Times New Roman" w:eastAsia="宋体" w:cs="Times New Roman"/>
                <w:color w:val="000000"/>
                <w:spacing w:val="6"/>
                <w:kern w:val="0"/>
                <w:sz w:val="24"/>
              </w:rPr>
              <w:t>年度部门整体支出预算</w:t>
            </w:r>
          </w:p>
        </w:tc>
        <w:tc>
          <w:tcPr>
            <w:tcW w:w="995" w:type="pct"/>
            <w:gridSpan w:val="2"/>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ascii="Times New Roman" w:hAnsi="Times New Roman" w:eastAsia="宋体" w:cs="Times New Roman"/>
                <w:color w:val="000000"/>
                <w:spacing w:val="6"/>
                <w:sz w:val="24"/>
              </w:rPr>
            </w:pPr>
            <w:r>
              <w:rPr>
                <w:rFonts w:ascii="Times New Roman" w:hAnsi="Times New Roman" w:eastAsia="宋体" w:cs="Times New Roman"/>
                <w:color w:val="000000"/>
                <w:spacing w:val="6"/>
                <w:kern w:val="0"/>
                <w:sz w:val="24"/>
              </w:rPr>
              <w:t>资金总额</w:t>
            </w:r>
          </w:p>
        </w:tc>
        <w:tc>
          <w:tcPr>
            <w:tcW w:w="852" w:type="pct"/>
            <w:gridSpan w:val="2"/>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ascii="Times New Roman" w:hAnsi="Times New Roman" w:eastAsia="宋体" w:cs="Times New Roman"/>
                <w:color w:val="000000"/>
                <w:spacing w:val="6"/>
                <w:sz w:val="24"/>
              </w:rPr>
            </w:pPr>
            <w:r>
              <w:rPr>
                <w:rFonts w:ascii="Times New Roman" w:hAnsi="Times New Roman" w:eastAsia="宋体" w:cs="Times New Roman"/>
                <w:color w:val="000000"/>
                <w:spacing w:val="6"/>
                <w:kern w:val="0"/>
                <w:sz w:val="24"/>
              </w:rPr>
              <w:t>财政拨款</w:t>
            </w:r>
          </w:p>
        </w:tc>
        <w:tc>
          <w:tcPr>
            <w:tcW w:w="2188" w:type="pct"/>
            <w:gridSpan w:val="4"/>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ascii="Times New Roman" w:hAnsi="Times New Roman" w:eastAsia="宋体" w:cs="Times New Roman"/>
                <w:color w:val="000000"/>
                <w:spacing w:val="6"/>
                <w:sz w:val="24"/>
              </w:rPr>
            </w:pPr>
            <w:r>
              <w:rPr>
                <w:rFonts w:ascii="Times New Roman" w:hAnsi="Times New Roman" w:eastAsia="宋体" w:cs="Times New Roman"/>
                <w:color w:val="000000"/>
                <w:spacing w:val="6"/>
                <w:kern w:val="0"/>
                <w:sz w:val="24"/>
              </w:rPr>
              <w:t>其他资金</w:t>
            </w:r>
          </w:p>
        </w:tc>
      </w:tr>
      <w:tr>
        <w:tblPrEx>
          <w:tblCellMar>
            <w:top w:w="15" w:type="dxa"/>
            <w:left w:w="15" w:type="dxa"/>
            <w:bottom w:w="15" w:type="dxa"/>
            <w:right w:w="15" w:type="dxa"/>
          </w:tblCellMar>
        </w:tblPrEx>
        <w:trPr>
          <w:trHeight w:val="23" w:hRule="atLeast"/>
        </w:trPr>
        <w:tc>
          <w:tcPr>
            <w:tcW w:w="962" w:type="pct"/>
            <w:vMerge w:val="continue"/>
            <w:tcBorders>
              <w:top w:val="single" w:color="000000" w:sz="4" w:space="0"/>
              <w:left w:val="single" w:color="000000" w:sz="4" w:space="0"/>
              <w:bottom w:val="single" w:color="000000" w:sz="4" w:space="0"/>
              <w:right w:val="single" w:color="000000" w:sz="4" w:space="0"/>
            </w:tcBorders>
            <w:noWrap/>
            <w:vAlign w:val="center"/>
          </w:tcPr>
          <w:p>
            <w:pPr>
              <w:rPr>
                <w:rFonts w:ascii="Times New Roman" w:hAnsi="Times New Roman" w:eastAsia="仿宋_GB2312" w:cs="Times New Roman"/>
                <w:sz w:val="32"/>
              </w:rPr>
            </w:pPr>
          </w:p>
        </w:tc>
        <w:tc>
          <w:tcPr>
            <w:tcW w:w="995" w:type="pct"/>
            <w:gridSpan w:val="2"/>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ascii="Times New Roman" w:hAnsi="Times New Roman" w:eastAsia="宋体" w:cs="Times New Roman"/>
                <w:color w:val="000000"/>
                <w:spacing w:val="6"/>
                <w:sz w:val="24"/>
              </w:rPr>
            </w:pPr>
            <w:r>
              <w:rPr>
                <w:rFonts w:hint="eastAsia" w:ascii="仿宋" w:hAnsi="Times New Roman" w:eastAsia="仿宋" w:cs="仿宋"/>
                <w:color w:val="000000"/>
                <w:sz w:val="32"/>
                <w:szCs w:val="32"/>
              </w:rPr>
              <w:t>94641.96</w:t>
            </w:r>
          </w:p>
        </w:tc>
        <w:tc>
          <w:tcPr>
            <w:tcW w:w="852" w:type="pct"/>
            <w:gridSpan w:val="2"/>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ascii="Times New Roman" w:hAnsi="Times New Roman" w:eastAsia="宋体" w:cs="Times New Roman"/>
                <w:color w:val="000000"/>
                <w:spacing w:val="6"/>
                <w:sz w:val="24"/>
              </w:rPr>
            </w:pPr>
            <w:r>
              <w:rPr>
                <w:rFonts w:hint="eastAsia" w:ascii="仿宋" w:hAnsi="Times New Roman" w:eastAsia="仿宋" w:cs="仿宋"/>
                <w:color w:val="000000"/>
                <w:sz w:val="32"/>
                <w:szCs w:val="32"/>
              </w:rPr>
              <w:t>94440.62</w:t>
            </w:r>
          </w:p>
        </w:tc>
        <w:tc>
          <w:tcPr>
            <w:tcW w:w="2188" w:type="pct"/>
            <w:gridSpan w:val="4"/>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ascii="Times New Roman" w:hAnsi="Times New Roman" w:eastAsia="宋体" w:cs="Times New Roman"/>
                <w:color w:val="000000"/>
                <w:spacing w:val="6"/>
                <w:sz w:val="24"/>
              </w:rPr>
            </w:pPr>
            <w:r>
              <w:rPr>
                <w:rFonts w:hint="eastAsia" w:ascii="Times New Roman" w:hAnsi="Times New Roman" w:eastAsia="宋体" w:cs="Times New Roman"/>
                <w:color w:val="000000"/>
                <w:spacing w:val="6"/>
                <w:sz w:val="24"/>
              </w:rPr>
              <w:t>201.34</w:t>
            </w:r>
          </w:p>
        </w:tc>
      </w:tr>
      <w:tr>
        <w:tblPrEx>
          <w:tblCellMar>
            <w:top w:w="15" w:type="dxa"/>
            <w:left w:w="15" w:type="dxa"/>
            <w:bottom w:w="15" w:type="dxa"/>
            <w:right w:w="15" w:type="dxa"/>
          </w:tblCellMar>
        </w:tblPrEx>
        <w:trPr>
          <w:trHeight w:val="624" w:hRule="atLeast"/>
        </w:trPr>
        <w:tc>
          <w:tcPr>
            <w:tcW w:w="962"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ascii="Times New Roman" w:hAnsi="Times New Roman" w:eastAsia="宋体" w:cs="Times New Roman"/>
                <w:color w:val="000000"/>
                <w:spacing w:val="6"/>
                <w:kern w:val="0"/>
                <w:sz w:val="24"/>
              </w:rPr>
            </w:pPr>
            <w:r>
              <w:rPr>
                <w:rFonts w:ascii="Times New Roman" w:hAnsi="Times New Roman" w:eastAsia="宋体" w:cs="Times New Roman"/>
                <w:color w:val="000000"/>
                <w:spacing w:val="6"/>
                <w:kern w:val="0"/>
                <w:sz w:val="24"/>
              </w:rPr>
              <w:t>年度总体</w:t>
            </w:r>
          </w:p>
          <w:p>
            <w:pPr>
              <w:widowControl/>
              <w:snapToGrid w:val="0"/>
              <w:jc w:val="center"/>
              <w:textAlignment w:val="center"/>
              <w:rPr>
                <w:rFonts w:ascii="Times New Roman" w:hAnsi="Times New Roman" w:eastAsia="宋体" w:cs="Times New Roman"/>
                <w:color w:val="000000"/>
                <w:spacing w:val="6"/>
                <w:sz w:val="24"/>
              </w:rPr>
            </w:pPr>
            <w:r>
              <w:rPr>
                <w:rFonts w:ascii="Times New Roman" w:hAnsi="Times New Roman" w:eastAsia="宋体" w:cs="Times New Roman"/>
                <w:color w:val="000000"/>
                <w:spacing w:val="6"/>
                <w:kern w:val="0"/>
                <w:sz w:val="24"/>
              </w:rPr>
              <w:t>目标</w:t>
            </w:r>
          </w:p>
        </w:tc>
        <w:tc>
          <w:tcPr>
            <w:tcW w:w="4037" w:type="pct"/>
            <w:gridSpan w:val="8"/>
            <w:tcBorders>
              <w:top w:val="single" w:color="000000" w:sz="4" w:space="0"/>
              <w:left w:val="single" w:color="000000" w:sz="4" w:space="0"/>
              <w:bottom w:val="single" w:color="000000" w:sz="4" w:space="0"/>
              <w:right w:val="single" w:color="000000" w:sz="4" w:space="0"/>
            </w:tcBorders>
            <w:noWrap/>
            <w:vAlign w:val="center"/>
          </w:tcPr>
          <w:p>
            <w:pPr>
              <w:widowControl/>
              <w:snapToGrid w:val="0"/>
              <w:jc w:val="left"/>
              <w:textAlignment w:val="center"/>
              <w:rPr>
                <w:rFonts w:ascii="Times New Roman" w:hAnsi="Times New Roman" w:eastAsia="宋体" w:cs="Times New Roman"/>
                <w:color w:val="000000"/>
                <w:spacing w:val="6"/>
                <w:sz w:val="24"/>
              </w:rPr>
            </w:pPr>
            <w:r>
              <w:rPr>
                <w:rFonts w:hint="eastAsia" w:ascii="宋体" w:hAnsi="Times New Roman" w:eastAsia="宋体" w:cs="Times New Roman"/>
                <w:color w:val="000000"/>
                <w:spacing w:val="6"/>
                <w:kern w:val="0"/>
                <w:sz w:val="20"/>
                <w:szCs w:val="20"/>
              </w:rPr>
              <w:t>加强全州2216.450公里国省干线公路的养护管理工作，保证公路运输的安全，扩大和改善公路服务质量，提高公路的运输使用寿命，保证人民群众安全出行，提高国省干线营运状况，最终达到畅、安、舒的整体效果。</w:t>
            </w:r>
          </w:p>
        </w:tc>
      </w:tr>
      <w:tr>
        <w:tblPrEx>
          <w:tblCellMar>
            <w:top w:w="15" w:type="dxa"/>
            <w:left w:w="15" w:type="dxa"/>
            <w:bottom w:w="15" w:type="dxa"/>
            <w:right w:w="15" w:type="dxa"/>
          </w:tblCellMar>
        </w:tblPrEx>
        <w:trPr>
          <w:trHeight w:val="23" w:hRule="atLeast"/>
        </w:trPr>
        <w:tc>
          <w:tcPr>
            <w:tcW w:w="962" w:type="pct"/>
            <w:vMerge w:val="restar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ascii="Times New Roman" w:hAnsi="Times New Roman" w:eastAsia="宋体" w:cs="Times New Roman"/>
                <w:color w:val="000000"/>
                <w:spacing w:val="6"/>
                <w:kern w:val="0"/>
                <w:sz w:val="24"/>
              </w:rPr>
            </w:pPr>
            <w:r>
              <w:rPr>
                <w:rFonts w:ascii="Times New Roman" w:hAnsi="Times New Roman" w:eastAsia="宋体" w:cs="Times New Roman"/>
                <w:color w:val="000000"/>
                <w:spacing w:val="6"/>
                <w:kern w:val="0"/>
                <w:sz w:val="24"/>
              </w:rPr>
              <w:t>年度主要</w:t>
            </w:r>
          </w:p>
          <w:p>
            <w:pPr>
              <w:widowControl/>
              <w:snapToGrid w:val="0"/>
              <w:jc w:val="center"/>
              <w:textAlignment w:val="center"/>
              <w:rPr>
                <w:rFonts w:ascii="Times New Roman" w:hAnsi="Times New Roman" w:eastAsia="宋体" w:cs="Times New Roman"/>
                <w:color w:val="000000"/>
                <w:spacing w:val="6"/>
                <w:sz w:val="24"/>
              </w:rPr>
            </w:pPr>
            <w:r>
              <w:rPr>
                <w:rFonts w:hint="eastAsia" w:ascii="宋体" w:hAnsi="Times New Roman" w:eastAsia="宋体" w:cs="宋体"/>
                <w:color w:val="000000"/>
                <w:kern w:val="0"/>
                <w:sz w:val="20"/>
                <w:szCs w:val="20"/>
              </w:rPr>
              <w:t>任务</w:t>
            </w:r>
          </w:p>
        </w:tc>
        <w:tc>
          <w:tcPr>
            <w:tcW w:w="995" w:type="pct"/>
            <w:gridSpan w:val="2"/>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ascii="Times New Roman" w:hAnsi="Times New Roman" w:eastAsia="宋体" w:cs="Times New Roman"/>
                <w:color w:val="000000"/>
                <w:spacing w:val="6"/>
                <w:sz w:val="24"/>
              </w:rPr>
            </w:pPr>
            <w:r>
              <w:rPr>
                <w:rFonts w:ascii="Times New Roman" w:hAnsi="Times New Roman" w:eastAsia="宋体" w:cs="Times New Roman"/>
                <w:color w:val="000000"/>
                <w:spacing w:val="6"/>
                <w:kern w:val="0"/>
                <w:sz w:val="24"/>
              </w:rPr>
              <w:t>任务名称</w:t>
            </w:r>
          </w:p>
        </w:tc>
        <w:tc>
          <w:tcPr>
            <w:tcW w:w="3041" w:type="pct"/>
            <w:gridSpan w:val="6"/>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ascii="Times New Roman" w:hAnsi="Times New Roman" w:eastAsia="宋体" w:cs="Times New Roman"/>
                <w:color w:val="000000"/>
                <w:spacing w:val="6"/>
                <w:sz w:val="24"/>
              </w:rPr>
            </w:pPr>
            <w:r>
              <w:rPr>
                <w:rFonts w:ascii="Times New Roman" w:hAnsi="Times New Roman" w:eastAsia="宋体" w:cs="Times New Roman"/>
                <w:color w:val="000000"/>
                <w:spacing w:val="6"/>
                <w:kern w:val="0"/>
                <w:sz w:val="24"/>
              </w:rPr>
              <w:t>主要内容</w:t>
            </w:r>
          </w:p>
        </w:tc>
      </w:tr>
      <w:tr>
        <w:trPr>
          <w:trHeight w:val="23" w:hRule="atLeast"/>
        </w:trPr>
        <w:tc>
          <w:tcPr>
            <w:tcW w:w="962" w:type="pct"/>
            <w:vMerge w:val="continue"/>
            <w:tcBorders>
              <w:top w:val="single" w:color="000000" w:sz="4" w:space="0"/>
              <w:left w:val="single" w:color="000000" w:sz="4" w:space="0"/>
              <w:bottom w:val="single" w:color="000000" w:sz="4" w:space="0"/>
              <w:right w:val="single" w:color="000000" w:sz="4" w:space="0"/>
            </w:tcBorders>
            <w:noWrap/>
            <w:vAlign w:val="center"/>
          </w:tcPr>
          <w:p>
            <w:pPr>
              <w:rPr>
                <w:rFonts w:ascii="Times New Roman" w:hAnsi="Times New Roman" w:eastAsia="仿宋_GB2312" w:cs="Times New Roman"/>
                <w:sz w:val="32"/>
              </w:rPr>
            </w:pPr>
          </w:p>
        </w:tc>
        <w:tc>
          <w:tcPr>
            <w:tcW w:w="995" w:type="pct"/>
            <w:gridSpan w:val="2"/>
            <w:tcBorders>
              <w:top w:val="single" w:color="000000" w:sz="4" w:space="0"/>
              <w:left w:val="single" w:color="000000" w:sz="4" w:space="0"/>
              <w:bottom w:val="single" w:color="000000" w:sz="4" w:space="0"/>
              <w:right w:val="single" w:color="000000" w:sz="4" w:space="0"/>
            </w:tcBorders>
            <w:noWrap/>
            <w:vAlign w:val="center"/>
          </w:tcPr>
          <w:p>
            <w:pPr>
              <w:widowControl/>
              <w:snapToGrid w:val="0"/>
              <w:jc w:val="left"/>
              <w:textAlignment w:val="center"/>
              <w:rPr>
                <w:rFonts w:ascii="Times New Roman" w:hAnsi="Times New Roman" w:eastAsia="宋体" w:cs="Times New Roman"/>
                <w:color w:val="000000"/>
                <w:spacing w:val="6"/>
                <w:sz w:val="24"/>
              </w:rPr>
            </w:pPr>
            <w:r>
              <w:rPr>
                <w:rFonts w:hint="eastAsia" w:ascii="宋体" w:hAnsi="Times New Roman" w:eastAsia="宋体" w:cs="宋体"/>
                <w:color w:val="000000"/>
                <w:kern w:val="0"/>
                <w:sz w:val="20"/>
                <w:szCs w:val="20"/>
              </w:rPr>
              <w:t>工资福利支出</w:t>
            </w:r>
          </w:p>
        </w:tc>
        <w:tc>
          <w:tcPr>
            <w:tcW w:w="3041" w:type="pct"/>
            <w:gridSpan w:val="6"/>
            <w:tcBorders>
              <w:top w:val="single" w:color="000000" w:sz="4" w:space="0"/>
              <w:left w:val="single" w:color="000000" w:sz="4" w:space="0"/>
              <w:bottom w:val="single" w:color="000000" w:sz="4" w:space="0"/>
              <w:right w:val="single" w:color="000000" w:sz="4" w:space="0"/>
            </w:tcBorders>
            <w:noWrap/>
            <w:vAlign w:val="center"/>
          </w:tcPr>
          <w:p>
            <w:pPr>
              <w:widowControl/>
              <w:snapToGrid w:val="0"/>
              <w:jc w:val="left"/>
              <w:textAlignment w:val="center"/>
              <w:rPr>
                <w:rFonts w:ascii="Times New Roman" w:hAnsi="Times New Roman" w:eastAsia="宋体" w:cs="Times New Roman"/>
                <w:color w:val="000000"/>
                <w:spacing w:val="6"/>
                <w:sz w:val="24"/>
              </w:rPr>
            </w:pPr>
            <w:r>
              <w:rPr>
                <w:rFonts w:hint="eastAsia" w:ascii="宋体" w:hAnsi="Times New Roman" w:eastAsia="宋体" w:cs="宋体"/>
                <w:color w:val="000000"/>
                <w:kern w:val="0"/>
                <w:sz w:val="20"/>
                <w:szCs w:val="20"/>
              </w:rPr>
              <w:t>工资、津补贴、各项社会保障费</w:t>
            </w:r>
          </w:p>
        </w:tc>
      </w:tr>
      <w:tr>
        <w:tblPrEx>
          <w:tblCellMar>
            <w:top w:w="15" w:type="dxa"/>
            <w:left w:w="15" w:type="dxa"/>
            <w:bottom w:w="15" w:type="dxa"/>
            <w:right w:w="15" w:type="dxa"/>
          </w:tblCellMar>
        </w:tblPrEx>
        <w:trPr>
          <w:trHeight w:val="23" w:hRule="atLeast"/>
        </w:trPr>
        <w:tc>
          <w:tcPr>
            <w:tcW w:w="962" w:type="pct"/>
            <w:vMerge w:val="continue"/>
            <w:tcBorders>
              <w:top w:val="single" w:color="000000" w:sz="4" w:space="0"/>
              <w:left w:val="single" w:color="000000" w:sz="4" w:space="0"/>
              <w:bottom w:val="single" w:color="000000" w:sz="4" w:space="0"/>
              <w:right w:val="single" w:color="000000" w:sz="4" w:space="0"/>
            </w:tcBorders>
            <w:noWrap/>
            <w:vAlign w:val="center"/>
          </w:tcPr>
          <w:p>
            <w:pPr>
              <w:rPr>
                <w:rFonts w:ascii="Times New Roman" w:hAnsi="Times New Roman" w:eastAsia="仿宋_GB2312" w:cs="Times New Roman"/>
                <w:sz w:val="32"/>
              </w:rPr>
            </w:pPr>
          </w:p>
        </w:tc>
        <w:tc>
          <w:tcPr>
            <w:tcW w:w="995" w:type="pct"/>
            <w:gridSpan w:val="2"/>
            <w:tcBorders>
              <w:top w:val="single" w:color="000000" w:sz="4" w:space="0"/>
              <w:left w:val="single" w:color="000000" w:sz="4" w:space="0"/>
              <w:bottom w:val="single" w:color="000000" w:sz="4" w:space="0"/>
              <w:right w:val="single" w:color="000000" w:sz="4" w:space="0"/>
            </w:tcBorders>
            <w:noWrap/>
            <w:vAlign w:val="center"/>
          </w:tcPr>
          <w:p>
            <w:pPr>
              <w:widowControl/>
              <w:snapToGrid w:val="0"/>
              <w:jc w:val="left"/>
              <w:textAlignment w:val="center"/>
              <w:rPr>
                <w:rFonts w:ascii="Times New Roman" w:hAnsi="Times New Roman" w:eastAsia="宋体" w:cs="Times New Roman"/>
                <w:color w:val="000000"/>
                <w:spacing w:val="6"/>
                <w:sz w:val="24"/>
              </w:rPr>
            </w:pPr>
            <w:r>
              <w:rPr>
                <w:rFonts w:hint="eastAsia" w:ascii="宋体" w:hAnsi="Times New Roman" w:eastAsia="宋体" w:cs="宋体"/>
                <w:color w:val="000000"/>
                <w:kern w:val="0"/>
                <w:sz w:val="20"/>
                <w:szCs w:val="20"/>
              </w:rPr>
              <w:t>商品服务和支出</w:t>
            </w:r>
          </w:p>
        </w:tc>
        <w:tc>
          <w:tcPr>
            <w:tcW w:w="3041" w:type="pct"/>
            <w:gridSpan w:val="6"/>
            <w:tcBorders>
              <w:top w:val="single" w:color="000000" w:sz="4" w:space="0"/>
              <w:left w:val="single" w:color="000000" w:sz="4" w:space="0"/>
              <w:bottom w:val="single" w:color="000000" w:sz="4" w:space="0"/>
              <w:right w:val="single" w:color="000000" w:sz="4" w:space="0"/>
            </w:tcBorders>
            <w:noWrap/>
            <w:vAlign w:val="center"/>
          </w:tcPr>
          <w:p>
            <w:pPr>
              <w:widowControl/>
              <w:snapToGrid w:val="0"/>
              <w:jc w:val="left"/>
              <w:textAlignment w:val="center"/>
              <w:rPr>
                <w:rFonts w:ascii="Times New Roman" w:hAnsi="Times New Roman" w:eastAsia="宋体" w:cs="Times New Roman"/>
                <w:color w:val="000000"/>
                <w:spacing w:val="6"/>
                <w:sz w:val="24"/>
              </w:rPr>
            </w:pPr>
            <w:r>
              <w:rPr>
                <w:rFonts w:hint="eastAsia" w:ascii="宋体" w:hAnsi="Times New Roman" w:eastAsia="宋体" w:cs="宋体"/>
                <w:color w:val="000000"/>
                <w:kern w:val="0"/>
                <w:sz w:val="20"/>
                <w:szCs w:val="20"/>
              </w:rPr>
              <w:t>办公费、邮电费、取暖费、物业管理费、差旅费、维修（护）费、培训费、公务接待费、工会经费、福利费、体检费、公务用车及运行维修费、党组织活动经费、其他商品服务和支出</w:t>
            </w:r>
          </w:p>
        </w:tc>
      </w:tr>
      <w:tr>
        <w:tblPrEx>
          <w:tblCellMar>
            <w:top w:w="15" w:type="dxa"/>
            <w:left w:w="15" w:type="dxa"/>
            <w:bottom w:w="15" w:type="dxa"/>
            <w:right w:w="15" w:type="dxa"/>
          </w:tblCellMar>
        </w:tblPrEx>
        <w:trPr>
          <w:trHeight w:val="23" w:hRule="atLeast"/>
        </w:trPr>
        <w:tc>
          <w:tcPr>
            <w:tcW w:w="962" w:type="pct"/>
            <w:vMerge w:val="continue"/>
            <w:tcBorders>
              <w:top w:val="single" w:color="000000" w:sz="4" w:space="0"/>
              <w:left w:val="single" w:color="000000" w:sz="4" w:space="0"/>
              <w:bottom w:val="single" w:color="000000" w:sz="4" w:space="0"/>
              <w:right w:val="single" w:color="000000" w:sz="4" w:space="0"/>
            </w:tcBorders>
            <w:noWrap/>
            <w:vAlign w:val="center"/>
          </w:tcPr>
          <w:p>
            <w:pPr>
              <w:rPr>
                <w:rFonts w:ascii="Times New Roman" w:hAnsi="Times New Roman" w:eastAsia="仿宋_GB2312" w:cs="Times New Roman"/>
                <w:sz w:val="32"/>
              </w:rPr>
            </w:pPr>
          </w:p>
        </w:tc>
        <w:tc>
          <w:tcPr>
            <w:tcW w:w="995" w:type="pct"/>
            <w:gridSpan w:val="2"/>
            <w:tcBorders>
              <w:top w:val="single" w:color="000000" w:sz="4" w:space="0"/>
              <w:left w:val="single" w:color="000000" w:sz="4" w:space="0"/>
              <w:bottom w:val="single" w:color="000000" w:sz="4" w:space="0"/>
              <w:right w:val="single" w:color="000000" w:sz="4" w:space="0"/>
            </w:tcBorders>
            <w:noWrap/>
            <w:vAlign w:val="center"/>
          </w:tcPr>
          <w:p>
            <w:pPr>
              <w:widowControl/>
              <w:snapToGrid w:val="0"/>
              <w:jc w:val="left"/>
              <w:textAlignment w:val="center"/>
              <w:rPr>
                <w:rFonts w:ascii="Times New Roman" w:hAnsi="Times New Roman" w:eastAsia="宋体" w:cs="Times New Roman"/>
                <w:color w:val="000000"/>
                <w:spacing w:val="6"/>
                <w:sz w:val="24"/>
              </w:rPr>
            </w:pPr>
            <w:r>
              <w:rPr>
                <w:rFonts w:hint="eastAsia" w:ascii="宋体" w:hAnsi="Times New Roman" w:eastAsia="宋体" w:cs="宋体"/>
                <w:color w:val="000000"/>
                <w:kern w:val="0"/>
                <w:sz w:val="20"/>
                <w:szCs w:val="20"/>
              </w:rPr>
              <w:t>对个人和家庭的补助</w:t>
            </w:r>
          </w:p>
        </w:tc>
        <w:tc>
          <w:tcPr>
            <w:tcW w:w="3041" w:type="pct"/>
            <w:gridSpan w:val="6"/>
            <w:tcBorders>
              <w:top w:val="single" w:color="000000" w:sz="4" w:space="0"/>
              <w:left w:val="single" w:color="000000" w:sz="4" w:space="0"/>
              <w:bottom w:val="single" w:color="000000" w:sz="4" w:space="0"/>
              <w:right w:val="single" w:color="000000" w:sz="4" w:space="0"/>
            </w:tcBorders>
            <w:noWrap/>
            <w:vAlign w:val="center"/>
          </w:tcPr>
          <w:p>
            <w:pPr>
              <w:widowControl/>
              <w:snapToGrid w:val="0"/>
              <w:jc w:val="left"/>
              <w:textAlignment w:val="center"/>
              <w:rPr>
                <w:rFonts w:ascii="Times New Roman" w:hAnsi="Times New Roman" w:eastAsia="宋体" w:cs="Times New Roman"/>
                <w:color w:val="000000"/>
                <w:spacing w:val="6"/>
                <w:sz w:val="24"/>
              </w:rPr>
            </w:pPr>
            <w:r>
              <w:rPr>
                <w:rFonts w:hint="eastAsia" w:ascii="宋体" w:hAnsi="Times New Roman" w:eastAsia="宋体" w:cs="宋体"/>
                <w:color w:val="000000"/>
                <w:kern w:val="0"/>
                <w:sz w:val="20"/>
                <w:szCs w:val="20"/>
              </w:rPr>
              <w:t>离休金、离休人员管理费、退休人员管理费、退休人员建房费、遗属生活补助</w:t>
            </w:r>
          </w:p>
        </w:tc>
      </w:tr>
      <w:tr>
        <w:tblPrEx>
          <w:tblCellMar>
            <w:top w:w="15" w:type="dxa"/>
            <w:left w:w="15" w:type="dxa"/>
            <w:bottom w:w="15" w:type="dxa"/>
            <w:right w:w="15" w:type="dxa"/>
          </w:tblCellMar>
        </w:tblPrEx>
        <w:trPr>
          <w:trHeight w:val="23" w:hRule="atLeast"/>
        </w:trPr>
        <w:tc>
          <w:tcPr>
            <w:tcW w:w="962" w:type="pct"/>
            <w:vMerge w:val="continue"/>
            <w:tcBorders>
              <w:top w:val="single" w:color="000000" w:sz="4" w:space="0"/>
              <w:left w:val="single" w:color="000000" w:sz="4" w:space="0"/>
              <w:bottom w:val="single" w:color="000000" w:sz="4" w:space="0"/>
              <w:right w:val="single" w:color="000000" w:sz="4" w:space="0"/>
            </w:tcBorders>
            <w:noWrap/>
            <w:vAlign w:val="center"/>
          </w:tcPr>
          <w:p>
            <w:pPr>
              <w:rPr>
                <w:rFonts w:ascii="Times New Roman" w:hAnsi="Times New Roman" w:eastAsia="仿宋_GB2312" w:cs="Times New Roman"/>
                <w:sz w:val="32"/>
              </w:rPr>
            </w:pPr>
          </w:p>
        </w:tc>
        <w:tc>
          <w:tcPr>
            <w:tcW w:w="995" w:type="pct"/>
            <w:gridSpan w:val="2"/>
            <w:tcBorders>
              <w:top w:val="single" w:color="000000" w:sz="4" w:space="0"/>
              <w:left w:val="single" w:color="000000" w:sz="4" w:space="0"/>
              <w:bottom w:val="single" w:color="000000" w:sz="4" w:space="0"/>
              <w:right w:val="single" w:color="000000" w:sz="4" w:space="0"/>
            </w:tcBorders>
            <w:noWrap/>
            <w:vAlign w:val="center"/>
          </w:tcPr>
          <w:p>
            <w:pPr>
              <w:widowControl/>
              <w:snapToGrid w:val="0"/>
              <w:jc w:val="left"/>
              <w:textAlignment w:val="center"/>
              <w:rPr>
                <w:rFonts w:ascii="Times New Roman" w:hAnsi="Times New Roman" w:eastAsia="宋体" w:cs="Times New Roman"/>
                <w:color w:val="000000"/>
                <w:spacing w:val="6"/>
                <w:sz w:val="24"/>
              </w:rPr>
            </w:pPr>
            <w:r>
              <w:rPr>
                <w:rFonts w:hint="eastAsia" w:ascii="宋体" w:hAnsi="Times New Roman" w:eastAsia="宋体" w:cs="宋体"/>
                <w:color w:val="000000"/>
                <w:kern w:val="0"/>
                <w:sz w:val="20"/>
                <w:szCs w:val="20"/>
              </w:rPr>
              <w:t>部门预算项目支出</w:t>
            </w:r>
          </w:p>
        </w:tc>
        <w:tc>
          <w:tcPr>
            <w:tcW w:w="3041" w:type="pct"/>
            <w:gridSpan w:val="6"/>
            <w:tcBorders>
              <w:top w:val="single" w:color="000000" w:sz="4" w:space="0"/>
              <w:left w:val="single" w:color="000000" w:sz="4" w:space="0"/>
              <w:bottom w:val="single" w:color="000000" w:sz="4" w:space="0"/>
              <w:right w:val="single" w:color="000000" w:sz="4" w:space="0"/>
            </w:tcBorders>
            <w:noWrap/>
            <w:vAlign w:val="center"/>
          </w:tcPr>
          <w:p>
            <w:pPr>
              <w:widowControl/>
              <w:snapToGrid w:val="0"/>
              <w:jc w:val="left"/>
              <w:textAlignment w:val="center"/>
              <w:rPr>
                <w:rFonts w:ascii="Times New Roman" w:hAnsi="Times New Roman" w:eastAsia="宋体" w:cs="Times New Roman"/>
                <w:color w:val="000000"/>
                <w:spacing w:val="6"/>
                <w:sz w:val="24"/>
              </w:rPr>
            </w:pPr>
            <w:r>
              <w:rPr>
                <w:rFonts w:hint="eastAsia" w:ascii="宋体" w:hAnsi="Times New Roman" w:eastAsia="宋体" w:cs="宋体"/>
                <w:color w:val="000000"/>
                <w:kern w:val="0"/>
                <w:sz w:val="20"/>
                <w:szCs w:val="20"/>
              </w:rPr>
              <w:t>公路水毁应急抢险保通及恢复、办公用品购置、隧道管理处经费、局机关及养护站维修维护、国省干线交通量观测站、养护机械运行维护、离退休人员慰问等</w:t>
            </w:r>
          </w:p>
        </w:tc>
      </w:tr>
      <w:tr>
        <w:tblPrEx>
          <w:tblCellMar>
            <w:top w:w="15" w:type="dxa"/>
            <w:left w:w="15" w:type="dxa"/>
            <w:bottom w:w="15" w:type="dxa"/>
            <w:right w:w="15" w:type="dxa"/>
          </w:tblCellMar>
        </w:tblPrEx>
        <w:trPr>
          <w:trHeight w:val="471" w:hRule="atLeast"/>
        </w:trPr>
        <w:tc>
          <w:tcPr>
            <w:tcW w:w="962" w:type="pct"/>
            <w:vMerge w:val="restar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ascii="Times New Roman" w:hAnsi="Times New Roman" w:eastAsia="宋体" w:cs="Times New Roman"/>
                <w:color w:val="000000"/>
                <w:spacing w:val="6"/>
                <w:kern w:val="0"/>
                <w:sz w:val="24"/>
              </w:rPr>
            </w:pPr>
            <w:r>
              <w:rPr>
                <w:rFonts w:ascii="Times New Roman" w:hAnsi="Times New Roman" w:eastAsia="宋体" w:cs="Times New Roman"/>
                <w:color w:val="000000"/>
                <w:spacing w:val="6"/>
                <w:kern w:val="0"/>
                <w:sz w:val="24"/>
              </w:rPr>
              <w:t>年度绩效</w:t>
            </w:r>
          </w:p>
          <w:p>
            <w:pPr>
              <w:widowControl/>
              <w:snapToGrid w:val="0"/>
              <w:jc w:val="center"/>
              <w:textAlignment w:val="center"/>
              <w:rPr>
                <w:rFonts w:ascii="Times New Roman" w:hAnsi="Times New Roman" w:eastAsia="宋体" w:cs="Times New Roman"/>
                <w:color w:val="000000"/>
                <w:spacing w:val="6"/>
                <w:sz w:val="24"/>
              </w:rPr>
            </w:pPr>
            <w:r>
              <w:rPr>
                <w:rFonts w:hint="eastAsia" w:ascii="宋体" w:hAnsi="Times New Roman" w:eastAsia="宋体" w:cs="宋体"/>
                <w:color w:val="000000"/>
                <w:kern w:val="0"/>
                <w:sz w:val="20"/>
                <w:szCs w:val="20"/>
              </w:rPr>
              <w:t>指标</w:t>
            </w:r>
          </w:p>
        </w:tc>
        <w:tc>
          <w:tcPr>
            <w:tcW w:w="511"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一级指标</w:t>
            </w:r>
          </w:p>
        </w:tc>
        <w:tc>
          <w:tcPr>
            <w:tcW w:w="484"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二级指标</w:t>
            </w:r>
          </w:p>
        </w:tc>
        <w:tc>
          <w:tcPr>
            <w:tcW w:w="417"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三级指标</w:t>
            </w:r>
          </w:p>
        </w:tc>
        <w:tc>
          <w:tcPr>
            <w:tcW w:w="434"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绩效指标</w:t>
            </w:r>
          </w:p>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性质</w:t>
            </w:r>
          </w:p>
        </w:tc>
        <w:tc>
          <w:tcPr>
            <w:tcW w:w="970"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绩效指标值</w:t>
            </w:r>
          </w:p>
        </w:tc>
        <w:tc>
          <w:tcPr>
            <w:tcW w:w="319"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绩效度量单位</w:t>
            </w:r>
          </w:p>
        </w:tc>
        <w:tc>
          <w:tcPr>
            <w:tcW w:w="267" w:type="pct"/>
            <w:tcBorders>
              <w:top w:val="single" w:color="000000" w:sz="4" w:space="0"/>
              <w:left w:val="single" w:color="000000" w:sz="4" w:space="0"/>
              <w:bottom w:val="single" w:color="000000" w:sz="4" w:space="0"/>
              <w:right w:val="nil"/>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权重</w:t>
            </w:r>
          </w:p>
        </w:tc>
        <w:tc>
          <w:tcPr>
            <w:tcW w:w="632"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实际完成</w:t>
            </w:r>
          </w:p>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指标值</w:t>
            </w:r>
          </w:p>
        </w:tc>
      </w:tr>
      <w:tr>
        <w:tblPrEx>
          <w:tblCellMar>
            <w:top w:w="15" w:type="dxa"/>
            <w:left w:w="15" w:type="dxa"/>
            <w:bottom w:w="15" w:type="dxa"/>
            <w:right w:w="15" w:type="dxa"/>
          </w:tblCellMar>
        </w:tblPrEx>
        <w:trPr>
          <w:trHeight w:val="23" w:hRule="atLeast"/>
        </w:trPr>
        <w:tc>
          <w:tcPr>
            <w:tcW w:w="962" w:type="pct"/>
            <w:vMerge w:val="continue"/>
            <w:tcBorders>
              <w:top w:val="single" w:color="000000" w:sz="4" w:space="0"/>
              <w:left w:val="single" w:color="000000" w:sz="4" w:space="0"/>
              <w:bottom w:val="single" w:color="000000" w:sz="4" w:space="0"/>
              <w:right w:val="single" w:color="000000" w:sz="4" w:space="0"/>
            </w:tcBorders>
            <w:noWrap/>
            <w:vAlign w:val="center"/>
          </w:tcPr>
          <w:p>
            <w:pPr>
              <w:rPr>
                <w:rFonts w:ascii="Times New Roman" w:hAnsi="Times New Roman" w:eastAsia="仿宋_GB2312" w:cs="Times New Roman"/>
                <w:sz w:val="32"/>
              </w:rPr>
            </w:pPr>
          </w:p>
        </w:tc>
        <w:tc>
          <w:tcPr>
            <w:tcW w:w="511" w:type="pct"/>
            <w:vMerge w:val="restart"/>
            <w:tcBorders>
              <w:top w:val="single" w:color="000000" w:sz="4" w:space="0"/>
              <w:left w:val="single" w:color="000000" w:sz="4" w:space="0"/>
              <w:bottom w:val="nil"/>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产出指标</w:t>
            </w:r>
          </w:p>
        </w:tc>
        <w:tc>
          <w:tcPr>
            <w:tcW w:w="484"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数量指标</w:t>
            </w:r>
          </w:p>
        </w:tc>
        <w:tc>
          <w:tcPr>
            <w:tcW w:w="417"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全州公路管理养护</w:t>
            </w:r>
          </w:p>
        </w:tc>
        <w:tc>
          <w:tcPr>
            <w:tcW w:w="434"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定性</w:t>
            </w:r>
          </w:p>
        </w:tc>
        <w:tc>
          <w:tcPr>
            <w:tcW w:w="970"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18个单位，共计</w:t>
            </w:r>
            <w:r>
              <w:rPr>
                <w:rFonts w:hint="eastAsia" w:ascii="宋体" w:hAnsi="Times New Roman" w:eastAsia="宋体" w:cs="Times New Roman"/>
                <w:color w:val="000000"/>
                <w:spacing w:val="6"/>
                <w:kern w:val="0"/>
                <w:sz w:val="20"/>
                <w:szCs w:val="20"/>
              </w:rPr>
              <w:t>2216.450</w:t>
            </w:r>
            <w:r>
              <w:rPr>
                <w:rFonts w:hint="eastAsia" w:ascii="宋体" w:hAnsi="Times New Roman" w:eastAsia="宋体" w:cs="宋体"/>
                <w:color w:val="000000"/>
                <w:kern w:val="0"/>
                <w:sz w:val="20"/>
                <w:szCs w:val="20"/>
              </w:rPr>
              <w:t>公里</w:t>
            </w:r>
          </w:p>
        </w:tc>
        <w:tc>
          <w:tcPr>
            <w:tcW w:w="319"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w:t>
            </w:r>
          </w:p>
        </w:tc>
        <w:tc>
          <w:tcPr>
            <w:tcW w:w="267"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20</w:t>
            </w:r>
          </w:p>
        </w:tc>
        <w:tc>
          <w:tcPr>
            <w:tcW w:w="632" w:type="pct"/>
            <w:tcBorders>
              <w:top w:val="nil"/>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达成预期指标</w:t>
            </w:r>
          </w:p>
        </w:tc>
      </w:tr>
      <w:tr>
        <w:tblPrEx>
          <w:tblCellMar>
            <w:top w:w="15" w:type="dxa"/>
            <w:left w:w="15" w:type="dxa"/>
            <w:bottom w:w="15" w:type="dxa"/>
            <w:right w:w="15" w:type="dxa"/>
          </w:tblCellMar>
        </w:tblPrEx>
        <w:trPr>
          <w:trHeight w:val="23" w:hRule="atLeast"/>
        </w:trPr>
        <w:tc>
          <w:tcPr>
            <w:tcW w:w="962" w:type="pct"/>
            <w:vMerge w:val="continue"/>
            <w:tcBorders>
              <w:top w:val="single" w:color="000000" w:sz="4" w:space="0"/>
              <w:left w:val="single" w:color="000000" w:sz="4" w:space="0"/>
              <w:bottom w:val="single" w:color="000000" w:sz="4" w:space="0"/>
              <w:right w:val="single" w:color="000000" w:sz="4" w:space="0"/>
            </w:tcBorders>
            <w:noWrap/>
            <w:vAlign w:val="center"/>
          </w:tcPr>
          <w:p>
            <w:pPr>
              <w:rPr>
                <w:rFonts w:ascii="Times New Roman" w:hAnsi="Times New Roman" w:eastAsia="仿宋_GB2312" w:cs="Times New Roman"/>
                <w:sz w:val="32"/>
              </w:rPr>
            </w:pPr>
          </w:p>
        </w:tc>
        <w:tc>
          <w:tcPr>
            <w:tcW w:w="511" w:type="pct"/>
            <w:vMerge w:val="continue"/>
            <w:tcBorders>
              <w:top w:val="nil"/>
              <w:left w:val="single" w:color="000000" w:sz="4" w:space="0"/>
              <w:bottom w:val="nil"/>
              <w:right w:val="single" w:color="000000" w:sz="4" w:space="0"/>
            </w:tcBorders>
            <w:noWrap/>
            <w:vAlign w:val="center"/>
          </w:tcPr>
          <w:p>
            <w:pPr>
              <w:rPr>
                <w:rFonts w:ascii="Times New Roman" w:hAnsi="Times New Roman" w:eastAsia="仿宋_GB2312" w:cs="Times New Roman"/>
                <w:sz w:val="32"/>
              </w:rPr>
            </w:pPr>
          </w:p>
        </w:tc>
        <w:tc>
          <w:tcPr>
            <w:tcW w:w="484"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质量指标</w:t>
            </w:r>
          </w:p>
        </w:tc>
        <w:tc>
          <w:tcPr>
            <w:tcW w:w="417"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提升道路通行能力，延长公路大中修周期，节约公路维修成本，保证路面完整率</w:t>
            </w:r>
          </w:p>
        </w:tc>
        <w:tc>
          <w:tcPr>
            <w:tcW w:w="434"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定性</w:t>
            </w:r>
          </w:p>
        </w:tc>
        <w:tc>
          <w:tcPr>
            <w:tcW w:w="970"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保持路面整洁，行车舒适，排水畅通，沿线设施完善，绿化协调美观，力争构建畅、洁、绿交通环境</w:t>
            </w:r>
          </w:p>
        </w:tc>
        <w:tc>
          <w:tcPr>
            <w:tcW w:w="319"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w:t>
            </w:r>
          </w:p>
        </w:tc>
        <w:tc>
          <w:tcPr>
            <w:tcW w:w="267"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10</w:t>
            </w:r>
          </w:p>
        </w:tc>
        <w:tc>
          <w:tcPr>
            <w:tcW w:w="632"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达成预期指标</w:t>
            </w:r>
          </w:p>
        </w:tc>
      </w:tr>
      <w:tr>
        <w:tblPrEx>
          <w:tblCellMar>
            <w:top w:w="15" w:type="dxa"/>
            <w:left w:w="15" w:type="dxa"/>
            <w:bottom w:w="15" w:type="dxa"/>
            <w:right w:w="15" w:type="dxa"/>
          </w:tblCellMar>
        </w:tblPrEx>
        <w:trPr>
          <w:trHeight w:val="23" w:hRule="atLeast"/>
        </w:trPr>
        <w:tc>
          <w:tcPr>
            <w:tcW w:w="962" w:type="pct"/>
            <w:vMerge w:val="continue"/>
            <w:tcBorders>
              <w:top w:val="single" w:color="000000" w:sz="4" w:space="0"/>
              <w:left w:val="single" w:color="000000" w:sz="4" w:space="0"/>
              <w:bottom w:val="single" w:color="000000" w:sz="4" w:space="0"/>
              <w:right w:val="single" w:color="000000" w:sz="4" w:space="0"/>
            </w:tcBorders>
            <w:noWrap/>
            <w:vAlign w:val="center"/>
          </w:tcPr>
          <w:p>
            <w:pPr>
              <w:rPr>
                <w:rFonts w:ascii="Times New Roman" w:hAnsi="Times New Roman" w:eastAsia="仿宋_GB2312" w:cs="Times New Roman"/>
                <w:sz w:val="32"/>
              </w:rPr>
            </w:pPr>
          </w:p>
        </w:tc>
        <w:tc>
          <w:tcPr>
            <w:tcW w:w="511" w:type="pct"/>
            <w:vMerge w:val="continue"/>
            <w:tcBorders>
              <w:top w:val="nil"/>
              <w:left w:val="single" w:color="000000" w:sz="4" w:space="0"/>
              <w:bottom w:val="nil"/>
              <w:right w:val="single" w:color="000000" w:sz="4" w:space="0"/>
            </w:tcBorders>
            <w:noWrap/>
            <w:vAlign w:val="center"/>
          </w:tcPr>
          <w:p>
            <w:pPr>
              <w:rPr>
                <w:rFonts w:ascii="Times New Roman" w:hAnsi="Times New Roman" w:eastAsia="仿宋_GB2312" w:cs="Times New Roman"/>
                <w:sz w:val="32"/>
              </w:rPr>
            </w:pPr>
          </w:p>
        </w:tc>
        <w:tc>
          <w:tcPr>
            <w:tcW w:w="484"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时效指标</w:t>
            </w:r>
          </w:p>
        </w:tc>
        <w:tc>
          <w:tcPr>
            <w:tcW w:w="417"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完成时间</w:t>
            </w:r>
          </w:p>
        </w:tc>
        <w:tc>
          <w:tcPr>
            <w:tcW w:w="434"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定性</w:t>
            </w:r>
          </w:p>
        </w:tc>
        <w:tc>
          <w:tcPr>
            <w:tcW w:w="970"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2024年全年进行管理养护</w:t>
            </w:r>
          </w:p>
        </w:tc>
        <w:tc>
          <w:tcPr>
            <w:tcW w:w="319"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w:t>
            </w:r>
          </w:p>
        </w:tc>
        <w:tc>
          <w:tcPr>
            <w:tcW w:w="267"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10</w:t>
            </w:r>
          </w:p>
        </w:tc>
        <w:tc>
          <w:tcPr>
            <w:tcW w:w="632"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达成预期指标</w:t>
            </w:r>
          </w:p>
        </w:tc>
      </w:tr>
      <w:tr>
        <w:tblPrEx>
          <w:tblCellMar>
            <w:top w:w="15" w:type="dxa"/>
            <w:left w:w="15" w:type="dxa"/>
            <w:bottom w:w="15" w:type="dxa"/>
            <w:right w:w="15" w:type="dxa"/>
          </w:tblCellMar>
        </w:tblPrEx>
        <w:trPr>
          <w:trHeight w:val="23" w:hRule="atLeast"/>
        </w:trPr>
        <w:tc>
          <w:tcPr>
            <w:tcW w:w="962" w:type="pct"/>
            <w:vMerge w:val="continue"/>
            <w:tcBorders>
              <w:top w:val="single" w:color="000000" w:sz="4" w:space="0"/>
              <w:left w:val="single" w:color="000000" w:sz="4" w:space="0"/>
              <w:bottom w:val="single" w:color="000000" w:sz="4" w:space="0"/>
              <w:right w:val="single" w:color="000000" w:sz="4" w:space="0"/>
            </w:tcBorders>
            <w:noWrap/>
            <w:vAlign w:val="center"/>
          </w:tcPr>
          <w:p>
            <w:pPr>
              <w:rPr>
                <w:rFonts w:ascii="Times New Roman" w:hAnsi="Times New Roman" w:eastAsia="仿宋_GB2312" w:cs="Times New Roman"/>
                <w:sz w:val="32"/>
              </w:rPr>
            </w:pPr>
          </w:p>
        </w:tc>
        <w:tc>
          <w:tcPr>
            <w:tcW w:w="511" w:type="pct"/>
            <w:vMerge w:val="continue"/>
            <w:tcBorders>
              <w:top w:val="nil"/>
              <w:left w:val="single" w:color="000000" w:sz="4" w:space="0"/>
              <w:bottom w:val="nil"/>
              <w:right w:val="single" w:color="000000" w:sz="4" w:space="0"/>
            </w:tcBorders>
            <w:noWrap/>
            <w:vAlign w:val="center"/>
          </w:tcPr>
          <w:p>
            <w:pPr>
              <w:rPr>
                <w:rFonts w:ascii="Times New Roman" w:hAnsi="Times New Roman" w:eastAsia="仿宋_GB2312" w:cs="Times New Roman"/>
                <w:sz w:val="32"/>
              </w:rPr>
            </w:pPr>
          </w:p>
        </w:tc>
        <w:tc>
          <w:tcPr>
            <w:tcW w:w="484" w:type="pct"/>
            <w:vMerge w:val="restart"/>
            <w:tcBorders>
              <w:top w:val="single" w:color="000000" w:sz="4" w:space="0"/>
              <w:left w:val="single" w:color="000000" w:sz="4" w:space="0"/>
              <w:bottom w:val="nil"/>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成本指标</w:t>
            </w:r>
          </w:p>
        </w:tc>
        <w:tc>
          <w:tcPr>
            <w:tcW w:w="417"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基本支出</w:t>
            </w:r>
          </w:p>
        </w:tc>
        <w:tc>
          <w:tcPr>
            <w:tcW w:w="434"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定性</w:t>
            </w:r>
          </w:p>
        </w:tc>
        <w:tc>
          <w:tcPr>
            <w:tcW w:w="970"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资金44596.38万元，保证人员各项经费和运行</w:t>
            </w:r>
          </w:p>
        </w:tc>
        <w:tc>
          <w:tcPr>
            <w:tcW w:w="319"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w:t>
            </w:r>
          </w:p>
        </w:tc>
        <w:tc>
          <w:tcPr>
            <w:tcW w:w="267"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5</w:t>
            </w:r>
          </w:p>
        </w:tc>
        <w:tc>
          <w:tcPr>
            <w:tcW w:w="632"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达成预期指标</w:t>
            </w:r>
          </w:p>
        </w:tc>
      </w:tr>
      <w:tr>
        <w:tblPrEx>
          <w:tblCellMar>
            <w:top w:w="15" w:type="dxa"/>
            <w:left w:w="15" w:type="dxa"/>
            <w:bottom w:w="15" w:type="dxa"/>
            <w:right w:w="15" w:type="dxa"/>
          </w:tblCellMar>
        </w:tblPrEx>
        <w:trPr>
          <w:trHeight w:val="831" w:hRule="atLeast"/>
        </w:trPr>
        <w:tc>
          <w:tcPr>
            <w:tcW w:w="962" w:type="pct"/>
            <w:vMerge w:val="continue"/>
            <w:tcBorders>
              <w:top w:val="single" w:color="000000" w:sz="4" w:space="0"/>
              <w:left w:val="single" w:color="000000" w:sz="4" w:space="0"/>
              <w:bottom w:val="single" w:color="000000" w:sz="4" w:space="0"/>
              <w:right w:val="single" w:color="000000" w:sz="4" w:space="0"/>
            </w:tcBorders>
            <w:noWrap/>
            <w:vAlign w:val="center"/>
          </w:tcPr>
          <w:p>
            <w:pPr>
              <w:rPr>
                <w:rFonts w:ascii="Times New Roman" w:hAnsi="Times New Roman" w:eastAsia="仿宋_GB2312" w:cs="Times New Roman"/>
                <w:sz w:val="32"/>
              </w:rPr>
            </w:pPr>
          </w:p>
        </w:tc>
        <w:tc>
          <w:tcPr>
            <w:tcW w:w="511" w:type="pct"/>
            <w:vMerge w:val="continue"/>
            <w:tcBorders>
              <w:top w:val="nil"/>
              <w:left w:val="single" w:color="000000" w:sz="4" w:space="0"/>
              <w:bottom w:val="single" w:color="000000" w:sz="4" w:space="0"/>
              <w:right w:val="single" w:color="000000" w:sz="4" w:space="0"/>
            </w:tcBorders>
            <w:noWrap/>
            <w:vAlign w:val="center"/>
          </w:tcPr>
          <w:p>
            <w:pPr>
              <w:rPr>
                <w:rFonts w:ascii="Times New Roman" w:hAnsi="Times New Roman" w:eastAsia="仿宋_GB2312" w:cs="Times New Roman"/>
                <w:sz w:val="32"/>
              </w:rPr>
            </w:pPr>
          </w:p>
        </w:tc>
        <w:tc>
          <w:tcPr>
            <w:tcW w:w="484" w:type="pct"/>
            <w:vMerge w:val="continue"/>
            <w:tcBorders>
              <w:top w:val="nil"/>
              <w:left w:val="single" w:color="000000" w:sz="4" w:space="0"/>
              <w:bottom w:val="single" w:color="000000" w:sz="4" w:space="0"/>
              <w:right w:val="single" w:color="000000" w:sz="4" w:space="0"/>
            </w:tcBorders>
            <w:noWrap/>
            <w:vAlign w:val="center"/>
          </w:tcPr>
          <w:p>
            <w:pPr>
              <w:rPr>
                <w:rFonts w:ascii="Times New Roman" w:hAnsi="Times New Roman" w:eastAsia="仿宋_GB2312" w:cs="Times New Roman"/>
                <w:sz w:val="32"/>
              </w:rPr>
            </w:pPr>
          </w:p>
        </w:tc>
        <w:tc>
          <w:tcPr>
            <w:tcW w:w="417"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项目支出</w:t>
            </w:r>
          </w:p>
        </w:tc>
        <w:tc>
          <w:tcPr>
            <w:tcW w:w="434"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定性</w:t>
            </w:r>
          </w:p>
        </w:tc>
        <w:tc>
          <w:tcPr>
            <w:tcW w:w="970"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60个项目49883.81万元</w:t>
            </w:r>
          </w:p>
        </w:tc>
        <w:tc>
          <w:tcPr>
            <w:tcW w:w="319"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w:t>
            </w:r>
          </w:p>
        </w:tc>
        <w:tc>
          <w:tcPr>
            <w:tcW w:w="267"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5</w:t>
            </w:r>
          </w:p>
        </w:tc>
        <w:tc>
          <w:tcPr>
            <w:tcW w:w="632"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达成预期指标</w:t>
            </w:r>
          </w:p>
        </w:tc>
      </w:tr>
      <w:tr>
        <w:tblPrEx>
          <w:tblCellMar>
            <w:top w:w="15" w:type="dxa"/>
            <w:left w:w="15" w:type="dxa"/>
            <w:bottom w:w="15" w:type="dxa"/>
            <w:right w:w="15" w:type="dxa"/>
          </w:tblCellMar>
        </w:tblPrEx>
        <w:trPr>
          <w:trHeight w:val="23" w:hRule="atLeast"/>
        </w:trPr>
        <w:tc>
          <w:tcPr>
            <w:tcW w:w="962" w:type="pct"/>
            <w:vMerge w:val="continue"/>
            <w:tcBorders>
              <w:top w:val="single" w:color="000000" w:sz="4" w:space="0"/>
              <w:left w:val="single" w:color="000000" w:sz="4" w:space="0"/>
              <w:bottom w:val="single" w:color="000000" w:sz="4" w:space="0"/>
              <w:right w:val="single" w:color="000000" w:sz="4" w:space="0"/>
            </w:tcBorders>
            <w:noWrap/>
            <w:vAlign w:val="center"/>
          </w:tcPr>
          <w:p>
            <w:pPr>
              <w:rPr>
                <w:rFonts w:ascii="Times New Roman" w:hAnsi="Times New Roman" w:eastAsia="仿宋_GB2312" w:cs="Times New Roman"/>
                <w:sz w:val="32"/>
              </w:rPr>
            </w:pPr>
          </w:p>
        </w:tc>
        <w:tc>
          <w:tcPr>
            <w:tcW w:w="511" w:type="pct"/>
            <w:vMerge w:val="restar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效益指标</w:t>
            </w:r>
          </w:p>
        </w:tc>
        <w:tc>
          <w:tcPr>
            <w:tcW w:w="484" w:type="pct"/>
            <w:tcBorders>
              <w:top w:val="single" w:color="000000" w:sz="4" w:space="0"/>
              <w:left w:val="single" w:color="000000" w:sz="4" w:space="0"/>
              <w:bottom w:val="nil"/>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经济效益</w:t>
            </w:r>
          </w:p>
        </w:tc>
        <w:tc>
          <w:tcPr>
            <w:tcW w:w="417"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经济效益</w:t>
            </w:r>
          </w:p>
        </w:tc>
        <w:tc>
          <w:tcPr>
            <w:tcW w:w="434"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定性</w:t>
            </w:r>
          </w:p>
        </w:tc>
        <w:tc>
          <w:tcPr>
            <w:tcW w:w="970"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加强公路养护管理体系延长公路使用寿—命，减少投资，减少资源消耗</w:t>
            </w:r>
          </w:p>
        </w:tc>
        <w:tc>
          <w:tcPr>
            <w:tcW w:w="319"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w:t>
            </w:r>
          </w:p>
        </w:tc>
        <w:tc>
          <w:tcPr>
            <w:tcW w:w="267"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5</w:t>
            </w:r>
          </w:p>
        </w:tc>
        <w:tc>
          <w:tcPr>
            <w:tcW w:w="632"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达成预期指标</w:t>
            </w:r>
          </w:p>
        </w:tc>
      </w:tr>
      <w:tr>
        <w:tblPrEx>
          <w:tblCellMar>
            <w:top w:w="15" w:type="dxa"/>
            <w:left w:w="15" w:type="dxa"/>
            <w:bottom w:w="15" w:type="dxa"/>
            <w:right w:w="15" w:type="dxa"/>
          </w:tblCellMar>
        </w:tblPrEx>
        <w:trPr>
          <w:trHeight w:val="23" w:hRule="atLeast"/>
        </w:trPr>
        <w:tc>
          <w:tcPr>
            <w:tcW w:w="962" w:type="pct"/>
            <w:vMerge w:val="continue"/>
            <w:tcBorders>
              <w:top w:val="single" w:color="000000" w:sz="4" w:space="0"/>
              <w:left w:val="single" w:color="000000" w:sz="4" w:space="0"/>
              <w:bottom w:val="single" w:color="000000" w:sz="4" w:space="0"/>
              <w:right w:val="single" w:color="000000" w:sz="4" w:space="0"/>
            </w:tcBorders>
            <w:noWrap/>
            <w:vAlign w:val="center"/>
          </w:tcPr>
          <w:p>
            <w:pPr>
              <w:rPr>
                <w:rFonts w:ascii="Times New Roman" w:hAnsi="Times New Roman" w:eastAsia="仿宋_GB2312" w:cs="Times New Roman"/>
                <w:sz w:val="32"/>
              </w:rPr>
            </w:pPr>
          </w:p>
        </w:tc>
        <w:tc>
          <w:tcPr>
            <w:tcW w:w="511" w:type="pct"/>
            <w:vMerge w:val="continue"/>
            <w:tcBorders>
              <w:top w:val="single" w:color="000000" w:sz="4" w:space="0"/>
              <w:left w:val="single" w:color="000000" w:sz="4" w:space="0"/>
              <w:bottom w:val="single" w:color="000000" w:sz="4" w:space="0"/>
              <w:right w:val="single" w:color="000000" w:sz="4" w:space="0"/>
            </w:tcBorders>
            <w:noWrap/>
            <w:vAlign w:val="center"/>
          </w:tcPr>
          <w:p>
            <w:pPr>
              <w:rPr>
                <w:rFonts w:ascii="Times New Roman" w:hAnsi="Times New Roman" w:eastAsia="仿宋_GB2312" w:cs="Times New Roman"/>
                <w:sz w:val="32"/>
              </w:rPr>
            </w:pPr>
          </w:p>
        </w:tc>
        <w:tc>
          <w:tcPr>
            <w:tcW w:w="484" w:type="pct"/>
            <w:tcBorders>
              <w:top w:val="single" w:color="000000" w:sz="4" w:space="0"/>
              <w:left w:val="single" w:color="000000" w:sz="4" w:space="0"/>
              <w:bottom w:val="nil"/>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社会效益</w:t>
            </w:r>
          </w:p>
        </w:tc>
        <w:tc>
          <w:tcPr>
            <w:tcW w:w="417"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社会效益</w:t>
            </w:r>
          </w:p>
        </w:tc>
        <w:tc>
          <w:tcPr>
            <w:tcW w:w="434"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定性</w:t>
            </w:r>
          </w:p>
        </w:tc>
        <w:tc>
          <w:tcPr>
            <w:tcW w:w="970"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推动区域旅游资源发展，改善群众生产和生活条件，便捷安全出行</w:t>
            </w:r>
          </w:p>
        </w:tc>
        <w:tc>
          <w:tcPr>
            <w:tcW w:w="319"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w:t>
            </w:r>
          </w:p>
        </w:tc>
        <w:tc>
          <w:tcPr>
            <w:tcW w:w="267"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10</w:t>
            </w:r>
          </w:p>
        </w:tc>
        <w:tc>
          <w:tcPr>
            <w:tcW w:w="632"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达成预期指标</w:t>
            </w:r>
          </w:p>
        </w:tc>
      </w:tr>
      <w:tr>
        <w:tblPrEx>
          <w:tblCellMar>
            <w:top w:w="15" w:type="dxa"/>
            <w:left w:w="15" w:type="dxa"/>
            <w:bottom w:w="15" w:type="dxa"/>
            <w:right w:w="15" w:type="dxa"/>
          </w:tblCellMar>
        </w:tblPrEx>
        <w:trPr>
          <w:trHeight w:val="23" w:hRule="atLeast"/>
        </w:trPr>
        <w:tc>
          <w:tcPr>
            <w:tcW w:w="962" w:type="pct"/>
            <w:vMerge w:val="continue"/>
            <w:tcBorders>
              <w:top w:val="single" w:color="000000" w:sz="4" w:space="0"/>
              <w:left w:val="single" w:color="000000" w:sz="4" w:space="0"/>
              <w:bottom w:val="single" w:color="000000" w:sz="4" w:space="0"/>
              <w:right w:val="single" w:color="000000" w:sz="4" w:space="0"/>
            </w:tcBorders>
            <w:noWrap/>
            <w:vAlign w:val="center"/>
          </w:tcPr>
          <w:p>
            <w:pPr>
              <w:rPr>
                <w:rFonts w:ascii="Times New Roman" w:hAnsi="Times New Roman" w:eastAsia="仿宋_GB2312" w:cs="Times New Roman"/>
                <w:sz w:val="32"/>
              </w:rPr>
            </w:pPr>
          </w:p>
        </w:tc>
        <w:tc>
          <w:tcPr>
            <w:tcW w:w="511" w:type="pct"/>
            <w:vMerge w:val="continue"/>
            <w:tcBorders>
              <w:top w:val="single" w:color="000000" w:sz="4" w:space="0"/>
              <w:left w:val="single" w:color="000000" w:sz="4" w:space="0"/>
              <w:bottom w:val="single" w:color="000000" w:sz="4" w:space="0"/>
              <w:right w:val="single" w:color="000000" w:sz="4" w:space="0"/>
            </w:tcBorders>
            <w:noWrap/>
            <w:vAlign w:val="center"/>
          </w:tcPr>
          <w:p>
            <w:pPr>
              <w:rPr>
                <w:rFonts w:ascii="Times New Roman" w:hAnsi="Times New Roman" w:eastAsia="仿宋_GB2312" w:cs="Times New Roman"/>
                <w:sz w:val="32"/>
              </w:rPr>
            </w:pPr>
          </w:p>
        </w:tc>
        <w:tc>
          <w:tcPr>
            <w:tcW w:w="484"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可持续性</w:t>
            </w:r>
          </w:p>
        </w:tc>
        <w:tc>
          <w:tcPr>
            <w:tcW w:w="417"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后续管理落实率</w:t>
            </w:r>
          </w:p>
        </w:tc>
        <w:tc>
          <w:tcPr>
            <w:tcW w:w="434"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w:t>
            </w:r>
          </w:p>
        </w:tc>
        <w:tc>
          <w:tcPr>
            <w:tcW w:w="970"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100</w:t>
            </w:r>
          </w:p>
        </w:tc>
        <w:tc>
          <w:tcPr>
            <w:tcW w:w="319"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w:t>
            </w:r>
          </w:p>
        </w:tc>
        <w:tc>
          <w:tcPr>
            <w:tcW w:w="267"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10</w:t>
            </w:r>
          </w:p>
        </w:tc>
        <w:tc>
          <w:tcPr>
            <w:tcW w:w="632"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100%</w:t>
            </w:r>
          </w:p>
        </w:tc>
      </w:tr>
      <w:tr>
        <w:tblPrEx>
          <w:tblCellMar>
            <w:top w:w="15" w:type="dxa"/>
            <w:left w:w="15" w:type="dxa"/>
            <w:bottom w:w="15" w:type="dxa"/>
            <w:right w:w="15" w:type="dxa"/>
          </w:tblCellMar>
        </w:tblPrEx>
        <w:trPr>
          <w:trHeight w:val="23" w:hRule="atLeast"/>
        </w:trPr>
        <w:tc>
          <w:tcPr>
            <w:tcW w:w="962" w:type="pct"/>
            <w:vMerge w:val="continue"/>
            <w:tcBorders>
              <w:top w:val="single" w:color="000000" w:sz="4" w:space="0"/>
              <w:left w:val="single" w:color="000000" w:sz="4" w:space="0"/>
              <w:bottom w:val="single" w:color="000000" w:sz="4" w:space="0"/>
              <w:right w:val="single" w:color="000000" w:sz="4" w:space="0"/>
            </w:tcBorders>
            <w:noWrap/>
            <w:vAlign w:val="center"/>
          </w:tcPr>
          <w:p>
            <w:pPr>
              <w:rPr>
                <w:rFonts w:ascii="Times New Roman" w:hAnsi="Times New Roman" w:eastAsia="仿宋_GB2312" w:cs="Times New Roman"/>
                <w:sz w:val="32"/>
              </w:rPr>
            </w:pPr>
          </w:p>
        </w:tc>
        <w:tc>
          <w:tcPr>
            <w:tcW w:w="511" w:type="pct"/>
            <w:vMerge w:val="continue"/>
            <w:tcBorders>
              <w:top w:val="single" w:color="000000" w:sz="4" w:space="0"/>
              <w:left w:val="single" w:color="000000" w:sz="4" w:space="0"/>
              <w:bottom w:val="single" w:color="000000" w:sz="4" w:space="0"/>
              <w:right w:val="single" w:color="000000" w:sz="4" w:space="0"/>
            </w:tcBorders>
            <w:noWrap/>
            <w:vAlign w:val="center"/>
          </w:tcPr>
          <w:p>
            <w:pPr>
              <w:rPr>
                <w:rFonts w:ascii="Times New Roman" w:hAnsi="Times New Roman" w:eastAsia="仿宋_GB2312" w:cs="Times New Roman"/>
                <w:sz w:val="32"/>
              </w:rPr>
            </w:pPr>
          </w:p>
        </w:tc>
        <w:tc>
          <w:tcPr>
            <w:tcW w:w="484"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生态效益指标</w:t>
            </w:r>
          </w:p>
        </w:tc>
        <w:tc>
          <w:tcPr>
            <w:tcW w:w="417"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生态效益</w:t>
            </w:r>
          </w:p>
        </w:tc>
        <w:tc>
          <w:tcPr>
            <w:tcW w:w="434"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定性</w:t>
            </w:r>
          </w:p>
        </w:tc>
        <w:tc>
          <w:tcPr>
            <w:tcW w:w="970"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节能减排、减少因道路破损引发的生态污染</w:t>
            </w:r>
          </w:p>
        </w:tc>
        <w:tc>
          <w:tcPr>
            <w:tcW w:w="319"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w:t>
            </w:r>
          </w:p>
        </w:tc>
        <w:tc>
          <w:tcPr>
            <w:tcW w:w="267"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5</w:t>
            </w:r>
          </w:p>
        </w:tc>
        <w:tc>
          <w:tcPr>
            <w:tcW w:w="632"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达成预期指标</w:t>
            </w:r>
          </w:p>
        </w:tc>
      </w:tr>
      <w:tr>
        <w:tblPrEx>
          <w:tblCellMar>
            <w:top w:w="15" w:type="dxa"/>
            <w:left w:w="15" w:type="dxa"/>
            <w:bottom w:w="15" w:type="dxa"/>
            <w:right w:w="15" w:type="dxa"/>
          </w:tblCellMar>
        </w:tblPrEx>
        <w:trPr>
          <w:trHeight w:val="23" w:hRule="atLeast"/>
        </w:trPr>
        <w:tc>
          <w:tcPr>
            <w:tcW w:w="962" w:type="pct"/>
            <w:vMerge w:val="continue"/>
            <w:tcBorders>
              <w:top w:val="single" w:color="000000" w:sz="4" w:space="0"/>
              <w:left w:val="single" w:color="000000" w:sz="4" w:space="0"/>
              <w:bottom w:val="single" w:color="000000" w:sz="4" w:space="0"/>
              <w:right w:val="single" w:color="000000" w:sz="4" w:space="0"/>
            </w:tcBorders>
            <w:noWrap/>
            <w:vAlign w:val="center"/>
          </w:tcPr>
          <w:p>
            <w:pPr>
              <w:rPr>
                <w:rFonts w:ascii="Times New Roman" w:hAnsi="Times New Roman" w:eastAsia="仿宋_GB2312" w:cs="Times New Roman"/>
                <w:sz w:val="32"/>
              </w:rPr>
            </w:pPr>
          </w:p>
        </w:tc>
        <w:tc>
          <w:tcPr>
            <w:tcW w:w="511"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满意度指标</w:t>
            </w:r>
          </w:p>
        </w:tc>
        <w:tc>
          <w:tcPr>
            <w:tcW w:w="484"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满意度指标</w:t>
            </w:r>
          </w:p>
        </w:tc>
        <w:tc>
          <w:tcPr>
            <w:tcW w:w="417"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满意度</w:t>
            </w:r>
          </w:p>
        </w:tc>
        <w:tc>
          <w:tcPr>
            <w:tcW w:w="434"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定性</w:t>
            </w:r>
          </w:p>
        </w:tc>
        <w:tc>
          <w:tcPr>
            <w:tcW w:w="970"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通过国省干线养护提质、提升公众满意度</w:t>
            </w:r>
          </w:p>
        </w:tc>
        <w:tc>
          <w:tcPr>
            <w:tcW w:w="319"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w:t>
            </w:r>
          </w:p>
        </w:tc>
        <w:tc>
          <w:tcPr>
            <w:tcW w:w="267"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10</w:t>
            </w:r>
          </w:p>
        </w:tc>
        <w:tc>
          <w:tcPr>
            <w:tcW w:w="632" w:type="pct"/>
            <w:tcBorders>
              <w:top w:val="single" w:color="000000" w:sz="4" w:space="0"/>
              <w:left w:val="single" w:color="000000" w:sz="4" w:space="0"/>
              <w:bottom w:val="single" w:color="000000" w:sz="4" w:space="0"/>
              <w:right w:val="single" w:color="000000" w:sz="4" w:space="0"/>
            </w:tcBorders>
            <w:noWrap/>
            <w:vAlign w:val="center"/>
          </w:tcPr>
          <w:p>
            <w:pPr>
              <w:widowControl/>
              <w:snapToGrid w:val="0"/>
              <w:jc w:val="center"/>
              <w:textAlignment w:val="center"/>
              <w:rPr>
                <w:rFonts w:hint="eastAsia" w:ascii="宋体" w:hAnsi="Times New Roman" w:eastAsia="宋体" w:cs="宋体"/>
                <w:color w:val="000000"/>
                <w:kern w:val="0"/>
                <w:sz w:val="20"/>
                <w:szCs w:val="20"/>
              </w:rPr>
            </w:pPr>
            <w:r>
              <w:rPr>
                <w:rFonts w:hint="eastAsia" w:ascii="宋体" w:hAnsi="Times New Roman" w:eastAsia="宋体" w:cs="宋体"/>
                <w:color w:val="000000"/>
                <w:kern w:val="0"/>
                <w:sz w:val="20"/>
                <w:szCs w:val="20"/>
              </w:rPr>
              <w:t>达成预期指标</w:t>
            </w:r>
          </w:p>
        </w:tc>
      </w:tr>
    </w:tbl>
    <w:p>
      <w:pPr>
        <w:pStyle w:val="8"/>
        <w:spacing w:line="560" w:lineRule="exact"/>
        <w:ind w:left="0" w:leftChars="0" w:firstLine="640"/>
        <w:rPr>
          <w:rFonts w:ascii="Times New Roman"/>
          <w:sz w:val="32"/>
          <w:highlight w:val="yellow"/>
          <w:lang w:val="zh-CN"/>
        </w:rPr>
        <w:sectPr>
          <w:footerReference r:id="rId9" w:type="first"/>
          <w:footerReference r:id="rId8" w:type="default"/>
          <w:pgSz w:w="11906" w:h="16838"/>
          <w:pgMar w:top="1440" w:right="1800" w:bottom="1440" w:left="1800" w:header="851" w:footer="992" w:gutter="0"/>
          <w:pgNumType w:fmt="decimal" w:start="35"/>
          <w:cols w:space="425" w:num="1"/>
          <w:titlePg/>
          <w:docGrid w:type="lines" w:linePitch="312" w:charSpace="0"/>
        </w:sectPr>
      </w:pPr>
    </w:p>
    <w:p>
      <w:pPr>
        <w:rPr>
          <w:rFonts w:eastAsia="黑体" w:cs="黑体"/>
          <w:kern w:val="0"/>
          <w:sz w:val="32"/>
          <w:szCs w:val="32"/>
          <w:shd w:val="clear" w:color="auto" w:fill="FFFFFF"/>
          <w:lang w:val="zh-CN"/>
        </w:rPr>
      </w:pPr>
    </w:p>
    <w:p>
      <w:pPr>
        <w:pStyle w:val="6"/>
        <w:spacing w:before="93"/>
        <w:rPr>
          <w:rFonts w:ascii="Times New Roman" w:eastAsia="黑体" w:cs="黑体"/>
          <w:sz w:val="32"/>
          <w:szCs w:val="32"/>
        </w:rPr>
      </w:pPr>
      <w:r>
        <w:rPr>
          <w:rFonts w:hint="eastAsia" w:ascii="Times New Roman" w:eastAsia="黑体" w:cs="黑体"/>
          <w:sz w:val="32"/>
          <w:szCs w:val="32"/>
          <w:shd w:val="clear" w:color="auto" w:fill="FFFFFF"/>
          <w:lang w:val="zh-CN"/>
        </w:rPr>
        <w:t>附件</w:t>
      </w:r>
      <w:r>
        <w:rPr>
          <w:rFonts w:hint="eastAsia" w:ascii="Times New Roman" w:eastAsia="黑体" w:cs="黑体"/>
          <w:sz w:val="32"/>
          <w:szCs w:val="32"/>
          <w:shd w:val="clear" w:color="auto" w:fill="FFFFFF"/>
        </w:rPr>
        <w:t>2</w:t>
      </w:r>
    </w:p>
    <w:p>
      <w:pPr>
        <w:pStyle w:val="36"/>
        <w:spacing w:line="578" w:lineRule="exact"/>
        <w:jc w:val="center"/>
        <w:rPr>
          <w:rFonts w:ascii="Times New Roman" w:hAnsi="Times New Roman" w:eastAsia="方正小标宋简体" w:cs="方正小标宋简体"/>
          <w:color w:val="auto"/>
          <w:kern w:val="2"/>
          <w:sz w:val="44"/>
          <w:szCs w:val="44"/>
          <w:lang w:val="en-US"/>
        </w:rPr>
      </w:pPr>
    </w:p>
    <w:p>
      <w:pPr>
        <w:spacing w:line="578" w:lineRule="exact"/>
        <w:ind w:firstLine="640"/>
        <w:jc w:val="center"/>
        <w:rPr>
          <w:rFonts w:hint="eastAsia" w:ascii="Times New Roman" w:hAnsi="Times New Roman" w:eastAsia="方正小标宋简体" w:cs="方正小标宋简体"/>
          <w:color w:val="auto"/>
          <w:kern w:val="2"/>
          <w:sz w:val="44"/>
          <w:szCs w:val="44"/>
          <w:lang w:val="en-US"/>
        </w:rPr>
      </w:pPr>
      <w:r>
        <w:rPr>
          <w:rFonts w:hint="eastAsia" w:ascii="方正小标宋简体" w:hAnsi="方正小标宋简体" w:eastAsia="方正小标宋简体" w:cs="方正小标宋简体"/>
          <w:color w:val="auto"/>
          <w:kern w:val="2"/>
          <w:sz w:val="44"/>
          <w:szCs w:val="44"/>
          <w:lang w:val="en-US" w:eastAsia="zh-CN"/>
        </w:rPr>
        <w:t>2</w:t>
      </w:r>
      <w:r>
        <w:rPr>
          <w:rFonts w:hint="eastAsia" w:ascii="方正小标宋简体" w:hAnsi="方正小标宋简体" w:eastAsia="方正小标宋简体" w:cs="方正小标宋简体"/>
          <w:color w:val="auto"/>
          <w:kern w:val="2"/>
          <w:sz w:val="44"/>
          <w:szCs w:val="44"/>
          <w:lang w:val="en-US"/>
        </w:rPr>
        <w:t>024</w:t>
      </w:r>
      <w:r>
        <w:rPr>
          <w:rFonts w:hint="eastAsia" w:ascii="Times New Roman" w:hAnsi="Times New Roman" w:eastAsia="方正小标宋简体" w:cs="方正小标宋简体"/>
          <w:color w:val="auto"/>
          <w:kern w:val="2"/>
          <w:sz w:val="44"/>
          <w:szCs w:val="44"/>
          <w:lang w:val="en-US"/>
        </w:rPr>
        <w:t>年转移支付（国道317线阿坝州理县段灾害防治工程）自评报告</w:t>
      </w:r>
    </w:p>
    <w:p>
      <w:pPr>
        <w:spacing w:line="578" w:lineRule="exact"/>
        <w:ind w:firstLine="640"/>
        <w:rPr>
          <w:rFonts w:hint="eastAsia" w:ascii="Times New Roman" w:hAnsi="Times New Roman" w:eastAsia="方正小标宋简体" w:cs="方正小标宋简体"/>
          <w:color w:val="auto"/>
          <w:kern w:val="2"/>
          <w:sz w:val="44"/>
          <w:szCs w:val="44"/>
          <w:lang w:val="en-US"/>
        </w:rPr>
      </w:pPr>
    </w:p>
    <w:p>
      <w:pPr>
        <w:keepNext w:val="0"/>
        <w:keepLines w:val="0"/>
        <w:pageBreakBefore w:val="0"/>
        <w:widowControl w:val="0"/>
        <w:kinsoku/>
        <w:wordWrap/>
        <w:overflowPunct/>
        <w:topLinePunct w:val="0"/>
        <w:autoSpaceDE/>
        <w:autoSpaceDN/>
        <w:bidi w:val="0"/>
        <w:adjustRightInd/>
        <w:snapToGrid/>
        <w:spacing w:line="560" w:lineRule="exact"/>
        <w:ind w:firstLine="600" w:firstLineChars="200"/>
        <w:jc w:val="both"/>
        <w:textAlignment w:val="auto"/>
        <w:rPr>
          <w:rFonts w:hint="eastAsia" w:ascii="黑体" w:hAnsi="黑体" w:eastAsia="黑体" w:cs="黑体"/>
          <w:sz w:val="30"/>
          <w:szCs w:val="30"/>
          <w:lang w:val="en-US" w:eastAsia="zh-CN"/>
        </w:rPr>
      </w:pPr>
      <w:r>
        <w:rPr>
          <w:rFonts w:hint="eastAsia" w:ascii="黑体" w:hAnsi="黑体" w:eastAsia="黑体" w:cs="黑体"/>
          <w:sz w:val="30"/>
          <w:szCs w:val="30"/>
          <w:lang w:val="en-US" w:eastAsia="zh-CN"/>
        </w:rPr>
        <w:t>一、绩效目标情况</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2020年5月31日，国务院办公厅发布了《关于开展第一次全国自然灾害综合风险普查的通知》，指出通过开展普查，摸清全国自然灾害风险隐患底数，查明重点地区抗灾能力，客观认识全国和各地区自然灾害综合风险水平，为中央和地方各级人民政府有效开展自然灾害防治工作、切实保障经济社会可持续发展提供权威的灾害风险信息和科学决策依据。</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国道317线阿坝州理县段灾害防治工程，共有灾害处治工点16处，其中，崩塌10处、泥石流4处、滑坡2处。</w:t>
      </w:r>
    </w:p>
    <w:p>
      <w:pPr>
        <w:keepNext w:val="0"/>
        <w:keepLines w:val="0"/>
        <w:pageBreakBefore w:val="0"/>
        <w:widowControl w:val="0"/>
        <w:kinsoku/>
        <w:wordWrap/>
        <w:overflowPunct/>
        <w:topLinePunct w:val="0"/>
        <w:autoSpaceDE/>
        <w:autoSpaceDN/>
        <w:bidi w:val="0"/>
        <w:adjustRightInd/>
        <w:snapToGrid/>
        <w:spacing w:line="560" w:lineRule="exact"/>
        <w:ind w:firstLine="600" w:firstLineChars="200"/>
        <w:jc w:val="both"/>
        <w:textAlignment w:val="auto"/>
        <w:rPr>
          <w:rFonts w:hint="eastAsia" w:ascii="黑体" w:hAnsi="黑体" w:eastAsia="黑体" w:cs="黑体"/>
          <w:sz w:val="30"/>
          <w:szCs w:val="30"/>
          <w:lang w:val="en-US" w:eastAsia="zh-CN"/>
        </w:rPr>
      </w:pPr>
      <w:r>
        <w:rPr>
          <w:rFonts w:hint="eastAsia" w:ascii="黑体" w:hAnsi="黑体" w:eastAsia="黑体" w:cs="黑体"/>
          <w:sz w:val="30"/>
          <w:szCs w:val="30"/>
          <w:lang w:val="en-US" w:eastAsia="zh-CN"/>
        </w:rPr>
        <w:t>二、绩效情况分析</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楷体" w:hAnsi="楷体" w:eastAsia="楷体" w:cs="楷体"/>
          <w:sz w:val="32"/>
          <w:szCs w:val="32"/>
          <w:lang w:val="en-US" w:eastAsia="zh-CN"/>
        </w:rPr>
        <w:t>（一）资金投入情况分析。</w:t>
      </w:r>
      <w:r>
        <w:rPr>
          <w:rFonts w:hint="eastAsia" w:ascii="Times New Roman" w:hAnsi="Times New Roman" w:eastAsia="仿宋_GB2312" w:cs="仿宋_GB2312"/>
          <w:kern w:val="2"/>
          <w:sz w:val="32"/>
          <w:szCs w:val="32"/>
          <w:lang w:val="en-US" w:eastAsia="zh-CN" w:bidi="ar-SA"/>
        </w:rPr>
        <w:t>2024年年度计划完成处治地质灾害影响点共16处，其中：崩塌10处、泥石流4处、滑坡2处。截止目前已完成地灾点14处，剩余2处工点（K248+400征地无问题的部分桩基全部施工完成，13根方桩涉及的土地征地程序正在推进当中；K226+600因灾害持续变化，范围扩大，原设计方案已不满足现状施工要求，需对原设计方案进行变更，现等待变更方案及批复），累计完成总工程量的87%，本年项目完成投资6456万元。</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楷体" w:hAnsi="楷体" w:eastAsia="楷体" w:cs="楷体"/>
          <w:sz w:val="32"/>
          <w:szCs w:val="32"/>
          <w:lang w:val="en-US" w:eastAsia="zh-CN"/>
        </w:rPr>
        <w:t>（二）资金管理情况分析。</w:t>
      </w:r>
      <w:r>
        <w:rPr>
          <w:rFonts w:hint="eastAsia" w:ascii="Times New Roman" w:hAnsi="Times New Roman" w:eastAsia="仿宋_GB2312" w:cs="仿宋_GB2312"/>
          <w:kern w:val="2"/>
          <w:sz w:val="32"/>
          <w:szCs w:val="32"/>
          <w:lang w:val="en-US" w:eastAsia="zh-CN" w:bidi="ar-SA"/>
        </w:rPr>
        <w:t>我分局严格按照中华人民共和国财政部《关于提前下达2023年车辆购置税收入补助地方资金预算（第一批）的通知》财建〔2022〕396号文件要求，建设项目，按项目实施进度拨付资金。资金分配：该项目总投资为16041.91万元，申请交通运输部补助资金12600万元，不足部分地方自筹。目前已到位资金6000万元。</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截止目前已完成生产投资6456万元，实际支付4188.589211万元，主要是前期文件报告、施工、监理费等费用，根据合同约定计量支付资金，支付依据合规合法，资金使用范围、标准及支付进度合理，支付依据合规合法、资金支付与预算相符。</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楷体" w:hAnsi="楷体" w:eastAsia="楷体" w:cs="楷体"/>
          <w:sz w:val="32"/>
          <w:szCs w:val="32"/>
          <w:lang w:val="en-US" w:eastAsia="zh-CN"/>
        </w:rPr>
        <w:t>（三）总体绩效目标完成情况分析。</w:t>
      </w:r>
      <w:r>
        <w:rPr>
          <w:rFonts w:hint="eastAsia" w:ascii="Times New Roman" w:hAnsi="Times New Roman" w:eastAsia="仿宋_GB2312" w:cs="仿宋_GB2312"/>
          <w:kern w:val="2"/>
          <w:sz w:val="32"/>
          <w:szCs w:val="32"/>
          <w:lang w:val="en-US" w:eastAsia="zh-CN" w:bidi="ar-SA"/>
        </w:rPr>
        <w:t>项目所有绩效自评均按照产出、效益、满意度绩效指标值设置，所有指标值达到预期绩效目标。</w:t>
      </w:r>
    </w:p>
    <w:p>
      <w:pPr>
        <w:spacing w:line="578" w:lineRule="exact"/>
        <w:ind w:firstLine="640"/>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（四）绩效指标完成情况分析。</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1.产出指标完成情况分析。</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（1）数量指标</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2024年年度计划完成处治地质灾害影响点共16处，其中：崩塌10处、泥石流4处、滑坡2处。实际完成14处崩塌灾害防治工点，占年度目标的87%。</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（2）质量指标</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项目2024年度未出现质量问题和质量事故。</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（3）时效指标</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项目按照合同约定时间节点完成了清单内的工程量。地灾项目点位K248+400征地无问题的部分桩基全部施工完成，13根方桩涉及的土地征地程序正在推进当中；K226+600因灾害持续变化，范围扩大，原设计方案已不满足现状施工要求，需对原设计方案进行变更，现等待变更方案及批复。</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（4）成本指标</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未超预算。</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2.效益指标完成情况分析。</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（1）经济效益指标</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本项目年度完成投资6456万元。</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（2）社会效益指标</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对工程建设满意度大于95%。</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（3）生态效益指标</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未造成环境污染和环境破坏问题。</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（4）可持续影响指标</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内部机构、人员、制度满足需求，项目经费能够保障。</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3.满意度指标完成情况分析。</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群众满意度大于80%。</w:t>
      </w:r>
    </w:p>
    <w:p>
      <w:pPr>
        <w:keepNext w:val="0"/>
        <w:keepLines w:val="0"/>
        <w:pageBreakBefore w:val="0"/>
        <w:widowControl w:val="0"/>
        <w:kinsoku/>
        <w:wordWrap/>
        <w:overflowPunct/>
        <w:topLinePunct w:val="0"/>
        <w:autoSpaceDE/>
        <w:autoSpaceDN/>
        <w:bidi w:val="0"/>
        <w:adjustRightInd/>
        <w:snapToGrid/>
        <w:spacing w:line="560" w:lineRule="exact"/>
        <w:ind w:firstLine="600" w:firstLineChars="200"/>
        <w:jc w:val="both"/>
        <w:textAlignment w:val="auto"/>
        <w:rPr>
          <w:rFonts w:hint="eastAsia" w:ascii="黑体" w:hAnsi="黑体" w:eastAsia="黑体" w:cs="黑体"/>
          <w:sz w:val="30"/>
          <w:szCs w:val="30"/>
          <w:lang w:val="en-US" w:eastAsia="zh-CN"/>
        </w:rPr>
      </w:pPr>
      <w:r>
        <w:rPr>
          <w:rFonts w:hint="eastAsia" w:ascii="黑体" w:hAnsi="黑体" w:eastAsia="黑体" w:cs="黑体"/>
          <w:sz w:val="30"/>
          <w:szCs w:val="30"/>
          <w:lang w:val="en-US" w:eastAsia="zh-CN"/>
        </w:rPr>
        <w:t>三、偏离绩效目标的原因和下一步改进措施</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2024年年度计划完成处治地质灾害影响点共16处，实际完成14处崩塌灾害防治工点，未完成2处工点（K248+400征地无问题的部分桩基全部施工完成，13根方桩涉及的土地征地程序正在推进当中；K226+600因灾害持续变化，范围扩大，原设计方案已不满足现状施工要求，需对原设计方案进行变更，现等待变更方案及批复。）</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分局将加快推进K226+600处设计变更工作，针对K248+400处，待群众达成一致在后期将采取措施追赶进度。</w:t>
      </w:r>
    </w:p>
    <w:p>
      <w:pPr>
        <w:keepNext w:val="0"/>
        <w:keepLines w:val="0"/>
        <w:pageBreakBefore w:val="0"/>
        <w:widowControl w:val="0"/>
        <w:kinsoku/>
        <w:wordWrap/>
        <w:overflowPunct/>
        <w:topLinePunct w:val="0"/>
        <w:autoSpaceDE/>
        <w:autoSpaceDN/>
        <w:bidi w:val="0"/>
        <w:adjustRightInd/>
        <w:snapToGrid/>
        <w:spacing w:line="560" w:lineRule="exact"/>
        <w:ind w:firstLine="600" w:firstLineChars="200"/>
        <w:jc w:val="both"/>
        <w:textAlignment w:val="auto"/>
        <w:rPr>
          <w:rFonts w:hint="eastAsia" w:ascii="黑体" w:hAnsi="黑体" w:eastAsia="黑体" w:cs="黑体"/>
          <w:sz w:val="30"/>
          <w:szCs w:val="30"/>
          <w:lang w:val="en-US" w:eastAsia="zh-CN"/>
        </w:rPr>
      </w:pPr>
      <w:r>
        <w:rPr>
          <w:rFonts w:hint="eastAsia" w:ascii="黑体" w:hAnsi="黑体" w:eastAsia="黑体" w:cs="黑体"/>
          <w:sz w:val="30"/>
          <w:szCs w:val="30"/>
          <w:lang w:val="en-US" w:eastAsia="zh-CN"/>
        </w:rPr>
        <w:t>四、绩效自评结果拟应用情况</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2024年度结束后严格执行绩效评价，比对各个指标结果进行总结、分析，将各个指标反馈相应业务股室。最终自评结果为“优”。针对绩效自评结果，拟通过以下措施强化绩效自评结果的运用:一是利用绩效自评成果改进下一年度绩效自评指标及时总结经验，改进管理措施，从而完善项目自评机制，有效提高资金管理水平和使用效率，确保项目按要求完成，及时发挥财政资金效能;二是与下一年度预算安排结合，本次自评结果作为下一年度预算的重要依据，对于合理安排下一年度预算起到关键作用。</w:t>
      </w:r>
    </w:p>
    <w:p>
      <w:pPr>
        <w:keepNext w:val="0"/>
        <w:keepLines w:val="0"/>
        <w:pageBreakBefore w:val="0"/>
        <w:widowControl w:val="0"/>
        <w:kinsoku/>
        <w:wordWrap/>
        <w:overflowPunct/>
        <w:topLinePunct w:val="0"/>
        <w:autoSpaceDE/>
        <w:autoSpaceDN/>
        <w:bidi w:val="0"/>
        <w:adjustRightInd/>
        <w:snapToGrid/>
        <w:spacing w:line="560" w:lineRule="exact"/>
        <w:ind w:firstLine="600" w:firstLineChars="200"/>
        <w:jc w:val="both"/>
        <w:textAlignment w:val="auto"/>
        <w:rPr>
          <w:rFonts w:hint="eastAsia" w:ascii="黑体" w:hAnsi="黑体" w:eastAsia="黑体" w:cs="黑体"/>
          <w:sz w:val="30"/>
          <w:szCs w:val="30"/>
          <w:lang w:val="en-US" w:eastAsia="zh-CN"/>
        </w:rPr>
      </w:pPr>
      <w:r>
        <w:rPr>
          <w:rFonts w:hint="eastAsia" w:ascii="黑体" w:hAnsi="黑体" w:eastAsia="黑体" w:cs="黑体"/>
          <w:sz w:val="30"/>
          <w:szCs w:val="30"/>
          <w:lang w:val="en-US" w:eastAsia="zh-CN"/>
        </w:rPr>
        <w:t>五、其他需要说明的问题</w:t>
      </w:r>
    </w:p>
    <w:p>
      <w:pPr>
        <w:spacing w:line="578" w:lineRule="exact"/>
        <w:ind w:firstLine="640"/>
        <w:rPr>
          <w:rFonts w:hint="eastAsia" w:ascii="Times New Roman" w:hAnsi="Times New Roman" w:eastAsia="仿宋_GB2312" w:cs="仿宋_GB2312"/>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无。</w:t>
      </w:r>
    </w:p>
    <w:p>
      <w:pPr>
        <w:spacing w:line="578" w:lineRule="exact"/>
        <w:ind w:firstLine="640"/>
        <w:rPr>
          <w:rFonts w:eastAsia="仿宋_GB2312" w:cs="仿宋_GB2312"/>
          <w:kern w:val="0"/>
          <w:sz w:val="32"/>
          <w:szCs w:val="32"/>
        </w:rPr>
      </w:pPr>
    </w:p>
    <w:p>
      <w:pPr>
        <w:spacing w:line="578" w:lineRule="exact"/>
        <w:ind w:firstLine="640"/>
        <w:rPr>
          <w:rFonts w:hint="eastAsia" w:eastAsia="黑体"/>
          <w:sz w:val="44"/>
          <w:szCs w:val="44"/>
        </w:rPr>
      </w:pPr>
      <w:bookmarkStart w:id="69" w:name="_Toc15396618"/>
      <w:r>
        <w:rPr>
          <w:rFonts w:hint="eastAsia" w:eastAsia="仿宋_GB2312" w:cs="仿宋_GB2312"/>
          <w:kern w:val="0"/>
          <w:sz w:val="32"/>
          <w:szCs w:val="32"/>
        </w:rPr>
        <w:br w:type="page"/>
      </w:r>
    </w:p>
    <w:p>
      <w:pPr>
        <w:widowControl/>
        <w:jc w:val="center"/>
        <w:rPr>
          <w:rFonts w:hint="eastAsia" w:eastAsia="黑体"/>
          <w:sz w:val="44"/>
          <w:szCs w:val="44"/>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sz w:val="44"/>
          <w:szCs w:val="44"/>
          <w:lang w:val="en-US" w:eastAsia="zh-CN"/>
        </w:rPr>
      </w:pPr>
      <w:r>
        <w:rPr>
          <w:rFonts w:hint="eastAsia" w:ascii="方正小标宋简体" w:hAnsi="方正小标宋简体" w:eastAsia="方正小标宋简体" w:cs="方正小标宋简体"/>
          <w:sz w:val="44"/>
          <w:szCs w:val="44"/>
          <w:lang w:val="en-US" w:eastAsia="zh-CN"/>
        </w:rPr>
        <w:t>2024年转移支付（国道248线马塘桥维修加固工程）自评报告</w:t>
      </w:r>
    </w:p>
    <w:p>
      <w:pPr>
        <w:keepNext w:val="0"/>
        <w:keepLines w:val="0"/>
        <w:pageBreakBefore w:val="0"/>
        <w:widowControl w:val="0"/>
        <w:kinsoku/>
        <w:wordWrap/>
        <w:overflowPunct/>
        <w:topLinePunct w:val="0"/>
        <w:autoSpaceDE/>
        <w:autoSpaceDN/>
        <w:bidi w:val="0"/>
        <w:adjustRightInd/>
        <w:snapToGrid/>
        <w:spacing w:line="560" w:lineRule="exact"/>
        <w:ind w:firstLine="600" w:firstLineChars="200"/>
        <w:jc w:val="both"/>
        <w:textAlignment w:val="auto"/>
        <w:rPr>
          <w:rFonts w:hint="eastAsia" w:ascii="黑体" w:hAnsi="黑体" w:eastAsia="黑体" w:cs="黑体"/>
          <w:sz w:val="30"/>
          <w:szCs w:val="30"/>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00" w:firstLineChars="200"/>
        <w:jc w:val="both"/>
        <w:textAlignment w:val="auto"/>
        <w:rPr>
          <w:rFonts w:hint="eastAsia" w:ascii="黑体" w:hAnsi="黑体" w:eastAsia="黑体" w:cs="黑体"/>
          <w:sz w:val="30"/>
          <w:szCs w:val="30"/>
          <w:lang w:val="en-US" w:eastAsia="zh-CN"/>
        </w:rPr>
      </w:pPr>
      <w:r>
        <w:rPr>
          <w:rFonts w:hint="eastAsia" w:ascii="黑体" w:hAnsi="黑体" w:eastAsia="黑体" w:cs="黑体"/>
          <w:sz w:val="30"/>
          <w:szCs w:val="30"/>
          <w:lang w:val="en-US" w:eastAsia="zh-CN"/>
        </w:rPr>
        <w:t>一、绩效目标情况</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为加快推进“十三五”危桥改造加固任务，达到《“十三五》公路养护管理发展纲要》中“新发现危桥危隧当年处置率达100%”和省交通运输厅相关要求，提高桥梁通行能力，及时消除桥梁安全隐患，切实保障社会经济可持续发展提供权威的灾害风险信息和科学决策依据。</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马塘桥维修加固工程位于G248线兰马路K892+722（马尔康市梭磨乡境内），桥梁全长32米，桥面全宽9.0米，桥面净宽8.0米，上部结构采用1×16m钢筋混泥土现浇箱梁，下部结构桥台采用轻型桥台、桩基础、桥面系采用沥青混泥土。两阶段施工图批复由阿坝州交通运输局以阿州交建〔2021〕896号文批复。审核预算总金额100.1225万元。到位补助资金78万元（中央财政资金）。</w:t>
      </w:r>
    </w:p>
    <w:p>
      <w:pPr>
        <w:keepNext w:val="0"/>
        <w:keepLines w:val="0"/>
        <w:pageBreakBefore w:val="0"/>
        <w:widowControl w:val="0"/>
        <w:kinsoku/>
        <w:wordWrap/>
        <w:overflowPunct/>
        <w:topLinePunct w:val="0"/>
        <w:autoSpaceDE/>
        <w:autoSpaceDN/>
        <w:bidi w:val="0"/>
        <w:adjustRightInd/>
        <w:snapToGrid/>
        <w:spacing w:line="560" w:lineRule="exact"/>
        <w:ind w:firstLine="600" w:firstLineChars="200"/>
        <w:jc w:val="both"/>
        <w:textAlignment w:val="auto"/>
        <w:rPr>
          <w:rFonts w:hint="eastAsia" w:ascii="黑体" w:hAnsi="黑体" w:eastAsia="黑体" w:cs="黑体"/>
          <w:sz w:val="30"/>
          <w:szCs w:val="30"/>
          <w:lang w:val="en-US" w:eastAsia="zh-CN"/>
        </w:rPr>
      </w:pPr>
      <w:r>
        <w:rPr>
          <w:rFonts w:hint="eastAsia" w:ascii="黑体" w:hAnsi="黑体" w:eastAsia="黑体" w:cs="黑体"/>
          <w:sz w:val="30"/>
          <w:szCs w:val="30"/>
          <w:lang w:val="en-US" w:eastAsia="zh-CN"/>
        </w:rPr>
        <w:t>二、绩效情况分析</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楷体" w:hAnsi="楷体" w:eastAsia="楷体" w:cs="楷体"/>
          <w:sz w:val="32"/>
          <w:szCs w:val="32"/>
          <w:lang w:val="en-US" w:eastAsia="zh-CN"/>
        </w:rPr>
        <w:t>（一）资金投入情况分析。</w:t>
      </w:r>
      <w:r>
        <w:rPr>
          <w:rFonts w:hint="eastAsia" w:ascii="仿宋_GB2312" w:hAnsi="仿宋_GB2312" w:eastAsia="仿宋_GB2312" w:cs="仿宋_GB2312"/>
          <w:sz w:val="32"/>
          <w:szCs w:val="32"/>
        </w:rPr>
        <w:t>2022年8月4日签订合同</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于2022年8月8日开工，2022年11月17日完工</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完成2022年度计划。累计完成总工程量的100%，本年项目完成投资</w:t>
      </w:r>
      <w:r>
        <w:rPr>
          <w:rFonts w:hint="eastAsia" w:ascii="仿宋_GB2312" w:hAnsi="Calibri" w:eastAsia="仿宋_GB2312"/>
          <w:sz w:val="32"/>
          <w:szCs w:val="32"/>
          <w:lang w:val="en-US" w:eastAsia="zh-CN"/>
        </w:rPr>
        <w:t>90.9863</w:t>
      </w:r>
      <w:r>
        <w:rPr>
          <w:rFonts w:hint="eastAsia" w:ascii="仿宋_GB2312" w:hAnsi="仿宋_GB2312" w:eastAsia="仿宋_GB2312" w:cs="仿宋_GB2312"/>
          <w:sz w:val="32"/>
          <w:szCs w:val="32"/>
          <w:lang w:val="en-US" w:eastAsia="zh-CN"/>
        </w:rPr>
        <w:t>万元。</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楷体" w:hAnsi="楷体" w:eastAsia="楷体" w:cs="楷体"/>
          <w:sz w:val="32"/>
          <w:szCs w:val="32"/>
          <w:lang w:val="en-US" w:eastAsia="zh-CN"/>
        </w:rPr>
        <w:t>（二）资金管理情况分析。</w:t>
      </w:r>
      <w:r>
        <w:rPr>
          <w:rFonts w:hint="eastAsia" w:ascii="仿宋_GB2312" w:hAnsi="仿宋_GB2312" w:eastAsia="仿宋_GB2312" w:cs="仿宋_GB2312"/>
          <w:sz w:val="32"/>
          <w:szCs w:val="32"/>
          <w:lang w:val="en-US" w:eastAsia="zh-CN"/>
        </w:rPr>
        <w:t>分局严格按照中华人民共和国财政部相关文件要求，按项目实施进度拨付资金。资金分配：该项目总投资为90.9863万元，交通运输部补助资金78万元，地方财政自筹12.9863万元。截止目前，该项目已完工，所有资金已支付完成。</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楷体" w:hAnsi="楷体" w:eastAsia="楷体" w:cs="楷体"/>
          <w:sz w:val="32"/>
          <w:szCs w:val="32"/>
          <w:lang w:val="en-US" w:eastAsia="zh-CN"/>
        </w:rPr>
        <w:t>（三）总体绩效目标完成情况分析。</w:t>
      </w:r>
      <w:r>
        <w:rPr>
          <w:rFonts w:hint="eastAsia" w:ascii="仿宋_GB2312" w:hAnsi="仿宋_GB2312" w:eastAsia="仿宋_GB2312" w:cs="仿宋_GB2312"/>
          <w:sz w:val="32"/>
          <w:szCs w:val="32"/>
          <w:lang w:val="en-US" w:eastAsia="zh-CN"/>
        </w:rPr>
        <w:t>项目所有绩效自评均按照产出、效益、满意度绩效指标值设置，所有指标值达到预期绩效目标。</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（四）绩效指标完成情况分析。</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1.产出指标完成情况分析。</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（1）数量指标</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2022年完成年度度目标的100%。</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（2）质量指标</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项目2024年度未出现质量问题和质量事故。</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（3）时效指标</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项目按照合同约定时间节点完成了清单内的工程量。</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（4）成本指标</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未超预算。</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2.效益指标完成情况分析。</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（1）经济效益指标</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本项目年度完成投资909863.04万元。</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（2）社会效益指标</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对工程建设满意度大于95%。</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（3）生态效益指标</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未造成环境污染和环境破坏问题。</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（4）可持续影响指标</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内部机构、人员、制度满足需求，项目经费能够保障。</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3.满意度指标完成情况分析。</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群众满意度大于80%.</w:t>
      </w:r>
    </w:p>
    <w:p>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firstLine="600" w:firstLineChars="200"/>
        <w:jc w:val="both"/>
        <w:textAlignment w:val="auto"/>
        <w:rPr>
          <w:rFonts w:hint="eastAsia" w:ascii="黑体" w:hAnsi="黑体" w:eastAsia="黑体" w:cs="黑体"/>
          <w:sz w:val="30"/>
          <w:szCs w:val="30"/>
          <w:lang w:val="en-US" w:eastAsia="zh-CN"/>
        </w:rPr>
      </w:pPr>
      <w:r>
        <w:rPr>
          <w:rFonts w:hint="eastAsia" w:ascii="黑体" w:hAnsi="黑体" w:eastAsia="黑体" w:cs="黑体"/>
          <w:sz w:val="30"/>
          <w:szCs w:val="30"/>
          <w:lang w:val="en-US" w:eastAsia="zh-CN"/>
        </w:rPr>
        <w:t>偏离绩效目标的原因和下一步改进措施</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both"/>
        <w:textAlignment w:val="auto"/>
        <w:rPr>
          <w:rFonts w:hint="default" w:ascii="黑体" w:hAnsi="黑体" w:eastAsia="黑体" w:cs="黑体"/>
          <w:sz w:val="30"/>
          <w:szCs w:val="30"/>
          <w:lang w:val="en-US" w:eastAsia="zh-CN"/>
        </w:rPr>
      </w:pPr>
      <w:r>
        <w:rPr>
          <w:rFonts w:hint="eastAsia" w:ascii="黑体" w:hAnsi="黑体" w:eastAsia="黑体" w:cs="黑体"/>
          <w:sz w:val="30"/>
          <w:szCs w:val="30"/>
          <w:lang w:val="en-US" w:eastAsia="zh-CN"/>
        </w:rPr>
        <w:t xml:space="preserve">    无</w:t>
      </w:r>
    </w:p>
    <w:p>
      <w:pPr>
        <w:keepNext w:val="0"/>
        <w:keepLines w:val="0"/>
        <w:pageBreakBefore w:val="0"/>
        <w:widowControl w:val="0"/>
        <w:numPr>
          <w:ilvl w:val="0"/>
          <w:numId w:val="2"/>
        </w:numPr>
        <w:kinsoku/>
        <w:wordWrap/>
        <w:overflowPunct/>
        <w:topLinePunct w:val="0"/>
        <w:autoSpaceDE/>
        <w:autoSpaceDN/>
        <w:bidi w:val="0"/>
        <w:adjustRightInd/>
        <w:snapToGrid/>
        <w:spacing w:line="560" w:lineRule="exact"/>
        <w:ind w:firstLine="600" w:firstLineChars="200"/>
        <w:jc w:val="both"/>
        <w:textAlignment w:val="auto"/>
        <w:rPr>
          <w:rFonts w:hint="eastAsia" w:ascii="黑体" w:hAnsi="黑体" w:eastAsia="黑体" w:cs="黑体"/>
          <w:sz w:val="30"/>
          <w:szCs w:val="30"/>
          <w:lang w:val="en-US" w:eastAsia="zh-CN"/>
        </w:rPr>
      </w:pPr>
      <w:r>
        <w:rPr>
          <w:rFonts w:hint="eastAsia" w:ascii="黑体" w:hAnsi="黑体" w:eastAsia="黑体" w:cs="黑体"/>
          <w:sz w:val="30"/>
          <w:szCs w:val="30"/>
          <w:lang w:val="en-US" w:eastAsia="zh-CN"/>
        </w:rPr>
        <w:t>绩效自评结果拟应用情况</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2024年度结束后严格执行绩效评价，比对各个指标结果进行总结、分析，将各个指标反馈相应业务股室。最终自评结果为“优”。针对绩效自评结果，拟通过以下措施强化绩效自评结果的运用:一是利用绩效自评成果改进下一年度绩效自评指标及时总结经验，改进管理措施，从而完善项目自评机制，有效提高资金管理水平和使用效率，确保项目按要求完成，及时发挥财政资金效能;二是与下一年度预算安排结合，本次自评结果作为下一年度预算的重要依据，对于合理安排下一年度预算起到关键作用。</w:t>
      </w:r>
    </w:p>
    <w:p>
      <w:pPr>
        <w:keepNext w:val="0"/>
        <w:keepLines w:val="0"/>
        <w:pageBreakBefore w:val="0"/>
        <w:widowControl w:val="0"/>
        <w:kinsoku/>
        <w:wordWrap/>
        <w:overflowPunct/>
        <w:topLinePunct w:val="0"/>
        <w:autoSpaceDE/>
        <w:autoSpaceDN/>
        <w:bidi w:val="0"/>
        <w:adjustRightInd/>
        <w:snapToGrid/>
        <w:spacing w:line="560" w:lineRule="exact"/>
        <w:ind w:firstLine="600" w:firstLineChars="200"/>
        <w:jc w:val="both"/>
        <w:textAlignment w:val="auto"/>
        <w:rPr>
          <w:rFonts w:hint="eastAsia" w:ascii="仿宋_GB2312" w:hAnsi="仿宋_GB2312" w:eastAsia="仿宋_GB2312" w:cs="仿宋_GB2312"/>
          <w:sz w:val="30"/>
          <w:szCs w:val="30"/>
          <w:lang w:val="en-US" w:eastAsia="zh-CN"/>
        </w:rPr>
      </w:pPr>
      <w:r>
        <w:rPr>
          <w:rFonts w:hint="eastAsia" w:ascii="黑体" w:hAnsi="黑体" w:eastAsia="黑体" w:cs="黑体"/>
          <w:sz w:val="30"/>
          <w:szCs w:val="30"/>
          <w:lang w:val="en-US" w:eastAsia="zh-CN"/>
        </w:rPr>
        <w:t>五、其他需要说明的问题</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无。</w:t>
      </w:r>
    </w:p>
    <w:p>
      <w:pPr>
        <w:widowControl/>
        <w:jc w:val="center"/>
        <w:rPr>
          <w:rFonts w:hint="eastAsia" w:eastAsia="黑体"/>
          <w:sz w:val="44"/>
          <w:szCs w:val="44"/>
        </w:rPr>
      </w:pPr>
    </w:p>
    <w:p>
      <w:pPr>
        <w:widowControl/>
        <w:jc w:val="center"/>
        <w:rPr>
          <w:rFonts w:hint="eastAsia" w:eastAsia="黑体"/>
          <w:sz w:val="44"/>
          <w:szCs w:val="44"/>
        </w:rPr>
      </w:pPr>
    </w:p>
    <w:p>
      <w:pPr>
        <w:widowControl/>
        <w:jc w:val="center"/>
        <w:rPr>
          <w:rFonts w:hint="eastAsia" w:eastAsia="黑体"/>
          <w:sz w:val="44"/>
          <w:szCs w:val="44"/>
        </w:rPr>
      </w:pPr>
    </w:p>
    <w:p>
      <w:pPr>
        <w:widowControl/>
        <w:jc w:val="center"/>
        <w:rPr>
          <w:rFonts w:hint="eastAsia" w:eastAsia="黑体"/>
          <w:sz w:val="44"/>
          <w:szCs w:val="44"/>
        </w:rPr>
      </w:pPr>
    </w:p>
    <w:p>
      <w:pPr>
        <w:widowControl/>
        <w:jc w:val="center"/>
        <w:rPr>
          <w:rFonts w:hint="eastAsia" w:eastAsia="黑体"/>
          <w:sz w:val="44"/>
          <w:szCs w:val="44"/>
        </w:rPr>
      </w:pPr>
    </w:p>
    <w:p>
      <w:pPr>
        <w:widowControl/>
        <w:jc w:val="center"/>
        <w:rPr>
          <w:rFonts w:hint="eastAsia" w:eastAsia="黑体"/>
          <w:sz w:val="44"/>
          <w:szCs w:val="44"/>
        </w:rPr>
      </w:pPr>
    </w:p>
    <w:p>
      <w:pPr>
        <w:widowControl/>
        <w:jc w:val="center"/>
        <w:rPr>
          <w:rFonts w:hint="eastAsia" w:eastAsia="黑体"/>
          <w:sz w:val="44"/>
          <w:szCs w:val="44"/>
        </w:rPr>
      </w:pPr>
    </w:p>
    <w:p>
      <w:pPr>
        <w:widowControl/>
        <w:jc w:val="center"/>
        <w:rPr>
          <w:rFonts w:hint="eastAsia" w:eastAsia="黑体"/>
          <w:sz w:val="44"/>
          <w:szCs w:val="44"/>
        </w:rPr>
      </w:pPr>
    </w:p>
    <w:p>
      <w:pPr>
        <w:widowControl/>
        <w:jc w:val="center"/>
        <w:rPr>
          <w:rFonts w:hint="eastAsia" w:eastAsia="黑体"/>
          <w:sz w:val="44"/>
          <w:szCs w:val="44"/>
        </w:rPr>
      </w:pPr>
    </w:p>
    <w:p>
      <w:pPr>
        <w:jc w:val="center"/>
        <w:rPr>
          <w:rFonts w:hint="eastAsia" w:ascii="方正小标宋_GBK" w:hAnsi="方正小标宋_GBK" w:eastAsia="方正小标宋_GBK" w:cs="方正小标宋_GBK"/>
          <w:sz w:val="36"/>
          <w:szCs w:val="44"/>
          <w:lang w:val="en-US" w:eastAsia="zh-CN"/>
        </w:rPr>
      </w:pPr>
      <w:r>
        <w:rPr>
          <w:rFonts w:hint="eastAsia" w:ascii="方正小标宋_GBK" w:hAnsi="方正小标宋_GBK" w:eastAsia="方正小标宋_GBK" w:cs="方正小标宋_GBK"/>
          <w:sz w:val="36"/>
          <w:szCs w:val="44"/>
          <w:lang w:val="en-US" w:eastAsia="zh-CN"/>
        </w:rPr>
        <w:t>国道317线阿坝州金川至壤塘段灾害防治工程转移支付自评报告</w:t>
      </w:r>
    </w:p>
    <w:p>
      <w:pPr>
        <w:jc w:val="center"/>
        <w:rPr>
          <w:rFonts w:hint="eastAsia" w:ascii="仿宋_GB2312" w:hAnsi="仿宋_GB2312" w:eastAsia="仿宋_GB2312" w:cs="仿宋_GB2312"/>
          <w:sz w:val="30"/>
          <w:szCs w:val="30"/>
          <w:lang w:val="en-US" w:eastAsia="zh-CN"/>
        </w:rPr>
      </w:pPr>
    </w:p>
    <w:p>
      <w:pPr>
        <w:keepNext w:val="0"/>
        <w:keepLines w:val="0"/>
        <w:pageBreakBefore w:val="0"/>
        <w:widowControl w:val="0"/>
        <w:kinsoku/>
        <w:wordWrap/>
        <w:overflowPunct/>
        <w:topLinePunct w:val="0"/>
        <w:autoSpaceDE/>
        <w:autoSpaceDN/>
        <w:bidi w:val="0"/>
        <w:adjustRightInd/>
        <w:snapToGrid/>
        <w:spacing w:line="576" w:lineRule="exact"/>
        <w:ind w:firstLine="600" w:firstLineChars="200"/>
        <w:jc w:val="both"/>
        <w:textAlignment w:val="auto"/>
        <w:rPr>
          <w:rFonts w:hint="eastAsia" w:ascii="黑体" w:hAnsi="黑体" w:eastAsia="黑体" w:cs="黑体"/>
          <w:sz w:val="30"/>
          <w:szCs w:val="30"/>
          <w:lang w:val="en-US" w:eastAsia="zh-CN"/>
        </w:rPr>
      </w:pPr>
      <w:r>
        <w:rPr>
          <w:rFonts w:hint="eastAsia" w:ascii="黑体" w:hAnsi="黑体" w:eastAsia="黑体" w:cs="黑体"/>
          <w:sz w:val="30"/>
          <w:szCs w:val="30"/>
          <w:lang w:val="en-US" w:eastAsia="zh-CN"/>
        </w:rPr>
        <w:t>一、绩效目标情况</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2020年5月31日，国务院办公厅发布了《关于开展第一次全国自然灾害综合风险普查的通知》，指出通过开展普查，摸清全国自然灾害风险隐患底数，查明重点地区抗灾能力，客观认识全国和各地区自然灾害综合风险水平，为中央和地方各级人民政府有效开展自然灾害防治工作、切实保障经济社会可持续发展提供权威的灾害风险信息和科学决策依据。</w:t>
      </w:r>
    </w:p>
    <w:p>
      <w:pPr>
        <w:keepNext w:val="0"/>
        <w:keepLines w:val="0"/>
        <w:pageBreakBefore w:val="0"/>
        <w:widowControl w:val="0"/>
        <w:kinsoku/>
        <w:wordWrap/>
        <w:overflowPunct/>
        <w:topLinePunct w:val="0"/>
        <w:autoSpaceDE/>
        <w:autoSpaceDN/>
        <w:bidi w:val="0"/>
        <w:adjustRightInd/>
        <w:snapToGrid/>
        <w:spacing w:line="576" w:lineRule="exact"/>
        <w:ind w:firstLine="640" w:firstLineChars="200"/>
        <w:jc w:val="both"/>
        <w:textAlignment w:val="auto"/>
        <w:rPr>
          <w:rFonts w:hint="eastAsia" w:ascii="仿宋" w:hAnsi="仿宋" w:eastAsia="仿宋" w:cs="Times New Roman"/>
          <w:sz w:val="32"/>
          <w:szCs w:val="32"/>
          <w:highlight w:val="none"/>
          <w:lang w:eastAsia="zh-CN"/>
        </w:rPr>
      </w:pPr>
      <w:r>
        <w:rPr>
          <w:rFonts w:hint="eastAsia" w:ascii="仿宋_GB2312" w:hAnsi="仿宋_GB2312" w:eastAsia="仿宋_GB2312" w:cs="仿宋_GB2312"/>
          <w:b w:val="0"/>
          <w:bCs w:val="0"/>
          <w:sz w:val="32"/>
          <w:szCs w:val="32"/>
          <w:lang w:val="en-US" w:eastAsia="zh-CN"/>
        </w:rPr>
        <w:t>国道317线阿坝州金川至壤塘段灾害防治工程，起于G317线K415+940,终点桩号为K501+300，沿线有地质灾害影响点共21处，</w:t>
      </w:r>
      <w:r>
        <w:rPr>
          <w:rFonts w:hint="eastAsia" w:ascii="仿宋" w:hAnsi="仿宋" w:eastAsia="仿宋" w:cs="Times New Roman"/>
          <w:sz w:val="32"/>
          <w:szCs w:val="32"/>
          <w:highlight w:val="none"/>
        </w:rPr>
        <w:t>其中崩塌7处，滑坡14处，涉及整治里程3.23公里</w:t>
      </w:r>
      <w:r>
        <w:rPr>
          <w:rFonts w:hint="eastAsia" w:ascii="仿宋" w:hAnsi="仿宋" w:eastAsia="仿宋" w:cs="Times New Roman"/>
          <w:sz w:val="32"/>
          <w:szCs w:val="32"/>
          <w:highlight w:val="none"/>
          <w:lang w:eastAsia="zh-CN"/>
        </w:rPr>
        <w:t>，</w:t>
      </w:r>
      <w:r>
        <w:rPr>
          <w:rFonts w:hint="eastAsia" w:ascii="仿宋" w:hAnsi="仿宋" w:eastAsia="仿宋" w:cs="Times New Roman"/>
          <w:sz w:val="32"/>
          <w:szCs w:val="32"/>
          <w:highlight w:val="none"/>
        </w:rPr>
        <w:t>及防灾减灾样板打造</w:t>
      </w:r>
      <w:r>
        <w:rPr>
          <w:rFonts w:hint="eastAsia" w:ascii="仿宋" w:hAnsi="仿宋" w:eastAsia="仿宋" w:cs="Times New Roman"/>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00" w:firstLineChars="200"/>
        <w:jc w:val="both"/>
        <w:textAlignment w:val="auto"/>
        <w:rPr>
          <w:rFonts w:hint="eastAsia" w:ascii="黑体" w:hAnsi="黑体" w:eastAsia="黑体" w:cs="黑体"/>
          <w:sz w:val="30"/>
          <w:szCs w:val="30"/>
          <w:lang w:val="en-US" w:eastAsia="zh-CN"/>
        </w:rPr>
      </w:pPr>
      <w:r>
        <w:rPr>
          <w:rFonts w:hint="eastAsia" w:ascii="黑体" w:hAnsi="黑体" w:eastAsia="黑体" w:cs="黑体"/>
          <w:sz w:val="30"/>
          <w:szCs w:val="30"/>
          <w:lang w:val="en-US" w:eastAsia="zh-CN"/>
        </w:rPr>
        <w:t>二、绩效情况分析</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楷体" w:hAnsi="楷体" w:eastAsia="楷体" w:cs="楷体"/>
          <w:sz w:val="32"/>
          <w:szCs w:val="32"/>
          <w:lang w:val="en-US" w:eastAsia="zh-CN"/>
        </w:rPr>
        <w:t>（一）资金投入情况分析。</w:t>
      </w:r>
      <w:r>
        <w:rPr>
          <w:rFonts w:hint="eastAsia" w:ascii="仿宋_GB2312" w:hAnsi="仿宋_GB2312" w:eastAsia="仿宋_GB2312" w:cs="仿宋_GB2312"/>
          <w:sz w:val="32"/>
          <w:szCs w:val="32"/>
          <w:lang w:val="en-US" w:eastAsia="zh-CN"/>
        </w:rPr>
        <w:t>2024年年度计划处治地质灾害影响点共21处，于2024年8月1日全面完工，累计完成总工程量的100%，本年项目完成投资</w:t>
      </w:r>
      <w:bookmarkStart w:id="70" w:name="OLE_LINK1"/>
      <w:r>
        <w:rPr>
          <w:rFonts w:hint="eastAsia" w:ascii="仿宋_GB2312" w:hAnsi="仿宋_GB2312" w:eastAsia="仿宋_GB2312" w:cs="仿宋_GB2312"/>
          <w:sz w:val="32"/>
          <w:szCs w:val="32"/>
          <w:lang w:val="en-US" w:eastAsia="zh-CN"/>
        </w:rPr>
        <w:t>4829.57</w:t>
      </w:r>
      <w:bookmarkEnd w:id="70"/>
      <w:r>
        <w:rPr>
          <w:rFonts w:hint="eastAsia" w:ascii="仿宋_GB2312" w:hAnsi="仿宋_GB2312" w:eastAsia="仿宋_GB2312" w:cs="仿宋_GB2312"/>
          <w:sz w:val="32"/>
          <w:szCs w:val="32"/>
          <w:lang w:val="en-US" w:eastAsia="zh-CN"/>
        </w:rPr>
        <w:t>万元。</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楷体" w:hAnsi="楷体" w:eastAsia="楷体" w:cs="楷体"/>
          <w:sz w:val="32"/>
          <w:szCs w:val="32"/>
          <w:lang w:val="en-US" w:eastAsia="zh-CN"/>
        </w:rPr>
        <w:t>（二）资金管理情况分析。</w:t>
      </w:r>
      <w:r>
        <w:rPr>
          <w:rFonts w:hint="eastAsia" w:ascii="仿宋_GB2312" w:hAnsi="仿宋_GB2312" w:eastAsia="仿宋_GB2312" w:cs="仿宋_GB2312"/>
          <w:sz w:val="32"/>
          <w:szCs w:val="32"/>
          <w:lang w:val="en-US" w:eastAsia="zh-CN"/>
        </w:rPr>
        <w:t>我分局严格按照中华人民共和国财政部《关于提前下达2023年车辆购置税收入补助地方资金预算（第一批）的通知》财建〔2022〕396号文件要求，建设项目，按项目实施进度拨付资金。资金分配：该项目总投资为</w:t>
      </w:r>
      <w:r>
        <w:rPr>
          <w:rFonts w:hint="eastAsia" w:ascii="仿宋_GB2312" w:hAnsi="仿宋_GB2312" w:eastAsia="仿宋_GB2312" w:cs="仿宋_GB2312"/>
          <w:b w:val="0"/>
          <w:bCs w:val="0"/>
          <w:sz w:val="32"/>
          <w:szCs w:val="32"/>
          <w:lang w:val="en-US" w:eastAsia="zh-CN"/>
        </w:rPr>
        <w:t>9252.22</w:t>
      </w:r>
      <w:r>
        <w:rPr>
          <w:rFonts w:hint="eastAsia" w:ascii="仿宋_GB2312" w:hAnsi="仿宋_GB2312" w:eastAsia="仿宋_GB2312" w:cs="仿宋_GB2312"/>
          <w:sz w:val="32"/>
          <w:szCs w:val="32"/>
          <w:lang w:val="en-US" w:eastAsia="zh-CN"/>
        </w:rPr>
        <w:t>万元，申请交通运输部补助资金7099万元，不足部分地方自筹。目前已到位资金4858万元。</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截止目前已完成生产投资4829.57万元，实际支付3707.94万元，主要是前期文件报告、施工、监理及设计费等费用，根据合同约定计量支付资金，支付依据合规合法，资金使用范围、标准及支付进度合理，支付依据合规合法、资金支付与预算相符。</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楷体" w:hAnsi="楷体" w:eastAsia="楷体" w:cs="楷体"/>
          <w:sz w:val="32"/>
          <w:szCs w:val="32"/>
          <w:lang w:val="en-US" w:eastAsia="zh-CN"/>
        </w:rPr>
        <w:t>（三）总体绩效目标完成情况分析。</w:t>
      </w:r>
      <w:r>
        <w:rPr>
          <w:rFonts w:hint="eastAsia" w:ascii="仿宋_GB2312" w:hAnsi="仿宋_GB2312" w:eastAsia="仿宋_GB2312" w:cs="仿宋_GB2312"/>
          <w:sz w:val="32"/>
          <w:szCs w:val="32"/>
          <w:lang w:val="en-US" w:eastAsia="zh-CN"/>
        </w:rPr>
        <w:t>项目所有绩效自评均按照产出、效益、满意度绩效指标值设置，所有指标值达到预期绩效目标。</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（四）绩效指标完成情况分析。</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1.产出指标完成情况分析。</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（1）数量指标</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2024年年度计划完成处治地质灾害影响点共21处，其中：</w:t>
      </w:r>
      <w:r>
        <w:rPr>
          <w:rFonts w:hint="eastAsia" w:ascii="仿宋" w:hAnsi="仿宋" w:eastAsia="仿宋" w:cs="Times New Roman"/>
          <w:sz w:val="32"/>
          <w:szCs w:val="32"/>
          <w:highlight w:val="none"/>
        </w:rPr>
        <w:t>其中崩塌7处，滑坡14处</w:t>
      </w:r>
      <w:r>
        <w:rPr>
          <w:rFonts w:hint="eastAsia" w:ascii="仿宋_GB2312" w:hAnsi="仿宋_GB2312" w:eastAsia="仿宋_GB2312" w:cs="仿宋_GB2312"/>
          <w:sz w:val="32"/>
          <w:szCs w:val="32"/>
          <w:lang w:val="en-US" w:eastAsia="zh-CN"/>
        </w:rPr>
        <w:t>。实际完成21处崩塌灾害防治工点，占年度目标的100%。</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（2）质量指标</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项目2024年度未出现质量问题和质量事故。</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（3）时效指标</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项目按照合同约定时间节点完成了清单内的工程量。</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（4）成本指标</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未超预算。</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2.效益指标完成情况分析。</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（1）经济效益指标</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本项目年度完成投资4829.57万元。</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（2）社会效益指标</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对工程建设满意度大于95%。</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（3）生态效益指标</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未造成环境污染和环境破坏问题。</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（4）可持续影响指标</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内部机构、人员、制度满足需求，项目经费能够保障。</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3.满意度指标完成情况分析。</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2"/>
          <w:szCs w:val="32"/>
          <w:lang w:val="en-US" w:eastAsia="zh-CN"/>
        </w:rPr>
        <w:t>群众满意度大于80%。</w:t>
      </w:r>
    </w:p>
    <w:p>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30" w:leftChars="0" w:firstLine="600" w:firstLineChars="0"/>
        <w:jc w:val="both"/>
        <w:textAlignment w:val="auto"/>
        <w:rPr>
          <w:rFonts w:hint="eastAsia" w:ascii="黑体" w:hAnsi="黑体" w:eastAsia="黑体" w:cs="黑体"/>
          <w:sz w:val="30"/>
          <w:szCs w:val="30"/>
          <w:lang w:val="en-US" w:eastAsia="zh-CN"/>
        </w:rPr>
      </w:pPr>
      <w:r>
        <w:rPr>
          <w:rFonts w:hint="eastAsia" w:ascii="黑体" w:hAnsi="黑体" w:eastAsia="黑体" w:cs="黑体"/>
          <w:sz w:val="30"/>
          <w:szCs w:val="30"/>
          <w:lang w:val="en-US" w:eastAsia="zh-CN"/>
        </w:rPr>
        <w:t>偏离绩效目标的原因和下一步改进措施</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630" w:leftChars="0" w:firstLine="300" w:firstLineChars="100"/>
        <w:jc w:val="both"/>
        <w:textAlignment w:val="auto"/>
        <w:rPr>
          <w:rFonts w:hint="eastAsia" w:ascii="黑体" w:hAnsi="黑体" w:eastAsia="黑体" w:cs="黑体"/>
          <w:sz w:val="30"/>
          <w:szCs w:val="30"/>
          <w:lang w:val="en-US" w:eastAsia="zh-CN"/>
        </w:rPr>
      </w:pPr>
      <w:r>
        <w:rPr>
          <w:rFonts w:hint="eastAsia" w:ascii="黑体" w:hAnsi="黑体" w:eastAsia="黑体" w:cs="黑体"/>
          <w:sz w:val="30"/>
          <w:szCs w:val="30"/>
          <w:lang w:val="en-US" w:eastAsia="zh-CN"/>
        </w:rPr>
        <w:t>无</w:t>
      </w:r>
    </w:p>
    <w:p>
      <w:pPr>
        <w:keepNext w:val="0"/>
        <w:keepLines w:val="0"/>
        <w:pageBreakBefore w:val="0"/>
        <w:widowControl w:val="0"/>
        <w:numPr>
          <w:ilvl w:val="0"/>
          <w:numId w:val="2"/>
        </w:numPr>
        <w:kinsoku/>
        <w:wordWrap/>
        <w:overflowPunct/>
        <w:topLinePunct w:val="0"/>
        <w:autoSpaceDE/>
        <w:autoSpaceDN/>
        <w:bidi w:val="0"/>
        <w:adjustRightInd/>
        <w:snapToGrid/>
        <w:spacing w:line="560" w:lineRule="exact"/>
        <w:ind w:firstLine="600" w:firstLineChars="200"/>
        <w:jc w:val="both"/>
        <w:textAlignment w:val="auto"/>
        <w:rPr>
          <w:rFonts w:hint="eastAsia" w:ascii="黑体" w:hAnsi="黑体" w:eastAsia="黑体" w:cs="黑体"/>
          <w:sz w:val="30"/>
          <w:szCs w:val="30"/>
          <w:lang w:val="en-US" w:eastAsia="zh-CN"/>
        </w:rPr>
      </w:pPr>
      <w:r>
        <w:rPr>
          <w:rFonts w:hint="eastAsia" w:ascii="黑体" w:hAnsi="黑体" w:eastAsia="黑体" w:cs="黑体"/>
          <w:sz w:val="30"/>
          <w:szCs w:val="30"/>
          <w:lang w:val="en-US" w:eastAsia="zh-CN"/>
        </w:rPr>
        <w:t>绩效自评结果拟应用情况</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2024年度结束后严格执行绩效评价，比对各个指标结果进行总结、分析，将各个指标反馈相应业务股室。最终自评结果为“优”。针对绩效自评结果，拟通过以下措施强化绩效自评结果的运用:一是利用绩效自评成果改进下一年度绩效自评指标及时总结经验，改进管理措施，从而完善项目自评机制，有效提高资金管理水平和使用效率，确保项目按要求完成，及时发挥财政资金效能;二是与下一年度预算安排结合，本次自评结果作为下一年度预算的重要依据，对于合理安排下一年度预算起到关键作用。</w:t>
      </w:r>
    </w:p>
    <w:p>
      <w:pPr>
        <w:keepNext w:val="0"/>
        <w:keepLines w:val="0"/>
        <w:pageBreakBefore w:val="0"/>
        <w:widowControl w:val="0"/>
        <w:kinsoku/>
        <w:wordWrap/>
        <w:overflowPunct/>
        <w:topLinePunct w:val="0"/>
        <w:autoSpaceDE/>
        <w:autoSpaceDN/>
        <w:bidi w:val="0"/>
        <w:adjustRightInd/>
        <w:snapToGrid/>
        <w:spacing w:line="560" w:lineRule="exact"/>
        <w:ind w:firstLine="600" w:firstLineChars="200"/>
        <w:jc w:val="both"/>
        <w:textAlignment w:val="auto"/>
        <w:rPr>
          <w:rFonts w:hint="eastAsia" w:ascii="仿宋_GB2312" w:hAnsi="仿宋_GB2312" w:eastAsia="仿宋_GB2312" w:cs="仿宋_GB2312"/>
          <w:sz w:val="30"/>
          <w:szCs w:val="30"/>
          <w:lang w:val="en-US" w:eastAsia="zh-CN"/>
        </w:rPr>
      </w:pPr>
      <w:r>
        <w:rPr>
          <w:rFonts w:hint="eastAsia" w:ascii="黑体" w:hAnsi="黑体" w:eastAsia="黑体" w:cs="黑体"/>
          <w:sz w:val="30"/>
          <w:szCs w:val="30"/>
          <w:lang w:val="en-US" w:eastAsia="zh-CN"/>
        </w:rPr>
        <w:t>五、其他需要说明的问题</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eastAsia="黑体"/>
          <w:sz w:val="44"/>
          <w:szCs w:val="44"/>
        </w:rPr>
      </w:pPr>
      <w:r>
        <w:rPr>
          <w:rFonts w:hint="eastAsia" w:ascii="仿宋_GB2312" w:hAnsi="仿宋_GB2312" w:eastAsia="仿宋_GB2312" w:cs="仿宋_GB2312"/>
          <w:sz w:val="32"/>
          <w:szCs w:val="32"/>
          <w:lang w:val="en-US" w:eastAsia="zh-CN"/>
        </w:rPr>
        <w:t>无。</w:t>
      </w:r>
    </w:p>
    <w:p>
      <w:pPr>
        <w:pStyle w:val="6"/>
        <w:spacing w:before="93"/>
        <w:rPr>
          <w:rFonts w:hint="eastAsia" w:ascii="Times New Roman" w:eastAsia="黑体" w:cs="黑体"/>
          <w:sz w:val="32"/>
          <w:szCs w:val="32"/>
          <w:shd w:val="clear" w:color="auto" w:fill="FFFFFF"/>
          <w:lang w:val="en-US" w:eastAsia="zh-CN"/>
        </w:rPr>
      </w:pPr>
      <w:r>
        <w:rPr>
          <w:rFonts w:hint="eastAsia" w:ascii="Times New Roman" w:eastAsia="黑体" w:cs="黑体"/>
          <w:sz w:val="32"/>
          <w:szCs w:val="32"/>
          <w:shd w:val="clear" w:color="auto" w:fill="FFFFFF"/>
          <w:lang w:val="en-US" w:eastAsia="zh-CN"/>
        </w:rPr>
        <w:t>附件2-1</w:t>
      </w:r>
    </w:p>
    <w:p>
      <w:pPr>
        <w:tabs>
          <w:tab w:val="left" w:pos="936"/>
        </w:tabs>
        <w:bidi w:val="0"/>
        <w:jc w:val="left"/>
        <w:rPr>
          <w:rFonts w:hint="eastAsia"/>
          <w:lang w:val="en-US" w:eastAsia="zh-CN"/>
        </w:rPr>
        <w:sectPr>
          <w:footerReference r:id="rId11" w:type="first"/>
          <w:footerReference r:id="rId10" w:type="default"/>
          <w:pgSz w:w="11906" w:h="16838"/>
          <w:pgMar w:top="1440" w:right="1800" w:bottom="1440" w:left="1800" w:header="851" w:footer="992" w:gutter="0"/>
          <w:pgNumType w:fmt="decimal" w:start="37"/>
          <w:cols w:space="425" w:num="1"/>
          <w:titlePg/>
          <w:docGrid w:type="lines" w:linePitch="312" w:charSpace="0"/>
        </w:sectPr>
      </w:pPr>
      <w:r>
        <w:drawing>
          <wp:inline distT="0" distB="0" distL="114300" distR="114300">
            <wp:extent cx="5588635" cy="7950200"/>
            <wp:effectExtent l="0" t="0" r="12065"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1"/>
                    <a:stretch>
                      <a:fillRect/>
                    </a:stretch>
                  </pic:blipFill>
                  <pic:spPr>
                    <a:xfrm>
                      <a:off x="0" y="0"/>
                      <a:ext cx="5588635" cy="7950200"/>
                    </a:xfrm>
                    <a:prstGeom prst="rect">
                      <a:avLst/>
                    </a:prstGeom>
                    <a:noFill/>
                    <a:ln>
                      <a:noFill/>
                    </a:ln>
                  </pic:spPr>
                </pic:pic>
              </a:graphicData>
            </a:graphic>
          </wp:inline>
        </w:drawing>
      </w:r>
    </w:p>
    <w:p>
      <w:pPr>
        <w:widowControl/>
        <w:jc w:val="center"/>
        <w:rPr>
          <w:rFonts w:hint="eastAsia" w:eastAsia="黑体"/>
          <w:sz w:val="44"/>
          <w:szCs w:val="44"/>
        </w:rPr>
        <w:sectPr>
          <w:footerReference r:id="rId13" w:type="first"/>
          <w:footerReference r:id="rId12" w:type="default"/>
          <w:pgSz w:w="11906" w:h="16838"/>
          <w:pgMar w:top="1440" w:right="1800" w:bottom="1440" w:left="1800" w:header="851" w:footer="992" w:gutter="0"/>
          <w:pgNumType w:fmt="decimal" w:start="48"/>
          <w:cols w:space="425" w:num="1"/>
          <w:titlePg/>
          <w:docGrid w:type="lines" w:linePitch="312" w:charSpace="0"/>
        </w:sectPr>
      </w:pPr>
      <w:r>
        <w:drawing>
          <wp:inline distT="0" distB="0" distL="114300" distR="114300">
            <wp:extent cx="5540375" cy="8703945"/>
            <wp:effectExtent l="0" t="0" r="317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2"/>
                    <a:stretch>
                      <a:fillRect/>
                    </a:stretch>
                  </pic:blipFill>
                  <pic:spPr>
                    <a:xfrm>
                      <a:off x="0" y="0"/>
                      <a:ext cx="5540375" cy="8703945"/>
                    </a:xfrm>
                    <a:prstGeom prst="rect">
                      <a:avLst/>
                    </a:prstGeom>
                    <a:noFill/>
                    <a:ln>
                      <a:noFill/>
                    </a:ln>
                  </pic:spPr>
                </pic:pic>
              </a:graphicData>
            </a:graphic>
          </wp:inline>
        </w:drawing>
      </w:r>
    </w:p>
    <w:p>
      <w:pPr>
        <w:widowControl/>
        <w:jc w:val="center"/>
      </w:pPr>
      <w:r>
        <w:drawing>
          <wp:inline distT="0" distB="0" distL="114300" distR="114300">
            <wp:extent cx="5633720" cy="8663940"/>
            <wp:effectExtent l="0" t="0" r="5080"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3"/>
                    <a:stretch>
                      <a:fillRect/>
                    </a:stretch>
                  </pic:blipFill>
                  <pic:spPr>
                    <a:xfrm>
                      <a:off x="0" y="0"/>
                      <a:ext cx="5633720" cy="8663940"/>
                    </a:xfrm>
                    <a:prstGeom prst="rect">
                      <a:avLst/>
                    </a:prstGeom>
                    <a:noFill/>
                    <a:ln>
                      <a:noFill/>
                    </a:ln>
                  </pic:spPr>
                </pic:pic>
              </a:graphicData>
            </a:graphic>
          </wp:inline>
        </w:drawing>
      </w:r>
    </w:p>
    <w:p>
      <w:pPr>
        <w:pStyle w:val="6"/>
        <w:spacing w:before="93"/>
        <w:rPr>
          <w:rFonts w:hint="default" w:ascii="Times New Roman" w:eastAsia="黑体" w:cs="黑体"/>
          <w:sz w:val="32"/>
          <w:szCs w:val="32"/>
          <w:shd w:val="clear" w:color="auto" w:fill="FFFFFF"/>
          <w:lang w:val="en-US" w:eastAsia="zh-CN"/>
        </w:rPr>
      </w:pPr>
      <w:r>
        <w:rPr>
          <w:rFonts w:hint="eastAsia" w:ascii="Times New Roman" w:eastAsia="黑体" w:cs="黑体"/>
          <w:sz w:val="32"/>
          <w:szCs w:val="32"/>
          <w:shd w:val="clear" w:color="auto" w:fill="FFFFFF"/>
          <w:lang w:val="en-US" w:eastAsia="zh-CN"/>
        </w:rPr>
        <w:t>附件3   部门预算项目支出绩效自评表（2024年度）</w:t>
      </w:r>
    </w:p>
    <w:p>
      <w:r>
        <w:drawing>
          <wp:inline distT="0" distB="0" distL="114300" distR="114300">
            <wp:extent cx="5313680" cy="4025900"/>
            <wp:effectExtent l="0" t="0" r="1270" b="1270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4"/>
                    <a:stretch>
                      <a:fillRect/>
                    </a:stretch>
                  </pic:blipFill>
                  <pic:spPr>
                    <a:xfrm>
                      <a:off x="0" y="0"/>
                      <a:ext cx="5313680" cy="4025900"/>
                    </a:xfrm>
                    <a:prstGeom prst="rect">
                      <a:avLst/>
                    </a:prstGeom>
                    <a:noFill/>
                    <a:ln>
                      <a:noFill/>
                    </a:ln>
                  </pic:spPr>
                </pic:pic>
              </a:graphicData>
            </a:graphic>
          </wp:inline>
        </w:drawing>
      </w:r>
    </w:p>
    <w:p>
      <w:pPr>
        <w:pStyle w:val="6"/>
        <w:spacing w:before="93"/>
        <w:jc w:val="center"/>
        <w:rPr>
          <w:rFonts w:ascii="Times New Roman" w:hAnsi="Times New Roman" w:cs="宋体"/>
          <w:color w:val="auto"/>
          <w:sz w:val="32"/>
          <w:szCs w:val="32"/>
          <w:highlight w:val="none"/>
          <w:shd w:val="clear" w:color="auto" w:fill="FFFFFF"/>
          <w:lang w:val="zh-CN"/>
        </w:rPr>
      </w:pPr>
      <w:r>
        <w:drawing>
          <wp:inline distT="0" distB="0" distL="114300" distR="114300">
            <wp:extent cx="5314315" cy="3615055"/>
            <wp:effectExtent l="0" t="0" r="635"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65"/>
                    <a:stretch>
                      <a:fillRect/>
                    </a:stretch>
                  </pic:blipFill>
                  <pic:spPr>
                    <a:xfrm>
                      <a:off x="0" y="0"/>
                      <a:ext cx="5314315" cy="3615055"/>
                    </a:xfrm>
                    <a:prstGeom prst="rect">
                      <a:avLst/>
                    </a:prstGeom>
                    <a:noFill/>
                    <a:ln>
                      <a:noFill/>
                    </a:ln>
                  </pic:spPr>
                </pic:pic>
              </a:graphicData>
            </a:graphic>
          </wp:inline>
        </w:drawing>
      </w:r>
      <w:r>
        <w:drawing>
          <wp:inline distT="0" distB="0" distL="114300" distR="114300">
            <wp:extent cx="5266690" cy="4227830"/>
            <wp:effectExtent l="0" t="0" r="10160"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6"/>
                    <a:stretch>
                      <a:fillRect/>
                    </a:stretch>
                  </pic:blipFill>
                  <pic:spPr>
                    <a:xfrm>
                      <a:off x="0" y="0"/>
                      <a:ext cx="5266690" cy="4227830"/>
                    </a:xfrm>
                    <a:prstGeom prst="rect">
                      <a:avLst/>
                    </a:prstGeom>
                    <a:noFill/>
                    <a:ln>
                      <a:noFill/>
                    </a:ln>
                  </pic:spPr>
                </pic:pic>
              </a:graphicData>
            </a:graphic>
          </wp:inline>
        </w:drawing>
      </w:r>
      <w:r>
        <w:drawing>
          <wp:inline distT="0" distB="0" distL="114300" distR="114300">
            <wp:extent cx="5266690" cy="4283075"/>
            <wp:effectExtent l="0" t="0" r="1016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67"/>
                    <a:stretch>
                      <a:fillRect/>
                    </a:stretch>
                  </pic:blipFill>
                  <pic:spPr>
                    <a:xfrm>
                      <a:off x="0" y="0"/>
                      <a:ext cx="5266690" cy="4283075"/>
                    </a:xfrm>
                    <a:prstGeom prst="rect">
                      <a:avLst/>
                    </a:prstGeom>
                    <a:noFill/>
                    <a:ln>
                      <a:noFill/>
                    </a:ln>
                  </pic:spPr>
                </pic:pic>
              </a:graphicData>
            </a:graphic>
          </wp:inline>
        </w:drawing>
      </w:r>
      <w:r>
        <w:drawing>
          <wp:inline distT="0" distB="0" distL="114300" distR="114300">
            <wp:extent cx="5266690" cy="4123055"/>
            <wp:effectExtent l="0" t="0" r="10160" b="1079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68"/>
                    <a:stretch>
                      <a:fillRect/>
                    </a:stretch>
                  </pic:blipFill>
                  <pic:spPr>
                    <a:xfrm>
                      <a:off x="0" y="0"/>
                      <a:ext cx="5266690" cy="4123055"/>
                    </a:xfrm>
                    <a:prstGeom prst="rect">
                      <a:avLst/>
                    </a:prstGeom>
                    <a:noFill/>
                    <a:ln>
                      <a:noFill/>
                    </a:ln>
                  </pic:spPr>
                </pic:pic>
              </a:graphicData>
            </a:graphic>
          </wp:inline>
        </w:drawing>
      </w:r>
      <w:r>
        <w:drawing>
          <wp:inline distT="0" distB="0" distL="114300" distR="114300">
            <wp:extent cx="5266690" cy="4469765"/>
            <wp:effectExtent l="0" t="0" r="1016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69"/>
                    <a:stretch>
                      <a:fillRect/>
                    </a:stretch>
                  </pic:blipFill>
                  <pic:spPr>
                    <a:xfrm>
                      <a:off x="0" y="0"/>
                      <a:ext cx="5266690" cy="4469765"/>
                    </a:xfrm>
                    <a:prstGeom prst="rect">
                      <a:avLst/>
                    </a:prstGeom>
                    <a:noFill/>
                    <a:ln>
                      <a:noFill/>
                    </a:ln>
                  </pic:spPr>
                </pic:pic>
              </a:graphicData>
            </a:graphic>
          </wp:inline>
        </w:drawing>
      </w:r>
      <w:r>
        <w:drawing>
          <wp:inline distT="0" distB="0" distL="114300" distR="114300">
            <wp:extent cx="5390515" cy="3935730"/>
            <wp:effectExtent l="0" t="0" r="635"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70"/>
                    <a:stretch>
                      <a:fillRect/>
                    </a:stretch>
                  </pic:blipFill>
                  <pic:spPr>
                    <a:xfrm>
                      <a:off x="0" y="0"/>
                      <a:ext cx="5390515" cy="3935730"/>
                    </a:xfrm>
                    <a:prstGeom prst="rect">
                      <a:avLst/>
                    </a:prstGeom>
                    <a:noFill/>
                    <a:ln>
                      <a:noFill/>
                    </a:ln>
                  </pic:spPr>
                </pic:pic>
              </a:graphicData>
            </a:graphic>
          </wp:inline>
        </w:drawing>
      </w:r>
      <w:r>
        <w:drawing>
          <wp:inline distT="0" distB="0" distL="114300" distR="114300">
            <wp:extent cx="5390515" cy="4689475"/>
            <wp:effectExtent l="0" t="0" r="635" b="158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71"/>
                    <a:stretch>
                      <a:fillRect/>
                    </a:stretch>
                  </pic:blipFill>
                  <pic:spPr>
                    <a:xfrm>
                      <a:off x="0" y="0"/>
                      <a:ext cx="5390515" cy="4689475"/>
                    </a:xfrm>
                    <a:prstGeom prst="rect">
                      <a:avLst/>
                    </a:prstGeom>
                    <a:noFill/>
                    <a:ln>
                      <a:noFill/>
                    </a:ln>
                  </pic:spPr>
                </pic:pic>
              </a:graphicData>
            </a:graphic>
          </wp:inline>
        </w:drawing>
      </w:r>
      <w:r>
        <w:drawing>
          <wp:inline distT="0" distB="0" distL="114300" distR="114300">
            <wp:extent cx="5266690" cy="4184015"/>
            <wp:effectExtent l="0" t="0" r="1016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72"/>
                    <a:stretch>
                      <a:fillRect/>
                    </a:stretch>
                  </pic:blipFill>
                  <pic:spPr>
                    <a:xfrm>
                      <a:off x="0" y="0"/>
                      <a:ext cx="5266690" cy="4184015"/>
                    </a:xfrm>
                    <a:prstGeom prst="rect">
                      <a:avLst/>
                    </a:prstGeom>
                    <a:noFill/>
                    <a:ln>
                      <a:noFill/>
                    </a:ln>
                  </pic:spPr>
                </pic:pic>
              </a:graphicData>
            </a:graphic>
          </wp:inline>
        </w:drawing>
      </w:r>
      <w:r>
        <w:drawing>
          <wp:inline distT="0" distB="0" distL="114300" distR="114300">
            <wp:extent cx="5266690" cy="4366895"/>
            <wp:effectExtent l="0" t="0" r="10160" b="146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73"/>
                    <a:stretch>
                      <a:fillRect/>
                    </a:stretch>
                  </pic:blipFill>
                  <pic:spPr>
                    <a:xfrm>
                      <a:off x="0" y="0"/>
                      <a:ext cx="5266690" cy="4366895"/>
                    </a:xfrm>
                    <a:prstGeom prst="rect">
                      <a:avLst/>
                    </a:prstGeom>
                    <a:noFill/>
                    <a:ln>
                      <a:noFill/>
                    </a:ln>
                  </pic:spPr>
                </pic:pic>
              </a:graphicData>
            </a:graphic>
          </wp:inline>
        </w:drawing>
      </w:r>
      <w:r>
        <w:drawing>
          <wp:inline distT="0" distB="0" distL="114300" distR="114300">
            <wp:extent cx="5266690" cy="4164330"/>
            <wp:effectExtent l="0" t="0" r="10160"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74"/>
                    <a:stretch>
                      <a:fillRect/>
                    </a:stretch>
                  </pic:blipFill>
                  <pic:spPr>
                    <a:xfrm>
                      <a:off x="0" y="0"/>
                      <a:ext cx="5266690" cy="4164330"/>
                    </a:xfrm>
                    <a:prstGeom prst="rect">
                      <a:avLst/>
                    </a:prstGeom>
                    <a:noFill/>
                    <a:ln>
                      <a:noFill/>
                    </a:ln>
                  </pic:spPr>
                </pic:pic>
              </a:graphicData>
            </a:graphic>
          </wp:inline>
        </w:drawing>
      </w:r>
      <w:r>
        <w:drawing>
          <wp:inline distT="0" distB="0" distL="114300" distR="114300">
            <wp:extent cx="5266690" cy="4414520"/>
            <wp:effectExtent l="0" t="0" r="10160" b="508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75"/>
                    <a:stretch>
                      <a:fillRect/>
                    </a:stretch>
                  </pic:blipFill>
                  <pic:spPr>
                    <a:xfrm>
                      <a:off x="0" y="0"/>
                      <a:ext cx="5266690" cy="4414520"/>
                    </a:xfrm>
                    <a:prstGeom prst="rect">
                      <a:avLst/>
                    </a:prstGeom>
                    <a:noFill/>
                    <a:ln>
                      <a:noFill/>
                    </a:ln>
                  </pic:spPr>
                </pic:pic>
              </a:graphicData>
            </a:graphic>
          </wp:inline>
        </w:drawing>
      </w:r>
      <w:r>
        <w:drawing>
          <wp:inline distT="0" distB="0" distL="114300" distR="114300">
            <wp:extent cx="5266690" cy="4100195"/>
            <wp:effectExtent l="0" t="0" r="10160" b="146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76"/>
                    <a:stretch>
                      <a:fillRect/>
                    </a:stretch>
                  </pic:blipFill>
                  <pic:spPr>
                    <a:xfrm>
                      <a:off x="0" y="0"/>
                      <a:ext cx="5266690" cy="4100195"/>
                    </a:xfrm>
                    <a:prstGeom prst="rect">
                      <a:avLst/>
                    </a:prstGeom>
                    <a:noFill/>
                    <a:ln>
                      <a:noFill/>
                    </a:ln>
                  </pic:spPr>
                </pic:pic>
              </a:graphicData>
            </a:graphic>
          </wp:inline>
        </w:drawing>
      </w:r>
      <w:r>
        <w:drawing>
          <wp:inline distT="0" distB="0" distL="114300" distR="114300">
            <wp:extent cx="5266690" cy="4493895"/>
            <wp:effectExtent l="0" t="0" r="10160" b="19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77"/>
                    <a:stretch>
                      <a:fillRect/>
                    </a:stretch>
                  </pic:blipFill>
                  <pic:spPr>
                    <a:xfrm>
                      <a:off x="0" y="0"/>
                      <a:ext cx="5266690" cy="4493895"/>
                    </a:xfrm>
                    <a:prstGeom prst="rect">
                      <a:avLst/>
                    </a:prstGeom>
                    <a:noFill/>
                    <a:ln>
                      <a:noFill/>
                    </a:ln>
                  </pic:spPr>
                </pic:pic>
              </a:graphicData>
            </a:graphic>
          </wp:inline>
        </w:drawing>
      </w:r>
      <w:r>
        <w:drawing>
          <wp:inline distT="0" distB="0" distL="114300" distR="114300">
            <wp:extent cx="5266690" cy="4046855"/>
            <wp:effectExtent l="0" t="0" r="10160" b="1079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78"/>
                    <a:stretch>
                      <a:fillRect/>
                    </a:stretch>
                  </pic:blipFill>
                  <pic:spPr>
                    <a:xfrm>
                      <a:off x="0" y="0"/>
                      <a:ext cx="5266690" cy="4046855"/>
                    </a:xfrm>
                    <a:prstGeom prst="rect">
                      <a:avLst/>
                    </a:prstGeom>
                    <a:noFill/>
                    <a:ln>
                      <a:noFill/>
                    </a:ln>
                  </pic:spPr>
                </pic:pic>
              </a:graphicData>
            </a:graphic>
          </wp:inline>
        </w:drawing>
      </w:r>
      <w:r>
        <w:drawing>
          <wp:inline distT="0" distB="0" distL="114300" distR="114300">
            <wp:extent cx="5266690" cy="4473575"/>
            <wp:effectExtent l="0" t="0" r="10160"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79"/>
                    <a:stretch>
                      <a:fillRect/>
                    </a:stretch>
                  </pic:blipFill>
                  <pic:spPr>
                    <a:xfrm>
                      <a:off x="0" y="0"/>
                      <a:ext cx="5266690" cy="4473575"/>
                    </a:xfrm>
                    <a:prstGeom prst="rect">
                      <a:avLst/>
                    </a:prstGeom>
                    <a:noFill/>
                    <a:ln>
                      <a:noFill/>
                    </a:ln>
                  </pic:spPr>
                </pic:pic>
              </a:graphicData>
            </a:graphic>
          </wp:inline>
        </w:drawing>
      </w:r>
      <w:r>
        <w:drawing>
          <wp:inline distT="0" distB="0" distL="114300" distR="114300">
            <wp:extent cx="5266690" cy="4511675"/>
            <wp:effectExtent l="0" t="0" r="10160" b="317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80"/>
                    <a:stretch>
                      <a:fillRect/>
                    </a:stretch>
                  </pic:blipFill>
                  <pic:spPr>
                    <a:xfrm>
                      <a:off x="0" y="0"/>
                      <a:ext cx="5266690" cy="4511675"/>
                    </a:xfrm>
                    <a:prstGeom prst="rect">
                      <a:avLst/>
                    </a:prstGeom>
                    <a:noFill/>
                    <a:ln>
                      <a:noFill/>
                    </a:ln>
                  </pic:spPr>
                </pic:pic>
              </a:graphicData>
            </a:graphic>
          </wp:inline>
        </w:drawing>
      </w:r>
      <w:r>
        <w:drawing>
          <wp:inline distT="0" distB="0" distL="114300" distR="114300">
            <wp:extent cx="5266690" cy="4196080"/>
            <wp:effectExtent l="0" t="0" r="10160" b="139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81"/>
                    <a:stretch>
                      <a:fillRect/>
                    </a:stretch>
                  </pic:blipFill>
                  <pic:spPr>
                    <a:xfrm>
                      <a:off x="0" y="0"/>
                      <a:ext cx="5266690" cy="4196080"/>
                    </a:xfrm>
                    <a:prstGeom prst="rect">
                      <a:avLst/>
                    </a:prstGeom>
                    <a:noFill/>
                    <a:ln>
                      <a:noFill/>
                    </a:ln>
                  </pic:spPr>
                </pic:pic>
              </a:graphicData>
            </a:graphic>
          </wp:inline>
        </w:drawing>
      </w:r>
      <w:r>
        <w:drawing>
          <wp:inline distT="0" distB="0" distL="114300" distR="114300">
            <wp:extent cx="5266690" cy="4469130"/>
            <wp:effectExtent l="0" t="0" r="10160" b="762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82"/>
                    <a:stretch>
                      <a:fillRect/>
                    </a:stretch>
                  </pic:blipFill>
                  <pic:spPr>
                    <a:xfrm>
                      <a:off x="0" y="0"/>
                      <a:ext cx="5266690" cy="4469130"/>
                    </a:xfrm>
                    <a:prstGeom prst="rect">
                      <a:avLst/>
                    </a:prstGeom>
                    <a:noFill/>
                    <a:ln>
                      <a:noFill/>
                    </a:ln>
                  </pic:spPr>
                </pic:pic>
              </a:graphicData>
            </a:graphic>
          </wp:inline>
        </w:drawing>
      </w:r>
      <w:r>
        <w:drawing>
          <wp:inline distT="0" distB="0" distL="114300" distR="114300">
            <wp:extent cx="5266690" cy="4100195"/>
            <wp:effectExtent l="0" t="0" r="10160" b="1460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83"/>
                    <a:stretch>
                      <a:fillRect/>
                    </a:stretch>
                  </pic:blipFill>
                  <pic:spPr>
                    <a:xfrm>
                      <a:off x="0" y="0"/>
                      <a:ext cx="5266690" cy="4100195"/>
                    </a:xfrm>
                    <a:prstGeom prst="rect">
                      <a:avLst/>
                    </a:prstGeom>
                    <a:noFill/>
                    <a:ln>
                      <a:noFill/>
                    </a:ln>
                  </pic:spPr>
                </pic:pic>
              </a:graphicData>
            </a:graphic>
          </wp:inline>
        </w:drawing>
      </w:r>
      <w:r>
        <w:drawing>
          <wp:inline distT="0" distB="0" distL="114300" distR="114300">
            <wp:extent cx="5266690" cy="4591685"/>
            <wp:effectExtent l="0" t="0" r="10160" b="184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84"/>
                    <a:stretch>
                      <a:fillRect/>
                    </a:stretch>
                  </pic:blipFill>
                  <pic:spPr>
                    <a:xfrm>
                      <a:off x="0" y="0"/>
                      <a:ext cx="5266690" cy="4591685"/>
                    </a:xfrm>
                    <a:prstGeom prst="rect">
                      <a:avLst/>
                    </a:prstGeom>
                    <a:noFill/>
                    <a:ln>
                      <a:noFill/>
                    </a:ln>
                  </pic:spPr>
                </pic:pic>
              </a:graphicData>
            </a:graphic>
          </wp:inline>
        </w:drawing>
      </w:r>
      <w:r>
        <w:drawing>
          <wp:inline distT="0" distB="0" distL="114300" distR="114300">
            <wp:extent cx="5266690" cy="3977005"/>
            <wp:effectExtent l="0" t="0" r="10160" b="444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85"/>
                    <a:stretch>
                      <a:fillRect/>
                    </a:stretch>
                  </pic:blipFill>
                  <pic:spPr>
                    <a:xfrm>
                      <a:off x="0" y="0"/>
                      <a:ext cx="5266690" cy="3977005"/>
                    </a:xfrm>
                    <a:prstGeom prst="rect">
                      <a:avLst/>
                    </a:prstGeom>
                    <a:noFill/>
                    <a:ln>
                      <a:noFill/>
                    </a:ln>
                  </pic:spPr>
                </pic:pic>
              </a:graphicData>
            </a:graphic>
          </wp:inline>
        </w:drawing>
      </w:r>
      <w:r>
        <w:drawing>
          <wp:inline distT="0" distB="0" distL="114300" distR="114300">
            <wp:extent cx="5266690" cy="4043045"/>
            <wp:effectExtent l="0" t="0" r="10160" b="1460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86"/>
                    <a:stretch>
                      <a:fillRect/>
                    </a:stretch>
                  </pic:blipFill>
                  <pic:spPr>
                    <a:xfrm>
                      <a:off x="0" y="0"/>
                      <a:ext cx="5266690" cy="4043045"/>
                    </a:xfrm>
                    <a:prstGeom prst="rect">
                      <a:avLst/>
                    </a:prstGeom>
                    <a:noFill/>
                    <a:ln>
                      <a:noFill/>
                    </a:ln>
                  </pic:spPr>
                </pic:pic>
              </a:graphicData>
            </a:graphic>
          </wp:inline>
        </w:drawing>
      </w:r>
      <w:r>
        <w:drawing>
          <wp:inline distT="0" distB="0" distL="114300" distR="114300">
            <wp:extent cx="5266690" cy="4629150"/>
            <wp:effectExtent l="0" t="0" r="1016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87"/>
                    <a:stretch>
                      <a:fillRect/>
                    </a:stretch>
                  </pic:blipFill>
                  <pic:spPr>
                    <a:xfrm>
                      <a:off x="0" y="0"/>
                      <a:ext cx="5266690" cy="4629150"/>
                    </a:xfrm>
                    <a:prstGeom prst="rect">
                      <a:avLst/>
                    </a:prstGeom>
                    <a:noFill/>
                    <a:ln>
                      <a:noFill/>
                    </a:ln>
                  </pic:spPr>
                </pic:pic>
              </a:graphicData>
            </a:graphic>
          </wp:inline>
        </w:drawing>
      </w:r>
      <w:r>
        <w:drawing>
          <wp:inline distT="0" distB="0" distL="114300" distR="114300">
            <wp:extent cx="5266690" cy="4253230"/>
            <wp:effectExtent l="0" t="0" r="10160" b="139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88"/>
                    <a:stretch>
                      <a:fillRect/>
                    </a:stretch>
                  </pic:blipFill>
                  <pic:spPr>
                    <a:xfrm>
                      <a:off x="0" y="0"/>
                      <a:ext cx="5266690" cy="4253230"/>
                    </a:xfrm>
                    <a:prstGeom prst="rect">
                      <a:avLst/>
                    </a:prstGeom>
                    <a:noFill/>
                    <a:ln>
                      <a:noFill/>
                    </a:ln>
                  </pic:spPr>
                </pic:pic>
              </a:graphicData>
            </a:graphic>
          </wp:inline>
        </w:drawing>
      </w:r>
      <w:r>
        <w:drawing>
          <wp:inline distT="0" distB="0" distL="114300" distR="114300">
            <wp:extent cx="5266690" cy="4404995"/>
            <wp:effectExtent l="0" t="0" r="10160" b="146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89"/>
                    <a:stretch>
                      <a:fillRect/>
                    </a:stretch>
                  </pic:blipFill>
                  <pic:spPr>
                    <a:xfrm>
                      <a:off x="0" y="0"/>
                      <a:ext cx="5266690" cy="4404995"/>
                    </a:xfrm>
                    <a:prstGeom prst="rect">
                      <a:avLst/>
                    </a:prstGeom>
                    <a:noFill/>
                    <a:ln>
                      <a:noFill/>
                    </a:ln>
                  </pic:spPr>
                </pic:pic>
              </a:graphicData>
            </a:graphic>
          </wp:inline>
        </w:drawing>
      </w:r>
      <w:r>
        <w:drawing>
          <wp:inline distT="0" distB="0" distL="114300" distR="114300">
            <wp:extent cx="5266690" cy="4253230"/>
            <wp:effectExtent l="0" t="0" r="10160" b="139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90"/>
                    <a:stretch>
                      <a:fillRect/>
                    </a:stretch>
                  </pic:blipFill>
                  <pic:spPr>
                    <a:xfrm>
                      <a:off x="0" y="0"/>
                      <a:ext cx="5266690" cy="4253230"/>
                    </a:xfrm>
                    <a:prstGeom prst="rect">
                      <a:avLst/>
                    </a:prstGeom>
                    <a:noFill/>
                    <a:ln>
                      <a:noFill/>
                    </a:ln>
                  </pic:spPr>
                </pic:pic>
              </a:graphicData>
            </a:graphic>
          </wp:inline>
        </w:drawing>
      </w:r>
      <w:r>
        <w:drawing>
          <wp:inline distT="0" distB="0" distL="114300" distR="114300">
            <wp:extent cx="5266690" cy="4328795"/>
            <wp:effectExtent l="0" t="0" r="10160" b="1460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91"/>
                    <a:stretch>
                      <a:fillRect/>
                    </a:stretch>
                  </pic:blipFill>
                  <pic:spPr>
                    <a:xfrm>
                      <a:off x="0" y="0"/>
                      <a:ext cx="5266690" cy="4328795"/>
                    </a:xfrm>
                    <a:prstGeom prst="rect">
                      <a:avLst/>
                    </a:prstGeom>
                    <a:noFill/>
                    <a:ln>
                      <a:noFill/>
                    </a:ln>
                  </pic:spPr>
                </pic:pic>
              </a:graphicData>
            </a:graphic>
          </wp:inline>
        </w:drawing>
      </w:r>
      <w:r>
        <w:drawing>
          <wp:inline distT="0" distB="0" distL="114300" distR="114300">
            <wp:extent cx="5266690" cy="4548505"/>
            <wp:effectExtent l="0" t="0" r="10160" b="444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92"/>
                    <a:stretch>
                      <a:fillRect/>
                    </a:stretch>
                  </pic:blipFill>
                  <pic:spPr>
                    <a:xfrm>
                      <a:off x="0" y="0"/>
                      <a:ext cx="5266690" cy="4548505"/>
                    </a:xfrm>
                    <a:prstGeom prst="rect">
                      <a:avLst/>
                    </a:prstGeom>
                    <a:noFill/>
                    <a:ln>
                      <a:noFill/>
                    </a:ln>
                  </pic:spPr>
                </pic:pic>
              </a:graphicData>
            </a:graphic>
          </wp:inline>
        </w:drawing>
      </w:r>
      <w:r>
        <w:drawing>
          <wp:inline distT="0" distB="0" distL="114300" distR="114300">
            <wp:extent cx="5266690" cy="4156075"/>
            <wp:effectExtent l="0" t="0" r="10160" b="1587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93"/>
                    <a:stretch>
                      <a:fillRect/>
                    </a:stretch>
                  </pic:blipFill>
                  <pic:spPr>
                    <a:xfrm>
                      <a:off x="0" y="0"/>
                      <a:ext cx="5266690" cy="4156075"/>
                    </a:xfrm>
                    <a:prstGeom prst="rect">
                      <a:avLst/>
                    </a:prstGeom>
                    <a:noFill/>
                    <a:ln>
                      <a:noFill/>
                    </a:ln>
                  </pic:spPr>
                </pic:pic>
              </a:graphicData>
            </a:graphic>
          </wp:inline>
        </w:drawing>
      </w:r>
      <w:r>
        <w:drawing>
          <wp:inline distT="0" distB="0" distL="114300" distR="114300">
            <wp:extent cx="5294630" cy="4803140"/>
            <wp:effectExtent l="0" t="0" r="1270" b="1651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94"/>
                    <a:stretch>
                      <a:fillRect/>
                    </a:stretch>
                  </pic:blipFill>
                  <pic:spPr>
                    <a:xfrm>
                      <a:off x="0" y="0"/>
                      <a:ext cx="5294630" cy="4803140"/>
                    </a:xfrm>
                    <a:prstGeom prst="rect">
                      <a:avLst/>
                    </a:prstGeom>
                    <a:noFill/>
                    <a:ln>
                      <a:noFill/>
                    </a:ln>
                  </pic:spPr>
                </pic:pic>
              </a:graphicData>
            </a:graphic>
          </wp:inline>
        </w:drawing>
      </w:r>
    </w:p>
    <w:p>
      <w:pPr>
        <w:pStyle w:val="6"/>
        <w:bidi w:val="0"/>
        <w:jc w:val="center"/>
        <w:rPr>
          <w:rFonts w:hint="eastAsia" w:hAnsi="Times New Roman" w:eastAsia="仿宋_GB2312" w:cs="仿宋_GB2312"/>
          <w:sz w:val="32"/>
          <w:szCs w:val="32"/>
          <w:lang w:val="en-US" w:eastAsia="zh-CN"/>
        </w:rPr>
      </w:pPr>
      <w:r>
        <w:rPr>
          <w:rFonts w:ascii="Times New Roman" w:hAnsi="Times New Roman" w:eastAsia="宋体" w:cs="Times New Roman"/>
        </w:rPr>
        <w:drawing>
          <wp:inline distT="0" distB="0" distL="114300" distR="114300">
            <wp:extent cx="5323840" cy="3653790"/>
            <wp:effectExtent l="0" t="0" r="10160" b="3810"/>
            <wp:docPr id="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
                    <pic:cNvPicPr>
                      <a:picLocks noChangeAspect="1"/>
                    </pic:cNvPicPr>
                  </pic:nvPicPr>
                  <pic:blipFill>
                    <a:blip r:embed="rId95"/>
                    <a:stretch>
                      <a:fillRect/>
                    </a:stretch>
                  </pic:blipFill>
                  <pic:spPr>
                    <a:xfrm>
                      <a:off x="0" y="0"/>
                      <a:ext cx="5323840" cy="3653790"/>
                    </a:xfrm>
                    <a:prstGeom prst="rect">
                      <a:avLst/>
                    </a:prstGeom>
                    <a:noFill/>
                    <a:ln>
                      <a:noFill/>
                    </a:ln>
                  </pic:spPr>
                </pic:pic>
              </a:graphicData>
            </a:graphic>
          </wp:inline>
        </w:drawing>
      </w:r>
      <w:r>
        <w:rPr>
          <w:rFonts w:ascii="Times New Roman" w:hAnsi="Times New Roman" w:eastAsia="宋体" w:cs="Times New Roman"/>
        </w:rPr>
        <w:drawing>
          <wp:inline distT="0" distB="0" distL="114300" distR="114300">
            <wp:extent cx="5320665" cy="4107180"/>
            <wp:effectExtent l="0" t="0" r="13335" b="7620"/>
            <wp:docPr id="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pic:cNvPicPr>
                      <a:picLocks noChangeAspect="1"/>
                    </pic:cNvPicPr>
                  </pic:nvPicPr>
                  <pic:blipFill>
                    <a:blip r:embed="rId96"/>
                    <a:stretch>
                      <a:fillRect/>
                    </a:stretch>
                  </pic:blipFill>
                  <pic:spPr>
                    <a:xfrm>
                      <a:off x="0" y="0"/>
                      <a:ext cx="5320665" cy="4107180"/>
                    </a:xfrm>
                    <a:prstGeom prst="rect">
                      <a:avLst/>
                    </a:prstGeom>
                    <a:noFill/>
                    <a:ln>
                      <a:noFill/>
                    </a:ln>
                  </pic:spPr>
                </pic:pic>
              </a:graphicData>
            </a:graphic>
          </wp:inline>
        </w:drawing>
      </w:r>
      <w:r>
        <w:rPr>
          <w:rFonts w:ascii="Times New Roman" w:hAnsi="Times New Roman" w:eastAsia="宋体" w:cs="Times New Roman"/>
        </w:rPr>
        <w:drawing>
          <wp:inline distT="0" distB="0" distL="114300" distR="114300">
            <wp:extent cx="5328920" cy="4464685"/>
            <wp:effectExtent l="0" t="0" r="5080" b="12065"/>
            <wp:docPr id="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
                    <pic:cNvPicPr>
                      <a:picLocks noChangeAspect="1"/>
                    </pic:cNvPicPr>
                  </pic:nvPicPr>
                  <pic:blipFill>
                    <a:blip r:embed="rId97"/>
                    <a:stretch>
                      <a:fillRect/>
                    </a:stretch>
                  </pic:blipFill>
                  <pic:spPr>
                    <a:xfrm>
                      <a:off x="0" y="0"/>
                      <a:ext cx="5328920" cy="4464685"/>
                    </a:xfrm>
                    <a:prstGeom prst="rect">
                      <a:avLst/>
                    </a:prstGeom>
                    <a:noFill/>
                    <a:ln>
                      <a:noFill/>
                    </a:ln>
                  </pic:spPr>
                </pic:pic>
              </a:graphicData>
            </a:graphic>
          </wp:inline>
        </w:drawing>
      </w:r>
      <w:r>
        <w:rPr>
          <w:rFonts w:ascii="Times New Roman" w:hAnsi="Times New Roman" w:eastAsia="宋体" w:cs="Times New Roman"/>
        </w:rPr>
        <w:drawing>
          <wp:inline distT="0" distB="0" distL="114300" distR="114300">
            <wp:extent cx="5269865" cy="4273550"/>
            <wp:effectExtent l="0" t="0" r="6985" b="12700"/>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
                    <pic:cNvPicPr>
                      <a:picLocks noChangeAspect="1"/>
                    </pic:cNvPicPr>
                  </pic:nvPicPr>
                  <pic:blipFill>
                    <a:blip r:embed="rId98"/>
                    <a:stretch>
                      <a:fillRect/>
                    </a:stretch>
                  </pic:blipFill>
                  <pic:spPr>
                    <a:xfrm>
                      <a:off x="0" y="0"/>
                      <a:ext cx="5269865" cy="4273550"/>
                    </a:xfrm>
                    <a:prstGeom prst="rect">
                      <a:avLst/>
                    </a:prstGeom>
                    <a:noFill/>
                    <a:ln>
                      <a:noFill/>
                    </a:ln>
                  </pic:spPr>
                </pic:pic>
              </a:graphicData>
            </a:graphic>
          </wp:inline>
        </w:drawing>
      </w:r>
      <w:r>
        <w:rPr>
          <w:rFonts w:ascii="Times New Roman" w:hAnsi="Times New Roman" w:eastAsia="宋体" w:cs="Times New Roman"/>
        </w:rPr>
        <w:drawing>
          <wp:inline distT="0" distB="0" distL="114300" distR="114300">
            <wp:extent cx="5281930" cy="4237990"/>
            <wp:effectExtent l="0" t="0" r="13970" b="10160"/>
            <wp:docPr id="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
                    <pic:cNvPicPr>
                      <a:picLocks noChangeAspect="1"/>
                    </pic:cNvPicPr>
                  </pic:nvPicPr>
                  <pic:blipFill>
                    <a:blip r:embed="rId99"/>
                    <a:stretch>
                      <a:fillRect/>
                    </a:stretch>
                  </pic:blipFill>
                  <pic:spPr>
                    <a:xfrm>
                      <a:off x="0" y="0"/>
                      <a:ext cx="5281930" cy="4237990"/>
                    </a:xfrm>
                    <a:prstGeom prst="rect">
                      <a:avLst/>
                    </a:prstGeom>
                    <a:noFill/>
                    <a:ln>
                      <a:noFill/>
                    </a:ln>
                  </pic:spPr>
                </pic:pic>
              </a:graphicData>
            </a:graphic>
          </wp:inline>
        </w:drawing>
      </w:r>
      <w:r>
        <w:rPr>
          <w:rFonts w:ascii="Times New Roman" w:hAnsi="Times New Roman" w:eastAsia="宋体" w:cs="Times New Roman"/>
        </w:rPr>
        <w:drawing>
          <wp:inline distT="0" distB="0" distL="114300" distR="114300">
            <wp:extent cx="5280025" cy="4139565"/>
            <wp:effectExtent l="0" t="0" r="15875" b="13335"/>
            <wp:docPr id="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
                    <pic:cNvPicPr>
                      <a:picLocks noChangeAspect="1"/>
                    </pic:cNvPicPr>
                  </pic:nvPicPr>
                  <pic:blipFill>
                    <a:blip r:embed="rId100"/>
                    <a:stretch>
                      <a:fillRect/>
                    </a:stretch>
                  </pic:blipFill>
                  <pic:spPr>
                    <a:xfrm>
                      <a:off x="0" y="0"/>
                      <a:ext cx="5280025" cy="4139565"/>
                    </a:xfrm>
                    <a:prstGeom prst="rect">
                      <a:avLst/>
                    </a:prstGeom>
                    <a:noFill/>
                    <a:ln>
                      <a:noFill/>
                    </a:ln>
                  </pic:spPr>
                </pic:pic>
              </a:graphicData>
            </a:graphic>
          </wp:inline>
        </w:drawing>
      </w:r>
      <w:r>
        <w:rPr>
          <w:rFonts w:ascii="Times New Roman" w:hAnsi="Times New Roman" w:eastAsia="宋体" w:cs="Times New Roman"/>
        </w:rPr>
        <w:drawing>
          <wp:inline distT="0" distB="0" distL="114300" distR="114300">
            <wp:extent cx="5290820" cy="4393565"/>
            <wp:effectExtent l="0" t="0" r="5080" b="6985"/>
            <wp:docPr id="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
                    <pic:cNvPicPr>
                      <a:picLocks noChangeAspect="1"/>
                    </pic:cNvPicPr>
                  </pic:nvPicPr>
                  <pic:blipFill>
                    <a:blip r:embed="rId101"/>
                    <a:stretch>
                      <a:fillRect/>
                    </a:stretch>
                  </pic:blipFill>
                  <pic:spPr>
                    <a:xfrm>
                      <a:off x="0" y="0"/>
                      <a:ext cx="5290820" cy="4393565"/>
                    </a:xfrm>
                    <a:prstGeom prst="rect">
                      <a:avLst/>
                    </a:prstGeom>
                    <a:noFill/>
                    <a:ln>
                      <a:noFill/>
                    </a:ln>
                  </pic:spPr>
                </pic:pic>
              </a:graphicData>
            </a:graphic>
          </wp:inline>
        </w:drawing>
      </w:r>
      <w:r>
        <w:rPr>
          <w:rFonts w:ascii="Times New Roman" w:hAnsi="Times New Roman" w:eastAsia="宋体" w:cs="Times New Roman"/>
        </w:rPr>
        <w:drawing>
          <wp:inline distT="0" distB="0" distL="114300" distR="114300">
            <wp:extent cx="5242560" cy="4524375"/>
            <wp:effectExtent l="0" t="0" r="15240" b="9525"/>
            <wp:docPr id="4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8"/>
                    <pic:cNvPicPr>
                      <a:picLocks noChangeAspect="1"/>
                    </pic:cNvPicPr>
                  </pic:nvPicPr>
                  <pic:blipFill>
                    <a:blip r:embed="rId102"/>
                    <a:stretch>
                      <a:fillRect/>
                    </a:stretch>
                  </pic:blipFill>
                  <pic:spPr>
                    <a:xfrm>
                      <a:off x="0" y="0"/>
                      <a:ext cx="5242560" cy="4524375"/>
                    </a:xfrm>
                    <a:prstGeom prst="rect">
                      <a:avLst/>
                    </a:prstGeom>
                    <a:noFill/>
                    <a:ln>
                      <a:noFill/>
                    </a:ln>
                  </pic:spPr>
                </pic:pic>
              </a:graphicData>
            </a:graphic>
          </wp:inline>
        </w:drawing>
      </w:r>
    </w:p>
    <w:p>
      <w:pPr>
        <w:widowControl w:val="0"/>
        <w:bidi w:val="0"/>
        <w:spacing w:beforeLines="30"/>
        <w:jc w:val="both"/>
        <w:rPr>
          <w:rFonts w:hint="eastAsia" w:ascii="仿宋_GB2312" w:hAnsi="Times New Roman" w:eastAsia="仿宋_GB2312" w:cs="Times New Roman"/>
          <w:kern w:val="0"/>
          <w:sz w:val="30"/>
          <w:szCs w:val="24"/>
          <w:lang w:val="en-US" w:eastAsia="zh-CN" w:bidi="ar-SA"/>
        </w:rPr>
      </w:pPr>
      <w:r>
        <w:rPr>
          <w:rFonts w:ascii="仿宋_GB2312" w:hAnsi="Times New Roman" w:eastAsia="仿宋_GB2312" w:cs="Times New Roman"/>
          <w:kern w:val="0"/>
          <w:sz w:val="30"/>
          <w:szCs w:val="24"/>
          <w:lang w:val="en-US" w:eastAsia="zh-CN" w:bidi="ar-SA"/>
        </w:rPr>
        <w:drawing>
          <wp:anchor distT="0" distB="0" distL="114300" distR="114300" simplePos="0" relativeHeight="251661312" behindDoc="0" locked="0" layoutInCell="1" allowOverlap="1">
            <wp:simplePos x="0" y="0"/>
            <wp:positionH relativeFrom="column">
              <wp:posOffset>0</wp:posOffset>
            </wp:positionH>
            <wp:positionV relativeFrom="paragraph">
              <wp:posOffset>29210</wp:posOffset>
            </wp:positionV>
            <wp:extent cx="5222240" cy="4086225"/>
            <wp:effectExtent l="0" t="0" r="16510" b="9525"/>
            <wp:wrapNone/>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103"/>
                    <a:stretch>
                      <a:fillRect/>
                    </a:stretch>
                  </pic:blipFill>
                  <pic:spPr>
                    <a:xfrm>
                      <a:off x="0" y="0"/>
                      <a:ext cx="5222240" cy="4086225"/>
                    </a:xfrm>
                    <a:prstGeom prst="rect">
                      <a:avLst/>
                    </a:prstGeom>
                    <a:noFill/>
                    <a:ln>
                      <a:noFill/>
                    </a:ln>
                  </pic:spPr>
                </pic:pic>
              </a:graphicData>
            </a:graphic>
          </wp:anchor>
        </w:drawing>
      </w: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r>
        <w:rPr>
          <w:rFonts w:ascii="仿宋_GB2312" w:hAnsi="Times New Roman" w:eastAsia="仿宋_GB2312" w:cs="Times New Roman"/>
          <w:kern w:val="0"/>
          <w:sz w:val="30"/>
          <w:szCs w:val="24"/>
          <w:lang w:val="en-US" w:eastAsia="zh-CN" w:bidi="ar-SA"/>
        </w:rPr>
        <w:drawing>
          <wp:anchor distT="0" distB="0" distL="114300" distR="114300" simplePos="0" relativeHeight="251662336" behindDoc="0" locked="0" layoutInCell="1" allowOverlap="1">
            <wp:simplePos x="0" y="0"/>
            <wp:positionH relativeFrom="column">
              <wp:posOffset>76200</wp:posOffset>
            </wp:positionH>
            <wp:positionV relativeFrom="paragraph">
              <wp:posOffset>-3175</wp:posOffset>
            </wp:positionV>
            <wp:extent cx="5241925" cy="4032250"/>
            <wp:effectExtent l="0" t="0" r="15875" b="6350"/>
            <wp:wrapNone/>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104"/>
                    <a:stretch>
                      <a:fillRect/>
                    </a:stretch>
                  </pic:blipFill>
                  <pic:spPr>
                    <a:xfrm>
                      <a:off x="0" y="0"/>
                      <a:ext cx="5241925" cy="4032250"/>
                    </a:xfrm>
                    <a:prstGeom prst="rect">
                      <a:avLst/>
                    </a:prstGeom>
                    <a:noFill/>
                    <a:ln>
                      <a:noFill/>
                    </a:ln>
                  </pic:spPr>
                </pic:pic>
              </a:graphicData>
            </a:graphic>
          </wp:anchor>
        </w:drawing>
      </w: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r>
        <w:rPr>
          <w:rFonts w:ascii="仿宋_GB2312" w:hAnsi="Times New Roman" w:eastAsia="仿宋_GB2312" w:cs="Times New Roman"/>
          <w:kern w:val="0"/>
          <w:sz w:val="30"/>
          <w:szCs w:val="24"/>
          <w:lang w:val="en-US" w:eastAsia="zh-CN" w:bidi="ar-SA"/>
        </w:rPr>
        <w:drawing>
          <wp:anchor distT="0" distB="0" distL="114300" distR="114300" simplePos="0" relativeHeight="251663360" behindDoc="0" locked="0" layoutInCell="1" allowOverlap="1">
            <wp:simplePos x="0" y="0"/>
            <wp:positionH relativeFrom="column">
              <wp:posOffset>19050</wp:posOffset>
            </wp:positionH>
            <wp:positionV relativeFrom="paragraph">
              <wp:posOffset>106045</wp:posOffset>
            </wp:positionV>
            <wp:extent cx="5346065" cy="4660900"/>
            <wp:effectExtent l="0" t="0" r="6985" b="6350"/>
            <wp:wrapNone/>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105"/>
                    <a:stretch>
                      <a:fillRect/>
                    </a:stretch>
                  </pic:blipFill>
                  <pic:spPr>
                    <a:xfrm>
                      <a:off x="0" y="0"/>
                      <a:ext cx="5346065" cy="4660900"/>
                    </a:xfrm>
                    <a:prstGeom prst="rect">
                      <a:avLst/>
                    </a:prstGeom>
                    <a:noFill/>
                    <a:ln>
                      <a:noFill/>
                    </a:ln>
                  </pic:spPr>
                </pic:pic>
              </a:graphicData>
            </a:graphic>
          </wp:anchor>
        </w:drawing>
      </w: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ascii="仿宋_GB2312" w:hAnsi="Times New Roman" w:eastAsia="仿宋_GB2312" w:cs="Times New Roman"/>
          <w:kern w:val="0"/>
          <w:sz w:val="30"/>
          <w:szCs w:val="24"/>
          <w:lang w:val="en-US" w:eastAsia="zh-CN" w:bidi="ar-SA"/>
        </w:rPr>
      </w:pPr>
    </w:p>
    <w:p>
      <w:pPr>
        <w:widowControl w:val="0"/>
        <w:bidi w:val="0"/>
        <w:spacing w:beforeLines="30"/>
        <w:jc w:val="both"/>
        <w:rPr>
          <w:rFonts w:ascii="仿宋_GB2312" w:hAnsi="Times New Roman" w:eastAsia="仿宋_GB2312" w:cs="Times New Roman"/>
          <w:kern w:val="0"/>
          <w:sz w:val="30"/>
          <w:szCs w:val="24"/>
          <w:lang w:val="en-US" w:eastAsia="zh-CN" w:bidi="ar-SA"/>
        </w:rPr>
      </w:pPr>
      <w:r>
        <w:rPr>
          <w:rFonts w:ascii="仿宋_GB2312" w:hAnsi="Times New Roman" w:eastAsia="仿宋_GB2312" w:cs="Times New Roman"/>
          <w:kern w:val="0"/>
          <w:sz w:val="30"/>
          <w:szCs w:val="24"/>
          <w:lang w:val="en-US" w:eastAsia="zh-CN" w:bidi="ar-SA"/>
        </w:rPr>
        <w:drawing>
          <wp:anchor distT="0" distB="0" distL="114300" distR="114300" simplePos="0" relativeHeight="251664384" behindDoc="0" locked="0" layoutInCell="1" allowOverlap="1">
            <wp:simplePos x="0" y="0"/>
            <wp:positionH relativeFrom="column">
              <wp:posOffset>-47625</wp:posOffset>
            </wp:positionH>
            <wp:positionV relativeFrom="paragraph">
              <wp:posOffset>48895</wp:posOffset>
            </wp:positionV>
            <wp:extent cx="5311140" cy="4079240"/>
            <wp:effectExtent l="0" t="0" r="3810" b="16510"/>
            <wp:wrapNone/>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106"/>
                    <a:stretch>
                      <a:fillRect/>
                    </a:stretch>
                  </pic:blipFill>
                  <pic:spPr>
                    <a:xfrm>
                      <a:off x="0" y="0"/>
                      <a:ext cx="5311140" cy="4079240"/>
                    </a:xfrm>
                    <a:prstGeom prst="rect">
                      <a:avLst/>
                    </a:prstGeom>
                    <a:noFill/>
                    <a:ln>
                      <a:noFill/>
                    </a:ln>
                  </pic:spPr>
                </pic:pic>
              </a:graphicData>
            </a:graphic>
          </wp:anchor>
        </w:drawing>
      </w:r>
    </w:p>
    <w:p>
      <w:pPr>
        <w:widowControl w:val="0"/>
        <w:bidi w:val="0"/>
        <w:spacing w:beforeLines="30"/>
        <w:jc w:val="both"/>
        <w:rPr>
          <w:rFonts w:ascii="仿宋_GB2312" w:hAnsi="Times New Roman" w:eastAsia="仿宋_GB2312" w:cs="Times New Roman"/>
          <w:kern w:val="0"/>
          <w:sz w:val="30"/>
          <w:szCs w:val="24"/>
          <w:lang w:val="en-US" w:eastAsia="zh-CN" w:bidi="ar-SA"/>
        </w:rPr>
      </w:pPr>
    </w:p>
    <w:p>
      <w:pPr>
        <w:widowControl w:val="0"/>
        <w:bidi w:val="0"/>
        <w:spacing w:beforeLines="30"/>
        <w:jc w:val="both"/>
        <w:rPr>
          <w:rFonts w:ascii="仿宋_GB2312" w:hAnsi="Times New Roman" w:eastAsia="仿宋_GB2312" w:cs="Times New Roman"/>
          <w:kern w:val="0"/>
          <w:sz w:val="30"/>
          <w:szCs w:val="24"/>
          <w:lang w:val="en-US" w:eastAsia="zh-CN" w:bidi="ar-SA"/>
        </w:rPr>
      </w:pPr>
    </w:p>
    <w:p>
      <w:pPr>
        <w:widowControl w:val="0"/>
        <w:bidi w:val="0"/>
        <w:spacing w:beforeLines="30"/>
        <w:jc w:val="both"/>
        <w:rPr>
          <w:rFonts w:ascii="仿宋_GB2312" w:hAnsi="Times New Roman" w:eastAsia="仿宋_GB2312" w:cs="Times New Roman"/>
          <w:kern w:val="0"/>
          <w:sz w:val="30"/>
          <w:szCs w:val="24"/>
          <w:lang w:val="en-US" w:eastAsia="zh-CN" w:bidi="ar-SA"/>
        </w:rPr>
      </w:pPr>
    </w:p>
    <w:p>
      <w:pPr>
        <w:bidi w:val="0"/>
        <w:rPr>
          <w:rFonts w:ascii="仿宋_GB2312" w:hAnsi="Times New Roman" w:eastAsia="仿宋_GB2312" w:cs="Times New Roman"/>
          <w:kern w:val="0"/>
          <w:sz w:val="30"/>
          <w:szCs w:val="24"/>
          <w:lang w:val="en-US" w:eastAsia="zh-CN" w:bidi="ar-SA"/>
        </w:rPr>
      </w:pPr>
    </w:p>
    <w:p>
      <w:pPr>
        <w:bidi w:val="0"/>
        <w:rPr>
          <w:rFonts w:ascii="仿宋_GB2312" w:hAnsi="Times New Roman" w:eastAsia="仿宋_GB2312" w:cs="Times New Roman"/>
          <w:kern w:val="0"/>
          <w:sz w:val="30"/>
          <w:szCs w:val="24"/>
          <w:lang w:val="en-US" w:eastAsia="zh-CN" w:bidi="ar-SA"/>
        </w:rPr>
      </w:pPr>
    </w:p>
    <w:p>
      <w:pPr>
        <w:bidi w:val="0"/>
        <w:rPr>
          <w:rFonts w:ascii="仿宋_GB2312" w:hAnsi="Times New Roman" w:eastAsia="仿宋_GB2312" w:cs="Times New Roman"/>
          <w:kern w:val="0"/>
          <w:sz w:val="30"/>
          <w:szCs w:val="24"/>
          <w:lang w:val="en-US" w:eastAsia="zh-CN" w:bidi="ar-SA"/>
        </w:rPr>
      </w:pPr>
    </w:p>
    <w:p>
      <w:pPr>
        <w:bidi w:val="0"/>
        <w:rPr>
          <w:rFonts w:ascii="仿宋_GB2312" w:hAnsi="Times New Roman" w:eastAsia="仿宋_GB2312" w:cs="Times New Roman"/>
          <w:kern w:val="0"/>
          <w:sz w:val="30"/>
          <w:szCs w:val="24"/>
          <w:lang w:val="en-US" w:eastAsia="zh-CN" w:bidi="ar-SA"/>
        </w:rPr>
      </w:pPr>
    </w:p>
    <w:p>
      <w:pPr>
        <w:bidi w:val="0"/>
        <w:rPr>
          <w:rFonts w:ascii="仿宋_GB2312" w:hAnsi="Times New Roman" w:eastAsia="仿宋_GB2312" w:cs="Times New Roman"/>
          <w:kern w:val="0"/>
          <w:sz w:val="30"/>
          <w:szCs w:val="24"/>
          <w:lang w:val="en-US" w:eastAsia="zh-CN" w:bidi="ar-SA"/>
        </w:rPr>
      </w:pPr>
    </w:p>
    <w:p>
      <w:pPr>
        <w:bidi w:val="0"/>
        <w:rPr>
          <w:rFonts w:ascii="仿宋_GB2312" w:hAnsi="Times New Roman" w:eastAsia="仿宋_GB2312" w:cs="Times New Roman"/>
          <w:kern w:val="0"/>
          <w:sz w:val="30"/>
          <w:szCs w:val="24"/>
          <w:lang w:val="en-US" w:eastAsia="zh-CN" w:bidi="ar-SA"/>
        </w:rPr>
      </w:pPr>
    </w:p>
    <w:p>
      <w:pPr>
        <w:bidi w:val="0"/>
        <w:rPr>
          <w:rFonts w:ascii="仿宋_GB2312" w:hAnsi="Times New Roman" w:eastAsia="仿宋_GB2312" w:cs="Times New Roman"/>
          <w:kern w:val="0"/>
          <w:sz w:val="30"/>
          <w:szCs w:val="24"/>
          <w:lang w:val="en-US" w:eastAsia="zh-CN" w:bidi="ar-SA"/>
        </w:rPr>
      </w:pPr>
      <w:r>
        <w:rPr>
          <w:rFonts w:ascii="仿宋_GB2312" w:hAnsi="Times New Roman" w:eastAsia="仿宋_GB2312" w:cs="Times New Roman"/>
          <w:kern w:val="0"/>
          <w:sz w:val="30"/>
          <w:szCs w:val="24"/>
          <w:lang w:val="en-US" w:eastAsia="zh-CN" w:bidi="ar-SA"/>
        </w:rPr>
        <w:drawing>
          <wp:inline distT="0" distB="0" distL="114300" distR="114300">
            <wp:extent cx="5266690" cy="4415155"/>
            <wp:effectExtent l="0" t="0" r="10160" b="444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107"/>
                    <a:stretch>
                      <a:fillRect/>
                    </a:stretch>
                  </pic:blipFill>
                  <pic:spPr>
                    <a:xfrm>
                      <a:off x="0" y="0"/>
                      <a:ext cx="5266690" cy="4415155"/>
                    </a:xfrm>
                    <a:prstGeom prst="rect">
                      <a:avLst/>
                    </a:prstGeom>
                    <a:noFill/>
                    <a:ln>
                      <a:noFill/>
                    </a:ln>
                  </pic:spPr>
                </pic:pic>
              </a:graphicData>
            </a:graphic>
          </wp:inline>
        </w:drawing>
      </w:r>
    </w:p>
    <w:p>
      <w:pPr>
        <w:bidi w:val="0"/>
        <w:rPr>
          <w:rFonts w:hint="eastAsia"/>
          <w:lang w:val="en-US" w:eastAsia="zh-CN"/>
        </w:rPr>
        <w:sectPr>
          <w:footerReference r:id="rId15" w:type="first"/>
          <w:footerReference r:id="rId14" w:type="default"/>
          <w:pgSz w:w="11906" w:h="16838"/>
          <w:pgMar w:top="1440" w:right="1800" w:bottom="1440" w:left="1800" w:header="851" w:footer="992" w:gutter="0"/>
          <w:pgNumType w:fmt="decimal" w:start="49"/>
          <w:cols w:space="425" w:num="1"/>
          <w:titlePg/>
          <w:docGrid w:type="lines" w:linePitch="312" w:charSpace="0"/>
        </w:sect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r>
        <w:rPr>
          <w:rFonts w:ascii="仿宋_GB2312" w:hAnsi="Times New Roman" w:eastAsia="仿宋_GB2312" w:cs="Times New Roman"/>
          <w:kern w:val="0"/>
          <w:sz w:val="30"/>
          <w:szCs w:val="24"/>
          <w:lang w:val="en-US" w:eastAsia="zh-CN" w:bidi="ar-SA"/>
        </w:rPr>
        <w:drawing>
          <wp:inline distT="0" distB="0" distL="114300" distR="114300">
            <wp:extent cx="5256530" cy="4485005"/>
            <wp:effectExtent l="0" t="0" r="1270" b="1079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108"/>
                    <a:stretch>
                      <a:fillRect/>
                    </a:stretch>
                  </pic:blipFill>
                  <pic:spPr>
                    <a:xfrm>
                      <a:off x="0" y="0"/>
                      <a:ext cx="5256530" cy="4485005"/>
                    </a:xfrm>
                    <a:prstGeom prst="rect">
                      <a:avLst/>
                    </a:prstGeom>
                    <a:noFill/>
                    <a:ln>
                      <a:noFill/>
                    </a:ln>
                  </pic:spPr>
                </pic:pic>
              </a:graphicData>
            </a:graphic>
          </wp:inline>
        </w:drawing>
      </w:r>
      <w:r>
        <w:rPr>
          <w:rFonts w:ascii="仿宋_GB2312" w:hAnsi="Times New Roman" w:eastAsia="仿宋_GB2312" w:cs="Times New Roman"/>
          <w:kern w:val="0"/>
          <w:sz w:val="30"/>
          <w:szCs w:val="24"/>
          <w:lang w:val="en-US" w:eastAsia="zh-CN" w:bidi="ar-SA"/>
        </w:rPr>
        <w:drawing>
          <wp:inline distT="0" distB="0" distL="114300" distR="114300">
            <wp:extent cx="5266690" cy="3939540"/>
            <wp:effectExtent l="0" t="0" r="10160" b="381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109"/>
                    <a:stretch>
                      <a:fillRect/>
                    </a:stretch>
                  </pic:blipFill>
                  <pic:spPr>
                    <a:xfrm>
                      <a:off x="0" y="0"/>
                      <a:ext cx="5266690" cy="3939540"/>
                    </a:xfrm>
                    <a:prstGeom prst="rect">
                      <a:avLst/>
                    </a:prstGeom>
                    <a:noFill/>
                    <a:ln>
                      <a:noFill/>
                    </a:ln>
                  </pic:spPr>
                </pic:pic>
              </a:graphicData>
            </a:graphic>
          </wp:inline>
        </w:drawing>
      </w:r>
    </w:p>
    <w:p>
      <w:pPr>
        <w:widowControl w:val="0"/>
        <w:bidi w:val="0"/>
        <w:spacing w:beforeLines="30"/>
        <w:jc w:val="both"/>
        <w:rPr>
          <w:rFonts w:hint="eastAsia"/>
          <w:lang w:val="en-US" w:eastAsia="zh-CN"/>
        </w:rPr>
      </w:pPr>
      <w:r>
        <w:drawing>
          <wp:inline distT="0" distB="0" distL="114300" distR="114300">
            <wp:extent cx="5266690" cy="4231640"/>
            <wp:effectExtent l="0" t="0" r="10160" b="1651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110"/>
                    <a:stretch>
                      <a:fillRect/>
                    </a:stretch>
                  </pic:blipFill>
                  <pic:spPr>
                    <a:xfrm>
                      <a:off x="0" y="0"/>
                      <a:ext cx="5266690" cy="4231640"/>
                    </a:xfrm>
                    <a:prstGeom prst="rect">
                      <a:avLst/>
                    </a:prstGeom>
                    <a:noFill/>
                    <a:ln>
                      <a:noFill/>
                    </a:ln>
                  </pic:spPr>
                </pic:pic>
              </a:graphicData>
            </a:graphic>
          </wp:inline>
        </w:drawing>
      </w:r>
    </w:p>
    <w:p>
      <w:pPr>
        <w:widowControl/>
        <w:jc w:val="center"/>
        <w:rPr>
          <w:rFonts w:hint="eastAsia" w:eastAsia="黑体"/>
          <w:sz w:val="44"/>
          <w:szCs w:val="44"/>
        </w:rPr>
      </w:pPr>
      <w:r>
        <w:drawing>
          <wp:inline distT="0" distB="0" distL="114300" distR="114300">
            <wp:extent cx="5269230" cy="4071620"/>
            <wp:effectExtent l="0" t="0" r="7620" b="5080"/>
            <wp:docPr id="7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
                    <pic:cNvPicPr>
                      <a:picLocks noChangeAspect="1"/>
                    </pic:cNvPicPr>
                  </pic:nvPicPr>
                  <pic:blipFill>
                    <a:blip r:embed="rId111"/>
                    <a:stretch>
                      <a:fillRect/>
                    </a:stretch>
                  </pic:blipFill>
                  <pic:spPr>
                    <a:xfrm>
                      <a:off x="0" y="0"/>
                      <a:ext cx="5269230" cy="4071620"/>
                    </a:xfrm>
                    <a:prstGeom prst="rect">
                      <a:avLst/>
                    </a:prstGeom>
                    <a:noFill/>
                    <a:ln>
                      <a:noFill/>
                    </a:ln>
                  </pic:spPr>
                </pic:pic>
              </a:graphicData>
            </a:graphic>
          </wp:inline>
        </w:drawing>
      </w:r>
      <w:r>
        <w:drawing>
          <wp:inline distT="0" distB="0" distL="114300" distR="114300">
            <wp:extent cx="5269230" cy="4553585"/>
            <wp:effectExtent l="0" t="0" r="7620" b="18415"/>
            <wp:docPr id="7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8"/>
                    <pic:cNvPicPr>
                      <a:picLocks noChangeAspect="1"/>
                    </pic:cNvPicPr>
                  </pic:nvPicPr>
                  <pic:blipFill>
                    <a:blip r:embed="rId112"/>
                    <a:stretch>
                      <a:fillRect/>
                    </a:stretch>
                  </pic:blipFill>
                  <pic:spPr>
                    <a:xfrm>
                      <a:off x="0" y="0"/>
                      <a:ext cx="5269230" cy="4553585"/>
                    </a:xfrm>
                    <a:prstGeom prst="rect">
                      <a:avLst/>
                    </a:prstGeom>
                    <a:noFill/>
                    <a:ln>
                      <a:noFill/>
                    </a:ln>
                  </pic:spPr>
                </pic:pic>
              </a:graphicData>
            </a:graphic>
          </wp:inline>
        </w:drawing>
      </w:r>
    </w:p>
    <w:p>
      <w:pPr>
        <w:widowControl/>
        <w:jc w:val="center"/>
        <w:rPr>
          <w:rFonts w:hint="eastAsia" w:eastAsia="黑体"/>
          <w:sz w:val="44"/>
          <w:szCs w:val="44"/>
        </w:rPr>
      </w:pPr>
      <w:r>
        <w:drawing>
          <wp:inline distT="0" distB="0" distL="114300" distR="114300">
            <wp:extent cx="5269230" cy="4599940"/>
            <wp:effectExtent l="0" t="0" r="7620" b="10160"/>
            <wp:docPr id="7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9"/>
                    <pic:cNvPicPr>
                      <a:picLocks noChangeAspect="1"/>
                    </pic:cNvPicPr>
                  </pic:nvPicPr>
                  <pic:blipFill>
                    <a:blip r:embed="rId113"/>
                    <a:stretch>
                      <a:fillRect/>
                    </a:stretch>
                  </pic:blipFill>
                  <pic:spPr>
                    <a:xfrm>
                      <a:off x="0" y="0"/>
                      <a:ext cx="5269230" cy="4599940"/>
                    </a:xfrm>
                    <a:prstGeom prst="rect">
                      <a:avLst/>
                    </a:prstGeom>
                    <a:noFill/>
                    <a:ln>
                      <a:noFill/>
                    </a:ln>
                  </pic:spPr>
                </pic:pic>
              </a:graphicData>
            </a:graphic>
          </wp:inline>
        </w:drawing>
      </w:r>
      <w:r>
        <w:drawing>
          <wp:inline distT="0" distB="0" distL="114300" distR="114300">
            <wp:extent cx="5269230" cy="4015105"/>
            <wp:effectExtent l="0" t="0" r="7620" b="4445"/>
            <wp:docPr id="7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0"/>
                    <pic:cNvPicPr>
                      <a:picLocks noChangeAspect="1"/>
                    </pic:cNvPicPr>
                  </pic:nvPicPr>
                  <pic:blipFill>
                    <a:blip r:embed="rId114"/>
                    <a:stretch>
                      <a:fillRect/>
                    </a:stretch>
                  </pic:blipFill>
                  <pic:spPr>
                    <a:xfrm>
                      <a:off x="0" y="0"/>
                      <a:ext cx="5269230" cy="4015105"/>
                    </a:xfrm>
                    <a:prstGeom prst="rect">
                      <a:avLst/>
                    </a:prstGeom>
                    <a:noFill/>
                    <a:ln>
                      <a:noFill/>
                    </a:ln>
                  </pic:spPr>
                </pic:pic>
              </a:graphicData>
            </a:graphic>
          </wp:inline>
        </w:drawing>
      </w:r>
    </w:p>
    <w:p>
      <w:pPr>
        <w:widowControl/>
        <w:jc w:val="center"/>
        <w:rPr>
          <w:rFonts w:hint="eastAsia" w:eastAsia="黑体"/>
          <w:sz w:val="44"/>
          <w:szCs w:val="44"/>
        </w:rPr>
      </w:pPr>
      <w:r>
        <w:drawing>
          <wp:inline distT="0" distB="0" distL="114300" distR="114300">
            <wp:extent cx="5269230" cy="4062095"/>
            <wp:effectExtent l="0" t="0" r="7620" b="14605"/>
            <wp:docPr id="7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1"/>
                    <pic:cNvPicPr>
                      <a:picLocks noChangeAspect="1"/>
                    </pic:cNvPicPr>
                  </pic:nvPicPr>
                  <pic:blipFill>
                    <a:blip r:embed="rId115"/>
                    <a:stretch>
                      <a:fillRect/>
                    </a:stretch>
                  </pic:blipFill>
                  <pic:spPr>
                    <a:xfrm>
                      <a:off x="0" y="0"/>
                      <a:ext cx="5269230" cy="4062095"/>
                    </a:xfrm>
                    <a:prstGeom prst="rect">
                      <a:avLst/>
                    </a:prstGeom>
                    <a:noFill/>
                    <a:ln>
                      <a:noFill/>
                    </a:ln>
                  </pic:spPr>
                </pic:pic>
              </a:graphicData>
            </a:graphic>
          </wp:inline>
        </w:drawing>
      </w:r>
      <w:r>
        <w:drawing>
          <wp:inline distT="0" distB="0" distL="114300" distR="114300">
            <wp:extent cx="5269230" cy="4486910"/>
            <wp:effectExtent l="0" t="0" r="7620" b="8890"/>
            <wp:docPr id="7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2"/>
                    <pic:cNvPicPr>
                      <a:picLocks noChangeAspect="1"/>
                    </pic:cNvPicPr>
                  </pic:nvPicPr>
                  <pic:blipFill>
                    <a:blip r:embed="rId116"/>
                    <a:stretch>
                      <a:fillRect/>
                    </a:stretch>
                  </pic:blipFill>
                  <pic:spPr>
                    <a:xfrm>
                      <a:off x="0" y="0"/>
                      <a:ext cx="5269230" cy="4486910"/>
                    </a:xfrm>
                    <a:prstGeom prst="rect">
                      <a:avLst/>
                    </a:prstGeom>
                    <a:noFill/>
                    <a:ln>
                      <a:noFill/>
                    </a:ln>
                  </pic:spPr>
                </pic:pic>
              </a:graphicData>
            </a:graphic>
          </wp:inline>
        </w:drawing>
      </w:r>
    </w:p>
    <w:p>
      <w:pPr>
        <w:pStyle w:val="8"/>
        <w:ind w:left="0" w:leftChars="0" w:firstLine="0" w:firstLineChars="0"/>
        <w:rPr>
          <w:rFonts w:ascii="Times New Roman" w:hAnsi="Times New Roman" w:cs="Times New Roman"/>
        </w:rPr>
      </w:pPr>
      <w:r>
        <w:drawing>
          <wp:inline distT="0" distB="0" distL="114300" distR="114300">
            <wp:extent cx="5269230" cy="4358640"/>
            <wp:effectExtent l="0" t="0" r="7620" b="3810"/>
            <wp:docPr id="7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3"/>
                    <pic:cNvPicPr>
                      <a:picLocks noChangeAspect="1"/>
                    </pic:cNvPicPr>
                  </pic:nvPicPr>
                  <pic:blipFill>
                    <a:blip r:embed="rId117"/>
                    <a:stretch>
                      <a:fillRect/>
                    </a:stretch>
                  </pic:blipFill>
                  <pic:spPr>
                    <a:xfrm>
                      <a:off x="0" y="0"/>
                      <a:ext cx="5269230" cy="4358640"/>
                    </a:xfrm>
                    <a:prstGeom prst="rect">
                      <a:avLst/>
                    </a:prstGeom>
                    <a:noFill/>
                    <a:ln>
                      <a:noFill/>
                    </a:ln>
                  </pic:spPr>
                </pic:pic>
              </a:graphicData>
            </a:graphic>
          </wp:inline>
        </w:drawing>
      </w:r>
    </w:p>
    <w:p>
      <w:pPr>
        <w:jc w:val="both"/>
        <w:rPr>
          <w:rFonts w:ascii="Times New Roman" w:hAnsi="Times New Roman" w:cs="Times New Roman"/>
        </w:rPr>
      </w:pPr>
      <w:r>
        <w:drawing>
          <wp:inline distT="0" distB="0" distL="114300" distR="114300">
            <wp:extent cx="5268595" cy="4089400"/>
            <wp:effectExtent l="0" t="0" r="8255" b="6350"/>
            <wp:docPr id="8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
                    <pic:cNvPicPr>
                      <a:picLocks noChangeAspect="1"/>
                    </pic:cNvPicPr>
                  </pic:nvPicPr>
                  <pic:blipFill>
                    <a:blip r:embed="rId118"/>
                    <a:stretch>
                      <a:fillRect/>
                    </a:stretch>
                  </pic:blipFill>
                  <pic:spPr>
                    <a:xfrm>
                      <a:off x="0" y="0"/>
                      <a:ext cx="5268595" cy="4089400"/>
                    </a:xfrm>
                    <a:prstGeom prst="rect">
                      <a:avLst/>
                    </a:prstGeom>
                    <a:noFill/>
                    <a:ln>
                      <a:noFill/>
                    </a:ln>
                  </pic:spPr>
                </pic:pic>
              </a:graphicData>
            </a:graphic>
          </wp:inline>
        </w:drawing>
      </w:r>
    </w:p>
    <w:p>
      <w:pPr>
        <w:jc w:val="both"/>
        <w:rPr>
          <w:rFonts w:hint="eastAsia" w:ascii="Times New Roman" w:hAnsi="Times New Roman" w:eastAsia="黑体" w:cs="黑体"/>
          <w:kern w:val="0"/>
          <w:sz w:val="32"/>
          <w:szCs w:val="32"/>
          <w:shd w:val="clear" w:color="auto" w:fill="FFFFFF"/>
          <w:lang w:val="zh-CN"/>
        </w:rPr>
      </w:pPr>
      <w:r>
        <w:rPr>
          <w:rFonts w:hint="eastAsia" w:ascii="Times New Roman" w:hAnsi="Times New Roman" w:eastAsia="黑体" w:cs="黑体"/>
          <w:kern w:val="0"/>
          <w:sz w:val="32"/>
          <w:szCs w:val="32"/>
          <w:shd w:val="clear" w:color="auto" w:fill="FFFFFF"/>
          <w:lang w:val="zh-CN"/>
        </w:rPr>
        <w:br w:type="page"/>
      </w:r>
    </w:p>
    <w:p>
      <w:pPr>
        <w:jc w:val="both"/>
        <w:rPr>
          <w:rFonts w:hint="eastAsia" w:ascii="Times New Roman" w:hAnsi="Times New Roman" w:eastAsia="黑体" w:cs="Times New Roman"/>
          <w:sz w:val="44"/>
          <w:szCs w:val="44"/>
        </w:rPr>
      </w:pPr>
      <w:r>
        <w:drawing>
          <wp:inline distT="0" distB="0" distL="114300" distR="114300">
            <wp:extent cx="5071745" cy="4028440"/>
            <wp:effectExtent l="0" t="0" r="14605" b="10160"/>
            <wp:docPr id="8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5"/>
                    <pic:cNvPicPr>
                      <a:picLocks noChangeAspect="1"/>
                    </pic:cNvPicPr>
                  </pic:nvPicPr>
                  <pic:blipFill>
                    <a:blip r:embed="rId119"/>
                    <a:stretch>
                      <a:fillRect/>
                    </a:stretch>
                  </pic:blipFill>
                  <pic:spPr>
                    <a:xfrm>
                      <a:off x="0" y="0"/>
                      <a:ext cx="5071745" cy="4028440"/>
                    </a:xfrm>
                    <a:prstGeom prst="rect">
                      <a:avLst/>
                    </a:prstGeom>
                    <a:noFill/>
                    <a:ln>
                      <a:noFill/>
                    </a:ln>
                  </pic:spPr>
                </pic:pic>
              </a:graphicData>
            </a:graphic>
          </wp:inline>
        </w:drawing>
      </w:r>
      <w:r>
        <w:drawing>
          <wp:inline distT="0" distB="0" distL="114300" distR="114300">
            <wp:extent cx="5077460" cy="4460875"/>
            <wp:effectExtent l="0" t="0" r="8890" b="15875"/>
            <wp:docPr id="8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6"/>
                    <pic:cNvPicPr>
                      <a:picLocks noChangeAspect="1"/>
                    </pic:cNvPicPr>
                  </pic:nvPicPr>
                  <pic:blipFill>
                    <a:blip r:embed="rId120"/>
                    <a:stretch>
                      <a:fillRect/>
                    </a:stretch>
                  </pic:blipFill>
                  <pic:spPr>
                    <a:xfrm>
                      <a:off x="0" y="0"/>
                      <a:ext cx="5077460" cy="4460875"/>
                    </a:xfrm>
                    <a:prstGeom prst="rect">
                      <a:avLst/>
                    </a:prstGeom>
                    <a:noFill/>
                    <a:ln>
                      <a:noFill/>
                    </a:ln>
                  </pic:spPr>
                </pic:pic>
              </a:graphicData>
            </a:graphic>
          </wp:inline>
        </w:drawing>
      </w:r>
    </w:p>
    <w:p>
      <w:pPr>
        <w:jc w:val="both"/>
        <w:rPr>
          <w:rFonts w:hint="eastAsia" w:ascii="仿宋_GB2312" w:hAnsi="Times New Roman" w:eastAsia="仿宋_GB2312" w:cs="Times New Roman"/>
          <w:kern w:val="0"/>
          <w:sz w:val="30"/>
          <w:szCs w:val="24"/>
          <w:lang w:val="en-US" w:eastAsia="zh-CN" w:bidi="ar-SA"/>
        </w:rPr>
      </w:pPr>
      <w:r>
        <w:drawing>
          <wp:inline distT="0" distB="0" distL="114300" distR="114300">
            <wp:extent cx="5266690" cy="3892550"/>
            <wp:effectExtent l="0" t="0" r="10160" b="12700"/>
            <wp:docPr id="8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7"/>
                    <pic:cNvPicPr>
                      <a:picLocks noChangeAspect="1"/>
                    </pic:cNvPicPr>
                  </pic:nvPicPr>
                  <pic:blipFill>
                    <a:blip r:embed="rId121"/>
                    <a:stretch>
                      <a:fillRect/>
                    </a:stretch>
                  </pic:blipFill>
                  <pic:spPr>
                    <a:xfrm>
                      <a:off x="0" y="0"/>
                      <a:ext cx="5266690" cy="3892550"/>
                    </a:xfrm>
                    <a:prstGeom prst="rect">
                      <a:avLst/>
                    </a:prstGeom>
                    <a:noFill/>
                    <a:ln>
                      <a:noFill/>
                    </a:ln>
                  </pic:spPr>
                </pic:pic>
              </a:graphicData>
            </a:graphic>
          </wp:inline>
        </w:drawing>
      </w:r>
      <w:r>
        <w:drawing>
          <wp:inline distT="0" distB="0" distL="114300" distR="114300">
            <wp:extent cx="5266690" cy="4615815"/>
            <wp:effectExtent l="0" t="0" r="10160" b="13335"/>
            <wp:docPr id="8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
                    <pic:cNvPicPr>
                      <a:picLocks noChangeAspect="1"/>
                    </pic:cNvPicPr>
                  </pic:nvPicPr>
                  <pic:blipFill>
                    <a:blip r:embed="rId122"/>
                    <a:stretch>
                      <a:fillRect/>
                    </a:stretch>
                  </pic:blipFill>
                  <pic:spPr>
                    <a:xfrm>
                      <a:off x="0" y="0"/>
                      <a:ext cx="5266690" cy="4615815"/>
                    </a:xfrm>
                    <a:prstGeom prst="rect">
                      <a:avLst/>
                    </a:prstGeom>
                    <a:noFill/>
                    <a:ln>
                      <a:noFill/>
                    </a:ln>
                  </pic:spPr>
                </pic:pic>
              </a:graphicData>
            </a:graphic>
          </wp:inline>
        </w:drawing>
      </w:r>
    </w:p>
    <w:p>
      <w:pPr>
        <w:widowControl w:val="0"/>
        <w:bidi w:val="0"/>
        <w:spacing w:beforeLines="30"/>
        <w:jc w:val="both"/>
        <w:sectPr>
          <w:footerReference r:id="rId17" w:type="first"/>
          <w:footerReference r:id="rId16" w:type="default"/>
          <w:pgSz w:w="11906" w:h="16838"/>
          <w:pgMar w:top="1440" w:right="1800" w:bottom="1440" w:left="1800" w:header="851" w:footer="992" w:gutter="0"/>
          <w:pgNumType w:fmt="decimal" w:start="72"/>
          <w:cols w:space="425" w:num="1"/>
          <w:titlePg/>
          <w:docGrid w:type="lines" w:linePitch="312" w:charSpace="0"/>
        </w:sectPr>
      </w:pPr>
      <w:r>
        <w:drawing>
          <wp:inline distT="0" distB="0" distL="114300" distR="114300">
            <wp:extent cx="5266690" cy="4303395"/>
            <wp:effectExtent l="0" t="0" r="10160" b="1905"/>
            <wp:docPr id="9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
                    <pic:cNvPicPr>
                      <a:picLocks noChangeAspect="1"/>
                    </pic:cNvPicPr>
                  </pic:nvPicPr>
                  <pic:blipFill>
                    <a:blip r:embed="rId123"/>
                    <a:stretch>
                      <a:fillRect/>
                    </a:stretch>
                  </pic:blipFill>
                  <pic:spPr>
                    <a:xfrm>
                      <a:off x="0" y="0"/>
                      <a:ext cx="5266690" cy="4303395"/>
                    </a:xfrm>
                    <a:prstGeom prst="rect">
                      <a:avLst/>
                    </a:prstGeom>
                    <a:noFill/>
                    <a:ln>
                      <a:noFill/>
                    </a:ln>
                  </pic:spPr>
                </pic:pic>
              </a:graphicData>
            </a:graphic>
          </wp:inline>
        </w:drawing>
      </w:r>
      <w:r>
        <w:drawing>
          <wp:inline distT="0" distB="0" distL="114300" distR="114300">
            <wp:extent cx="5266690" cy="4215765"/>
            <wp:effectExtent l="0" t="0" r="10160" b="13335"/>
            <wp:docPr id="9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0"/>
                    <pic:cNvPicPr>
                      <a:picLocks noChangeAspect="1"/>
                    </pic:cNvPicPr>
                  </pic:nvPicPr>
                  <pic:blipFill>
                    <a:blip r:embed="rId124"/>
                    <a:stretch>
                      <a:fillRect/>
                    </a:stretch>
                  </pic:blipFill>
                  <pic:spPr>
                    <a:xfrm>
                      <a:off x="0" y="0"/>
                      <a:ext cx="5266690" cy="4215765"/>
                    </a:xfrm>
                    <a:prstGeom prst="rect">
                      <a:avLst/>
                    </a:prstGeom>
                    <a:noFill/>
                    <a:ln>
                      <a:noFill/>
                    </a:ln>
                  </pic:spPr>
                </pic:pic>
              </a:graphicData>
            </a:graphic>
          </wp:inline>
        </w:drawing>
      </w:r>
    </w:p>
    <w:p>
      <w:pPr>
        <w:widowControl w:val="0"/>
        <w:bidi w:val="0"/>
        <w:spacing w:beforeLines="30"/>
        <w:jc w:val="both"/>
        <w:rPr>
          <w:rFonts w:hint="eastAsia"/>
          <w:lang w:val="en-US" w:eastAsia="zh-CN"/>
        </w:rPr>
        <w:sectPr>
          <w:footerReference r:id="rId19" w:type="first"/>
          <w:footerReference r:id="rId18" w:type="default"/>
          <w:pgSz w:w="11906" w:h="16838"/>
          <w:pgMar w:top="1440" w:right="1800" w:bottom="1440" w:left="1800" w:header="851" w:footer="992" w:gutter="0"/>
          <w:pgNumType w:fmt="decimal" w:start="81"/>
          <w:cols w:space="425" w:num="1"/>
          <w:titlePg/>
          <w:docGrid w:type="lines" w:linePitch="312" w:charSpace="0"/>
        </w:sectPr>
      </w:pPr>
      <w:r>
        <w:rPr>
          <w:rFonts w:hint="eastAsia"/>
          <w:lang w:val="en-US" w:eastAsia="zh-CN"/>
        </w:rPr>
        <w:object>
          <v:shape id="_x0000_i1025" o:spt="75" type="#_x0000_t75" style="height:341.15pt;width:414.7pt;" o:ole="t" filled="f" o:preferrelative="t" stroked="f" coordsize="21600,21600">
            <v:path/>
            <v:fill on="f" focussize="0,0"/>
            <v:stroke on="f"/>
            <v:imagedata r:id="rId126" o:title=""/>
            <o:lock v:ext="edit" aspectratio="f"/>
            <w10:wrap type="none"/>
            <w10:anchorlock/>
          </v:shape>
          <o:OLEObject Type="Embed" ProgID="Excel.Sheet.12" ShapeID="_x0000_i1025" DrawAspect="Content" ObjectID="_1468075725" r:id="rId125">
            <o:LockedField>false</o:LockedField>
          </o:OLEObject>
        </w:object>
      </w:r>
      <w:r>
        <w:rPr>
          <w:rFonts w:hint="eastAsia"/>
          <w:lang w:val="en-US" w:eastAsia="zh-CN"/>
        </w:rPr>
        <w:object>
          <v:shape id="_x0000_i1026" o:spt="75" type="#_x0000_t75" style="height:328.45pt;width:414.7pt;" o:ole="t" filled="f" o:preferrelative="t" stroked="f" coordsize="21600,21600">
            <v:path/>
            <v:fill on="f" focussize="0,0"/>
            <v:stroke on="f"/>
            <v:imagedata r:id="rId128" o:title=""/>
            <o:lock v:ext="edit" aspectratio="f"/>
            <w10:wrap type="none"/>
            <w10:anchorlock/>
          </v:shape>
          <o:OLEObject Type="Embed" ProgID="Excel.Sheet.12" ShapeID="_x0000_i1026" DrawAspect="Content" ObjectID="_1468075726" r:id="rId127">
            <o:LockedField>false</o:LockedField>
          </o:OLEObject>
        </w:object>
      </w:r>
      <w:r>
        <w:rPr>
          <w:rFonts w:hint="eastAsia"/>
          <w:lang w:val="en-US" w:eastAsia="zh-CN"/>
        </w:rPr>
        <w:object>
          <v:shape id="_x0000_i1027" o:spt="75" type="#_x0000_t75" style="height:313.35pt;width:414.7pt;" o:ole="t" filled="f" o:preferrelative="t" stroked="f" coordsize="21600,21600">
            <v:path/>
            <v:fill on="f" focussize="0,0"/>
            <v:stroke on="f"/>
            <v:imagedata r:id="rId130" o:title=""/>
            <o:lock v:ext="edit" aspectratio="f"/>
            <w10:wrap type="none"/>
            <w10:anchorlock/>
          </v:shape>
          <o:OLEObject Type="Embed" ProgID="Excel.Sheet.12" ShapeID="_x0000_i1027" DrawAspect="Content" ObjectID="_1468075727" r:id="rId129">
            <o:LockedField>false</o:LockedField>
          </o:OLEObject>
        </w:object>
      </w:r>
      <w:r>
        <w:rPr>
          <w:rFonts w:hint="eastAsia"/>
          <w:lang w:val="en-US" w:eastAsia="zh-CN"/>
        </w:rPr>
        <w:object>
          <v:shape id="_x0000_i1028" o:spt="75" type="#_x0000_t75" style="height:320.15pt;width:414.7pt;" o:ole="t" filled="f" o:preferrelative="t" stroked="f" coordsize="21600,21600">
            <v:path/>
            <v:fill on="f" focussize="0,0"/>
            <v:stroke on="f"/>
            <v:imagedata r:id="rId132" o:title=""/>
            <o:lock v:ext="edit" aspectratio="f"/>
            <w10:wrap type="none"/>
            <w10:anchorlock/>
          </v:shape>
          <o:OLEObject Type="Embed" ProgID="Excel.Sheet.12" ShapeID="_x0000_i1028" DrawAspect="Content" ObjectID="_1468075728" r:id="rId131">
            <o:LockedField>false</o:LockedField>
          </o:OLEObject>
        </w:object>
      </w:r>
      <w:r>
        <w:rPr>
          <w:rFonts w:hint="eastAsia"/>
          <w:lang w:val="en-US" w:eastAsia="zh-CN"/>
        </w:rPr>
        <w:object>
          <v:shape id="_x0000_i1029" o:spt="75" type="#_x0000_t75" style="height:331.45pt;width:414.7pt;" o:ole="t" filled="f" o:preferrelative="t" stroked="f" coordsize="21600,21600">
            <v:path/>
            <v:fill on="f" focussize="0,0"/>
            <v:stroke on="f"/>
            <v:imagedata r:id="rId134" o:title=""/>
            <o:lock v:ext="edit" aspectratio="f"/>
            <w10:wrap type="none"/>
            <w10:anchorlock/>
          </v:shape>
          <o:OLEObject Type="Embed" ProgID="Excel.Sheet.12" ShapeID="_x0000_i1029" DrawAspect="Content" ObjectID="_1468075729" r:id="rId133">
            <o:LockedField>false</o:LockedField>
          </o:OLEObject>
        </w:object>
      </w:r>
      <w:r>
        <w:rPr>
          <w:rFonts w:hint="eastAsia"/>
          <w:lang w:val="en-US" w:eastAsia="zh-CN"/>
        </w:rPr>
        <w:object>
          <v:shape id="_x0000_i1030" o:spt="75" type="#_x0000_t75" style="height:329.15pt;width:414.7pt;" o:ole="t" filled="f" o:preferrelative="t" stroked="f" coordsize="21600,21600">
            <v:path/>
            <v:fill on="f" focussize="0,0"/>
            <v:stroke on="f"/>
            <v:imagedata r:id="rId136" o:title=""/>
            <o:lock v:ext="edit" aspectratio="f"/>
            <w10:wrap type="none"/>
            <w10:anchorlock/>
          </v:shape>
          <o:OLEObject Type="Embed" ProgID="Excel.Sheet.12" ShapeID="_x0000_i1030" DrawAspect="Content" ObjectID="_1468075730" r:id="rId135">
            <o:LockedField>false</o:LockedField>
          </o:OLEObject>
        </w:object>
      </w:r>
      <w:r>
        <w:rPr>
          <w:rFonts w:hint="eastAsia"/>
          <w:lang w:val="en-US" w:eastAsia="zh-CN"/>
        </w:rPr>
        <w:object>
          <v:shape id="_x0000_i1031" o:spt="75" type="#_x0000_t75" style="height:334.4pt;width:414.7pt;" o:ole="t" filled="f" o:preferrelative="t" stroked="f" coordsize="21600,21600">
            <v:path/>
            <v:fill on="f" focussize="0,0"/>
            <v:stroke on="f"/>
            <v:imagedata r:id="rId138" o:title=""/>
            <o:lock v:ext="edit" aspectratio="f"/>
            <w10:wrap type="none"/>
            <w10:anchorlock/>
          </v:shape>
          <o:OLEObject Type="Embed" ProgID="Excel.Sheet.12" ShapeID="_x0000_i1031" DrawAspect="Content" ObjectID="_1468075731" r:id="rId137">
            <o:LockedField>false</o:LockedField>
          </o:OLEObject>
        </w:object>
      </w:r>
      <w:r>
        <w:rPr>
          <w:rFonts w:hint="eastAsia"/>
          <w:lang w:val="en-US" w:eastAsia="zh-CN"/>
        </w:rPr>
        <w:object>
          <v:shape id="_x0000_i1032" o:spt="75" type="#_x0000_t75" style="height:323.2pt;width:414.7pt;" o:ole="t" filled="f" o:preferrelative="t" stroked="f" coordsize="21600,21600">
            <v:path/>
            <v:fill on="f" focussize="0,0"/>
            <v:stroke on="f"/>
            <v:imagedata r:id="rId140" o:title=""/>
            <o:lock v:ext="edit" aspectratio="f"/>
            <w10:wrap type="none"/>
            <w10:anchorlock/>
          </v:shape>
          <o:OLEObject Type="Embed" ProgID="Excel.Sheet.12" ShapeID="_x0000_i1032" DrawAspect="Content" ObjectID="_1468075732" r:id="rId139">
            <o:LockedField>false</o:LockedField>
          </o:OLEObject>
        </w:object>
      </w:r>
    </w:p>
    <w:p>
      <w:pPr>
        <w:widowControl w:val="0"/>
        <w:bidi w:val="0"/>
        <w:spacing w:beforeLines="30"/>
        <w:jc w:val="both"/>
        <w:rPr>
          <w:rFonts w:hint="eastAsia"/>
          <w:lang w:val="en-US" w:eastAsia="zh-CN"/>
        </w:rPr>
        <w:sectPr>
          <w:footerReference r:id="rId21" w:type="first"/>
          <w:footerReference r:id="rId20" w:type="default"/>
          <w:pgSz w:w="11906" w:h="16838"/>
          <w:pgMar w:top="1440" w:right="1800" w:bottom="1440" w:left="1800" w:header="851" w:footer="992" w:gutter="0"/>
          <w:pgNumType w:fmt="decimal" w:start="85"/>
          <w:cols w:space="425" w:num="1"/>
          <w:titlePg/>
          <w:docGrid w:type="lines" w:linePitch="312" w:charSpace="0"/>
        </w:sectPr>
      </w:pPr>
      <w:r>
        <w:rPr>
          <w:rFonts w:hint="eastAsia"/>
          <w:lang w:val="en-US" w:eastAsia="zh-CN"/>
        </w:rPr>
        <w:object>
          <v:shape id="_x0000_i1033" o:spt="75" type="#_x0000_t75" style="height:309.7pt;width:414.7pt;" o:ole="t" filled="f" o:preferrelative="t" stroked="f" coordsize="21600,21600">
            <v:path/>
            <v:fill on="f" focussize="0,0"/>
            <v:stroke on="f"/>
            <v:imagedata r:id="rId142" o:title=""/>
            <o:lock v:ext="edit" aspectratio="f"/>
            <w10:wrap type="none"/>
            <w10:anchorlock/>
          </v:shape>
          <o:OLEObject Type="Embed" ProgID="Excel.Sheet.12" ShapeID="_x0000_i1033" DrawAspect="Content" ObjectID="_1468075733" r:id="rId141">
            <o:LockedField>false</o:LockedField>
          </o:OLEObject>
        </w:object>
      </w:r>
      <w:r>
        <w:rPr>
          <w:rFonts w:hint="eastAsia"/>
          <w:lang w:val="en-US" w:eastAsia="zh-CN"/>
        </w:rPr>
        <w:object>
          <v:shape id="_x0000_i1034" o:spt="75" type="#_x0000_t75" style="height:364.35pt;width:414.7pt;" o:ole="t" filled="f" o:preferrelative="t" stroked="f" coordsize="21600,21600">
            <v:path/>
            <v:fill on="f" focussize="0,0"/>
            <v:stroke on="f"/>
            <v:imagedata r:id="rId144" o:title=""/>
            <o:lock v:ext="edit" aspectratio="f"/>
            <w10:wrap type="none"/>
            <w10:anchorlock/>
          </v:shape>
          <o:OLEObject Type="Embed" ProgID="Excel.Sheet.12" ShapeID="_x0000_i1034" DrawAspect="Content" ObjectID="_1468075734" r:id="rId143">
            <o:LockedField>false</o:LockedField>
          </o:OLEObject>
        </w:object>
      </w:r>
      <w:r>
        <w:rPr>
          <w:rFonts w:hint="eastAsia"/>
          <w:lang w:val="en-US" w:eastAsia="zh-CN"/>
        </w:rPr>
        <w:object>
          <v:shape id="_x0000_i1035" o:spt="75" type="#_x0000_t75" style="height:336.6pt;width:414.7pt;" o:ole="t" filled="f" o:preferrelative="t" stroked="f" coordsize="21600,21600">
            <v:path/>
            <v:fill on="f" focussize="0,0"/>
            <v:stroke on="f"/>
            <v:imagedata r:id="rId146" o:title=""/>
            <o:lock v:ext="edit" aspectratio="f"/>
            <w10:wrap type="none"/>
            <w10:anchorlock/>
          </v:shape>
          <o:OLEObject Type="Embed" ProgID="Excel.Sheet.12" ShapeID="_x0000_i1035" DrawAspect="Content" ObjectID="_1468075735" r:id="rId145">
            <o:LockedField>false</o:LockedField>
          </o:OLEObject>
        </w:object>
      </w:r>
      <w:r>
        <w:rPr>
          <w:rFonts w:hint="eastAsia"/>
          <w:lang w:val="en-US" w:eastAsia="zh-CN"/>
        </w:rPr>
        <w:object>
          <v:shape id="_x0000_i1036" o:spt="75" type="#_x0000_t75" style="height:340.35pt;width:414.7pt;" o:ole="t" filled="f" o:preferrelative="t" stroked="f" coordsize="21600,21600">
            <v:path/>
            <v:fill on="f" focussize="0,0"/>
            <v:stroke on="f"/>
            <v:imagedata r:id="rId148" o:title=""/>
            <o:lock v:ext="edit" aspectratio="f"/>
            <w10:wrap type="none"/>
            <w10:anchorlock/>
          </v:shape>
          <o:OLEObject Type="Embed" ProgID="Excel.Sheet.12" ShapeID="_x0000_i1036" DrawAspect="Content" ObjectID="_1468075736" r:id="rId147">
            <o:LockedField>false</o:LockedField>
          </o:OLEObject>
        </w:object>
      </w:r>
    </w:p>
    <w:p>
      <w:pPr>
        <w:widowControl w:val="0"/>
        <w:bidi w:val="0"/>
        <w:spacing w:beforeLines="30"/>
        <w:jc w:val="both"/>
        <w:rPr>
          <w:rFonts w:hint="eastAsia"/>
          <w:lang w:val="en-US" w:eastAsia="zh-CN"/>
        </w:rPr>
        <w:sectPr>
          <w:footerReference r:id="rId23" w:type="first"/>
          <w:footerReference r:id="rId22" w:type="default"/>
          <w:pgSz w:w="11906" w:h="16838"/>
          <w:pgMar w:top="1440" w:right="1800" w:bottom="1440" w:left="1800" w:header="851" w:footer="992" w:gutter="0"/>
          <w:pgNumType w:fmt="decimal" w:start="87"/>
          <w:cols w:space="425" w:num="1"/>
          <w:titlePg/>
          <w:docGrid w:type="lines" w:linePitch="312" w:charSpace="0"/>
        </w:sectPr>
      </w:pPr>
      <w:r>
        <w:rPr>
          <w:rFonts w:hint="eastAsia"/>
          <w:lang w:val="en-US" w:eastAsia="zh-CN"/>
        </w:rPr>
        <w:object>
          <v:shape id="_x0000_i1037" o:spt="75" type="#_x0000_t75" style="height:330.55pt;width:414.7pt;" o:ole="t" filled="f" o:preferrelative="t" stroked="f" coordsize="21600,21600">
            <v:path/>
            <v:fill on="f" focussize="0,0"/>
            <v:stroke on="f"/>
            <v:imagedata r:id="rId150" o:title=""/>
            <o:lock v:ext="edit" aspectratio="f"/>
            <w10:wrap type="none"/>
            <w10:anchorlock/>
          </v:shape>
          <o:OLEObject Type="Embed" ProgID="Excel.Sheet.12" ShapeID="_x0000_i1037" DrawAspect="Content" ObjectID="_1468075737" r:id="rId149">
            <o:LockedField>false</o:LockedField>
          </o:OLEObject>
        </w:object>
      </w:r>
      <w:r>
        <w:rPr>
          <w:rFonts w:hint="eastAsia"/>
          <w:lang w:val="en-US" w:eastAsia="zh-CN"/>
        </w:rPr>
        <w:object>
          <v:shape id="_x0000_i1038" o:spt="75" type="#_x0000_t75" style="height:336.6pt;width:414.7pt;" o:ole="t" filled="f" o:preferrelative="t" stroked="f" coordsize="21600,21600">
            <v:path/>
            <v:fill on="f" focussize="0,0"/>
            <v:stroke on="f"/>
            <v:imagedata r:id="rId152" o:title=""/>
            <o:lock v:ext="edit" aspectratio="f"/>
            <w10:wrap type="none"/>
            <w10:anchorlock/>
          </v:shape>
          <o:OLEObject Type="Embed" ProgID="Excel.Sheet.12" ShapeID="_x0000_i1038" DrawAspect="Content" ObjectID="_1468075738" r:id="rId151">
            <o:LockedField>false</o:LockedField>
          </o:OLEObject>
        </w:object>
      </w:r>
      <w:r>
        <w:rPr>
          <w:rFonts w:hint="eastAsia"/>
          <w:lang w:val="en-US" w:eastAsia="zh-CN"/>
        </w:rPr>
        <w:object>
          <v:shape id="_x0000_i1039" o:spt="75" type="#_x0000_t75" style="height:345.65pt;width:414.7pt;" o:ole="t" filled="f" o:preferrelative="t" stroked="f" coordsize="21600,21600">
            <v:path/>
            <v:fill on="f" focussize="0,0"/>
            <v:stroke on="f"/>
            <v:imagedata r:id="rId154" o:title=""/>
            <o:lock v:ext="edit" aspectratio="f"/>
            <w10:wrap type="none"/>
            <w10:anchorlock/>
          </v:shape>
          <o:OLEObject Type="Embed" ProgID="Excel.Sheet.12" ShapeID="_x0000_i1039" DrawAspect="Content" ObjectID="_1468075739" r:id="rId153">
            <o:LockedField>false</o:LockedField>
          </o:OLEObject>
        </w:object>
      </w:r>
      <w:r>
        <w:rPr>
          <w:rFonts w:hint="eastAsia"/>
          <w:lang w:val="en-US" w:eastAsia="zh-CN"/>
        </w:rPr>
        <w:object>
          <v:shape id="_x0000_i1040" o:spt="75" type="#_x0000_t75" style="height:320.65pt;width:414.7pt;" o:ole="t" filled="f" o:preferrelative="t" stroked="f" coordsize="21600,21600">
            <v:path/>
            <v:fill on="f" focussize="0,0"/>
            <v:stroke on="f"/>
            <v:imagedata r:id="rId156" o:title=""/>
            <o:lock v:ext="edit" aspectratio="f"/>
            <w10:wrap type="none"/>
            <w10:anchorlock/>
          </v:shape>
          <o:OLEObject Type="Embed" ProgID="Excel.Sheet.12" ShapeID="_x0000_i1040" DrawAspect="Content" ObjectID="_1468075740" r:id="rId155">
            <o:LockedField>false</o:LockedField>
          </o:OLEObject>
        </w:object>
      </w:r>
      <w:r>
        <w:rPr>
          <w:rFonts w:hint="eastAsia"/>
          <w:lang w:val="en-US" w:eastAsia="zh-CN"/>
        </w:rPr>
        <w:object>
          <v:shape id="_x0000_i1041" o:spt="75" type="#_x0000_t75" style="height:417.85pt;width:414.7pt;" o:ole="t" filled="f" o:preferrelative="t" stroked="f" coordsize="21600,21600">
            <v:path/>
            <v:fill on="f" focussize="0,0"/>
            <v:stroke on="f"/>
            <v:imagedata r:id="rId158" o:title=""/>
            <o:lock v:ext="edit" aspectratio="f"/>
            <w10:wrap type="none"/>
            <w10:anchorlock/>
          </v:shape>
          <o:OLEObject Type="Embed" ProgID="Excel.Sheet.12" ShapeID="_x0000_i1041" DrawAspect="Content" ObjectID="_1468075741" r:id="rId157">
            <o:LockedField>false</o:LockedField>
          </o:OLEObject>
        </w:object>
      </w:r>
    </w:p>
    <w:p>
      <w:pPr>
        <w:widowControl w:val="0"/>
        <w:bidi w:val="0"/>
        <w:spacing w:beforeLines="30"/>
        <w:jc w:val="both"/>
        <w:rPr>
          <w:rFonts w:hint="eastAsia"/>
          <w:lang w:val="en-US" w:eastAsia="zh-CN"/>
        </w:rPr>
        <w:sectPr>
          <w:footerReference r:id="rId25" w:type="first"/>
          <w:footerReference r:id="rId24" w:type="default"/>
          <w:pgSz w:w="11906" w:h="16838"/>
          <w:pgMar w:top="1440" w:right="1800" w:bottom="1440" w:left="1800" w:header="851" w:footer="992" w:gutter="0"/>
          <w:pgNumType w:fmt="decimal" w:start="90"/>
          <w:cols w:space="425" w:num="1"/>
          <w:titlePg/>
          <w:docGrid w:type="lines" w:linePitch="312" w:charSpace="0"/>
        </w:sectPr>
      </w:pPr>
      <w:r>
        <w:rPr>
          <w:rFonts w:hint="eastAsia"/>
          <w:lang w:val="en-US" w:eastAsia="zh-CN"/>
        </w:rPr>
        <w:object>
          <v:shape id="_x0000_i1042" o:spt="75" type="#_x0000_t75" style="height:315.2pt;width:414.7pt;" o:ole="t" filled="f" o:preferrelative="t" stroked="f" coordsize="21600,21600">
            <v:path/>
            <v:fill on="f" focussize="0,0"/>
            <v:stroke on="f"/>
            <v:imagedata r:id="rId160" o:title=""/>
            <o:lock v:ext="edit" aspectratio="f"/>
            <w10:wrap type="none"/>
            <w10:anchorlock/>
          </v:shape>
          <o:OLEObject Type="Embed" ProgID="Excel.Sheet.12" ShapeID="_x0000_i1042" DrawAspect="Content" ObjectID="_1468075742" r:id="rId159">
            <o:LockedField>false</o:LockedField>
          </o:OLEObject>
        </w:object>
      </w:r>
      <w:r>
        <w:rPr>
          <w:rFonts w:hint="eastAsia"/>
          <w:lang w:val="en-US" w:eastAsia="zh-CN"/>
        </w:rPr>
        <w:object>
          <v:shape id="_x0000_i1043" o:spt="75" type="#_x0000_t75" style="height:354.9pt;width:414.7pt;" o:ole="t" filled="f" o:preferrelative="t" stroked="f" coordsize="21600,21600">
            <v:path/>
            <v:fill on="f" focussize="0,0"/>
            <v:stroke on="f"/>
            <v:imagedata r:id="rId162" o:title=""/>
            <o:lock v:ext="edit" aspectratio="f"/>
            <w10:wrap type="none"/>
            <w10:anchorlock/>
          </v:shape>
          <o:OLEObject Type="Embed" ProgID="Excel.Sheet.12" ShapeID="_x0000_i1043" DrawAspect="Content" ObjectID="_1468075743" r:id="rId161">
            <o:LockedField>false</o:LockedField>
          </o:OLEObject>
        </w:object>
      </w:r>
      <w:r>
        <w:rPr>
          <w:rFonts w:hint="eastAsia"/>
          <w:lang w:val="en-US" w:eastAsia="zh-CN"/>
        </w:rPr>
        <w:object>
          <v:shape id="_x0000_i1044" o:spt="75" type="#_x0000_t75" style="height:329.55pt;width:414.7pt;" o:ole="t" filled="f" o:preferrelative="t" stroked="f" coordsize="21600,21600">
            <v:path/>
            <v:fill on="f" focussize="0,0"/>
            <v:stroke on="f"/>
            <v:imagedata r:id="rId164" o:title=""/>
            <o:lock v:ext="edit" aspectratio="f"/>
            <w10:wrap type="none"/>
            <w10:anchorlock/>
          </v:shape>
          <o:OLEObject Type="Embed" ProgID="Excel.Sheet.12" ShapeID="_x0000_i1044" DrawAspect="Content" ObjectID="_1468075744" r:id="rId163">
            <o:LockedField>false</o:LockedField>
          </o:OLEObject>
        </w:object>
      </w:r>
      <w:r>
        <w:rPr>
          <w:rFonts w:hint="eastAsia"/>
          <w:lang w:val="en-US" w:eastAsia="zh-CN"/>
        </w:rPr>
        <w:object>
          <v:shape id="_x0000_i1045" o:spt="75" type="#_x0000_t75" style="height:330.5pt;width:414.7pt;" o:ole="t" filled="f" o:preferrelative="t" stroked="f" coordsize="21600,21600">
            <v:path/>
            <v:fill on="f" focussize="0,0"/>
            <v:stroke on="f"/>
            <v:imagedata r:id="rId166" o:title=""/>
            <o:lock v:ext="edit" aspectratio="f"/>
            <w10:wrap type="none"/>
            <w10:anchorlock/>
          </v:shape>
          <o:OLEObject Type="Embed" ProgID="Excel.Sheet.12" ShapeID="_x0000_i1045" DrawAspect="Content" ObjectID="_1468075745" r:id="rId165">
            <o:LockedField>false</o:LockedField>
          </o:OLEObject>
        </w:object>
      </w:r>
      <w:r>
        <w:rPr>
          <w:rFonts w:hint="eastAsia"/>
          <w:lang w:val="en-US" w:eastAsia="zh-CN"/>
        </w:rPr>
        <w:object>
          <v:shape id="_x0000_i1046" o:spt="75" type="#_x0000_t75" style="height:354.25pt;width:414.7pt;" o:ole="t" filled="f" o:preferrelative="t" stroked="f" coordsize="21600,21600">
            <v:path/>
            <v:fill on="f" focussize="0,0"/>
            <v:stroke on="f"/>
            <v:imagedata r:id="rId168" o:title=""/>
            <o:lock v:ext="edit" aspectratio="f"/>
            <w10:wrap type="none"/>
            <w10:anchorlock/>
          </v:shape>
          <o:OLEObject Type="Embed" ProgID="Excel.Sheet.12" ShapeID="_x0000_i1046" DrawAspect="Content" ObjectID="_1468075746" r:id="rId167">
            <o:LockedField>false</o:LockedField>
          </o:OLEObject>
        </w:object>
      </w:r>
      <w:r>
        <w:rPr>
          <w:rFonts w:hint="eastAsia"/>
          <w:lang w:val="en-US" w:eastAsia="zh-CN"/>
        </w:rPr>
        <w:object>
          <v:shape id="_x0000_i1047" o:spt="75" type="#_x0000_t75" style="height:322.8pt;width:414.7pt;" o:ole="t" filled="f" o:preferrelative="t" stroked="f" coordsize="21600,21600">
            <v:path/>
            <v:fill on="f" focussize="0,0"/>
            <v:stroke on="f"/>
            <v:imagedata r:id="rId170" o:title=""/>
            <o:lock v:ext="edit" aspectratio="f"/>
            <w10:wrap type="none"/>
            <w10:anchorlock/>
          </v:shape>
          <o:OLEObject Type="Embed" ProgID="Excel.Sheet.12" ShapeID="_x0000_i1047" DrawAspect="Content" ObjectID="_1468075747" r:id="rId169">
            <o:LockedField>false</o:LockedField>
          </o:OLEObject>
        </w:object>
      </w:r>
      <w:r>
        <w:rPr>
          <w:rFonts w:hint="eastAsia"/>
          <w:lang w:val="en-US" w:eastAsia="zh-CN"/>
        </w:rPr>
        <w:object>
          <v:shape id="_x0000_i1048" o:spt="75" type="#_x0000_t75" style="height:467.5pt;width:414.7pt;" o:ole="t" filled="f" o:preferrelative="t" stroked="f" coordsize="21600,21600">
            <v:path/>
            <v:fill on="f" focussize="0,0"/>
            <v:stroke on="f"/>
            <v:imagedata r:id="rId172" o:title=""/>
            <o:lock v:ext="edit" aspectratio="f"/>
            <w10:wrap type="none"/>
            <w10:anchorlock/>
          </v:shape>
          <o:OLEObject Type="Embed" ProgID="Excel.Sheet.12" ShapeID="_x0000_i1048" DrawAspect="Content" ObjectID="_1468075748" r:id="rId171">
            <o:LockedField>false</o:LockedField>
          </o:OLEObject>
        </w:object>
      </w:r>
    </w:p>
    <w:p>
      <w:pPr>
        <w:widowControl w:val="0"/>
        <w:bidi w:val="0"/>
        <w:spacing w:beforeLines="30"/>
        <w:jc w:val="both"/>
        <w:rPr>
          <w:rFonts w:hint="eastAsia"/>
          <w:lang w:val="en-US" w:eastAsia="zh-CN"/>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r>
        <w:rPr>
          <w:rFonts w:hint="eastAsia" w:ascii="仿宋_GB2312" w:hAnsi="Times New Roman" w:eastAsia="仿宋_GB2312" w:cs="Times New Roman"/>
          <w:kern w:val="0"/>
          <w:sz w:val="30"/>
          <w:szCs w:val="24"/>
          <w:lang w:val="en-US" w:eastAsia="zh-CN" w:bidi="ar-SA"/>
        </w:rPr>
        <w:object>
          <v:shape id="_x0000_i1049" o:spt="75" type="#_x0000_t75" style="height:317.75pt;width:414.7pt;" o:ole="t" filled="f" o:preferrelative="t" stroked="f" coordsize="21600,21600">
            <v:path/>
            <v:fill on="f" focussize="0,0"/>
            <v:stroke on="f"/>
            <v:imagedata r:id="rId174" o:title=""/>
            <o:lock v:ext="edit" aspectratio="f"/>
            <w10:wrap type="none"/>
            <w10:anchorlock/>
          </v:shape>
          <o:OLEObject Type="Embed" ProgID="Excel.Sheet.12" ShapeID="_x0000_i1049" DrawAspect="Content" ObjectID="_1468075749" r:id="rId173">
            <o:LockedField>false</o:LockedField>
          </o:OLEObject>
        </w:object>
      </w:r>
    </w:p>
    <w:p>
      <w:pPr>
        <w:widowControl w:val="0"/>
        <w:bidi w:val="0"/>
        <w:spacing w:beforeLines="30"/>
        <w:jc w:val="both"/>
        <w:rPr>
          <w:rFonts w:hint="eastAsia" w:ascii="仿宋_GB2312" w:hAnsi="Times New Roman" w:eastAsia="仿宋_GB2312" w:cs="Times New Roman"/>
          <w:kern w:val="0"/>
          <w:sz w:val="30"/>
          <w:szCs w:val="24"/>
          <w:lang w:val="en-US" w:eastAsia="zh-CN" w:bidi="ar-SA"/>
        </w:rPr>
      </w:pPr>
      <w:r>
        <w:rPr>
          <w:rFonts w:hint="eastAsia" w:ascii="仿宋_GB2312" w:hAnsi="Times New Roman" w:eastAsia="仿宋_GB2312" w:cs="Times New Roman"/>
          <w:kern w:val="0"/>
          <w:sz w:val="30"/>
          <w:szCs w:val="24"/>
          <w:lang w:val="en-US" w:eastAsia="zh-CN" w:bidi="ar-SA"/>
        </w:rPr>
        <w:object>
          <v:shape id="_x0000_i1050" o:spt="75" type="#_x0000_t75" style="height:320.65pt;width:422.1pt;" o:ole="t" filled="f" o:preferrelative="t" stroked="f" coordsize="21600,21600">
            <v:path/>
            <v:fill on="f" focussize="0,0"/>
            <v:stroke on="f"/>
            <v:imagedata r:id="rId176" o:title=""/>
            <o:lock v:ext="edit" aspectratio="f"/>
            <w10:wrap type="none"/>
            <w10:anchorlock/>
          </v:shape>
          <o:OLEObject Type="Embed" ProgID="Excel.Sheet.12" ShapeID="_x0000_i1050" DrawAspect="Content" ObjectID="_1468075750" r:id="rId175">
            <o:LockedField>false</o:LockedField>
          </o:OLEObject>
        </w:object>
      </w:r>
      <w:r>
        <w:rPr>
          <w:rFonts w:hint="eastAsia" w:ascii="仿宋_GB2312" w:hAnsi="Times New Roman" w:eastAsia="仿宋_GB2312" w:cs="Times New Roman"/>
          <w:kern w:val="0"/>
          <w:sz w:val="30"/>
          <w:szCs w:val="24"/>
          <w:lang w:val="en-US" w:eastAsia="zh-CN" w:bidi="ar-SA"/>
        </w:rPr>
        <w:object>
          <v:shape id="_x0000_i1051" o:spt="75" type="#_x0000_t75" style="height:308.75pt;width:414.7pt;" o:ole="t" filled="f" o:preferrelative="t" stroked="f" coordsize="21600,21600">
            <v:path/>
            <v:fill on="f" focussize="0,0"/>
            <v:stroke on="f"/>
            <v:imagedata r:id="rId178" o:title=""/>
            <o:lock v:ext="edit" aspectratio="f"/>
            <w10:wrap type="none"/>
            <w10:anchorlock/>
          </v:shape>
          <o:OLEObject Type="Embed" ProgID="Excel.Sheet.12" ShapeID="_x0000_i1051" DrawAspect="Content" ObjectID="_1468075751" r:id="rId177">
            <o:LockedField>false</o:LockedField>
          </o:OLEObject>
        </w:object>
      </w:r>
    </w:p>
    <w:p>
      <w:pPr>
        <w:widowControl w:val="0"/>
        <w:bidi w:val="0"/>
        <w:spacing w:beforeLines="30"/>
        <w:jc w:val="both"/>
        <w:rPr>
          <w:rFonts w:hint="eastAsia" w:ascii="仿宋_GB2312" w:hAnsi="Times New Roman" w:eastAsia="仿宋_GB2312" w:cs="Times New Roman"/>
          <w:kern w:val="0"/>
          <w:sz w:val="30"/>
          <w:szCs w:val="24"/>
          <w:lang w:val="en-US" w:eastAsia="zh-CN" w:bidi="ar-SA"/>
        </w:rPr>
      </w:pPr>
      <w:r>
        <w:rPr>
          <w:rFonts w:hint="eastAsia" w:ascii="仿宋_GB2312" w:hAnsi="Times New Roman" w:eastAsia="仿宋_GB2312" w:cs="Times New Roman"/>
          <w:kern w:val="0"/>
          <w:sz w:val="30"/>
          <w:szCs w:val="24"/>
          <w:lang w:val="en-US" w:eastAsia="zh-CN" w:bidi="ar-SA"/>
        </w:rPr>
        <w:object>
          <v:shape id="_x0000_i1052" o:spt="75" type="#_x0000_t75" style="height:348pt;width:414.7pt;" o:ole="t" filled="f" o:preferrelative="t" stroked="f" coordsize="21600,21600">
            <v:path/>
            <v:fill on="f" focussize="0,0"/>
            <v:stroke on="f"/>
            <v:imagedata r:id="rId180" o:title=""/>
            <o:lock v:ext="edit" aspectratio="f"/>
            <w10:wrap type="none"/>
            <w10:anchorlock/>
          </v:shape>
          <o:OLEObject Type="Embed" ProgID="Excel.Sheet.12" ShapeID="_x0000_i1052" DrawAspect="Content" ObjectID="_1468075752" r:id="rId179">
            <o:LockedField>false</o:LockedField>
          </o:OLEObject>
        </w:object>
      </w:r>
    </w:p>
    <w:p>
      <w:pPr>
        <w:widowControl w:val="0"/>
        <w:bidi w:val="0"/>
        <w:spacing w:beforeLines="30"/>
        <w:jc w:val="both"/>
        <w:rPr>
          <w:rFonts w:hint="eastAsia" w:ascii="仿宋_GB2312" w:hAnsi="Times New Roman" w:eastAsia="仿宋_GB2312" w:cs="Times New Roman"/>
          <w:kern w:val="0"/>
          <w:sz w:val="30"/>
          <w:szCs w:val="24"/>
          <w:lang w:val="en-US" w:eastAsia="zh-CN" w:bidi="ar-SA"/>
        </w:rPr>
      </w:pPr>
      <w:r>
        <w:rPr>
          <w:rFonts w:hint="eastAsia" w:ascii="仿宋_GB2312" w:hAnsi="Times New Roman" w:eastAsia="仿宋_GB2312" w:cs="Times New Roman"/>
          <w:kern w:val="0"/>
          <w:sz w:val="30"/>
          <w:szCs w:val="24"/>
          <w:lang w:val="en-US" w:eastAsia="zh-CN" w:bidi="ar-SA"/>
        </w:rPr>
        <w:object>
          <v:shape id="_x0000_i1053" o:spt="75" type="#_x0000_t75" style="height:320.75pt;width:414.7pt;" o:ole="t" filled="f" o:preferrelative="t" stroked="f" coordsize="21600,21600">
            <v:path/>
            <v:fill on="f" focussize="0,0"/>
            <v:stroke on="f"/>
            <v:imagedata r:id="rId182" o:title=""/>
            <o:lock v:ext="edit" aspectratio="f"/>
            <w10:wrap type="none"/>
            <w10:anchorlock/>
          </v:shape>
          <o:OLEObject Type="Embed" ProgID="Excel.Sheet.12" ShapeID="_x0000_i1053" DrawAspect="Content" ObjectID="_1468075753" r:id="rId181">
            <o:LockedField>false</o:LockedField>
          </o:OLEObject>
        </w:object>
      </w:r>
    </w:p>
    <w:p>
      <w:pPr>
        <w:widowControl w:val="0"/>
        <w:bidi w:val="0"/>
        <w:spacing w:beforeLines="30"/>
        <w:jc w:val="both"/>
        <w:rPr>
          <w:rFonts w:hint="eastAsia" w:ascii="仿宋_GB2312" w:hAnsi="Times New Roman" w:eastAsia="仿宋_GB2312" w:cs="Times New Roman"/>
          <w:kern w:val="0"/>
          <w:sz w:val="30"/>
          <w:szCs w:val="24"/>
          <w:lang w:val="en-US" w:eastAsia="zh-CN" w:bidi="ar-SA"/>
        </w:rPr>
      </w:pPr>
      <w:r>
        <w:rPr>
          <w:rFonts w:hint="eastAsia" w:ascii="仿宋_GB2312" w:hAnsi="Times New Roman" w:eastAsia="仿宋_GB2312" w:cs="Times New Roman"/>
          <w:kern w:val="0"/>
          <w:sz w:val="30"/>
          <w:szCs w:val="24"/>
          <w:lang w:val="en-US" w:eastAsia="zh-CN" w:bidi="ar-SA"/>
        </w:rPr>
        <w:object>
          <v:shape id="_x0000_i1054" o:spt="75" type="#_x0000_t75" style="height:333.45pt;width:419.15pt;" o:ole="t" filled="f" o:preferrelative="t" stroked="f" coordsize="21600,21600">
            <v:path/>
            <v:fill on="f" focussize="0,0"/>
            <v:stroke on="f"/>
            <v:imagedata r:id="rId184" o:title=""/>
            <o:lock v:ext="edit" aspectratio="f"/>
            <w10:wrap type="none"/>
            <w10:anchorlock/>
          </v:shape>
          <o:OLEObject Type="Embed" ProgID="Excel.Sheet.12" ShapeID="_x0000_i1054" DrawAspect="Content" ObjectID="_1468075754" r:id="rId183">
            <o:LockedField>false</o:LockedField>
          </o:OLEObject>
        </w:object>
      </w:r>
      <w:r>
        <w:rPr>
          <w:rFonts w:hint="eastAsia" w:ascii="仿宋_GB2312" w:hAnsi="Times New Roman" w:eastAsia="仿宋_GB2312" w:cs="Times New Roman"/>
          <w:kern w:val="0"/>
          <w:sz w:val="30"/>
          <w:szCs w:val="24"/>
          <w:lang w:val="en-US" w:eastAsia="zh-CN" w:bidi="ar-SA"/>
        </w:rPr>
        <w:object>
          <v:shape id="_x0000_i1055" o:spt="75" type="#_x0000_t75" style="height:317.7pt;width:414.7pt;" o:ole="t" filled="f" o:preferrelative="t" stroked="f" coordsize="21600,21600">
            <v:path/>
            <v:fill on="f" focussize="0,0"/>
            <v:stroke on="f"/>
            <v:imagedata r:id="rId186" o:title=""/>
            <o:lock v:ext="edit" aspectratio="f"/>
            <w10:wrap type="none"/>
            <w10:anchorlock/>
          </v:shape>
          <o:OLEObject Type="Embed" ProgID="Excel.Sheet.12" ShapeID="_x0000_i1055" DrawAspect="Content" ObjectID="_1468075755" r:id="rId185">
            <o:LockedField>false</o:LockedField>
          </o:OLEObject>
        </w:object>
      </w:r>
    </w:p>
    <w:p>
      <w:pPr>
        <w:widowControl w:val="0"/>
        <w:bidi w:val="0"/>
        <w:spacing w:beforeLines="30"/>
        <w:jc w:val="both"/>
        <w:rPr>
          <w:rFonts w:hint="eastAsia" w:ascii="仿宋_GB2312" w:hAnsi="Times New Roman" w:eastAsia="仿宋_GB2312" w:cs="Times New Roman"/>
          <w:kern w:val="0"/>
          <w:sz w:val="30"/>
          <w:szCs w:val="24"/>
          <w:lang w:val="en-US" w:eastAsia="zh-CN" w:bidi="ar-SA"/>
        </w:rPr>
      </w:pPr>
      <w:r>
        <w:rPr>
          <w:rFonts w:hint="eastAsia" w:ascii="仿宋_GB2312" w:hAnsi="Times New Roman" w:eastAsia="仿宋_GB2312" w:cs="Times New Roman"/>
          <w:kern w:val="0"/>
          <w:sz w:val="30"/>
          <w:szCs w:val="24"/>
          <w:lang w:val="en-US" w:eastAsia="zh-CN" w:bidi="ar-SA"/>
        </w:rPr>
        <w:object>
          <v:shape id="_x0000_i1056" o:spt="75" type="#_x0000_t75" style="height:353.8pt;width:419.95pt;" o:ole="t" filled="f" o:preferrelative="t" stroked="f" coordsize="21600,21600">
            <v:path/>
            <v:fill on="f" focussize="0,0"/>
            <v:stroke on="f"/>
            <v:imagedata r:id="rId188" o:title=""/>
            <o:lock v:ext="edit" aspectratio="f"/>
            <w10:wrap type="none"/>
            <w10:anchorlock/>
          </v:shape>
          <o:OLEObject Type="Embed" ProgID="Excel.Sheet.12" ShapeID="_x0000_i1056" DrawAspect="Content" ObjectID="_1468075756" r:id="rId187">
            <o:LockedField>false</o:LockedField>
          </o:OLEObject>
        </w:object>
      </w:r>
      <w:r>
        <w:rPr>
          <w:rFonts w:hint="eastAsia" w:ascii="仿宋_GB2312" w:hAnsi="Times New Roman" w:eastAsia="仿宋_GB2312" w:cs="Times New Roman"/>
          <w:kern w:val="0"/>
          <w:sz w:val="30"/>
          <w:szCs w:val="24"/>
          <w:lang w:val="en-US" w:eastAsia="zh-CN" w:bidi="ar-SA"/>
        </w:rPr>
        <w:object>
          <v:shape id="_x0000_i1057" o:spt="75" type="#_x0000_t75" style="height:334.9pt;width:414.75pt;" o:ole="t" filled="f" o:preferrelative="t" stroked="f" coordsize="21600,21600">
            <v:path/>
            <v:fill on="f" focussize="0,0"/>
            <v:stroke on="f"/>
            <v:imagedata r:id="rId190" o:title=""/>
            <o:lock v:ext="edit" aspectratio="f"/>
            <w10:wrap type="none"/>
            <w10:anchorlock/>
          </v:shape>
          <o:OLEObject Type="Embed" ProgID="Excel.Sheet.12" ShapeID="_x0000_i1057" DrawAspect="Content" ObjectID="_1468075757" r:id="rId189">
            <o:LockedField>false</o:LockedField>
          </o:OLEObject>
        </w:object>
      </w: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sectPr>
          <w:footerReference r:id="rId27" w:type="first"/>
          <w:footerReference r:id="rId26" w:type="default"/>
          <w:pgSz w:w="11906" w:h="16838"/>
          <w:pgMar w:top="1440" w:right="1800" w:bottom="1440" w:left="1800" w:header="851" w:footer="992" w:gutter="0"/>
          <w:pgNumType w:fmt="decimal" w:start="94"/>
          <w:cols w:space="425" w:num="1"/>
          <w:titlePg/>
          <w:docGrid w:type="lines" w:linePitch="312" w:charSpace="0"/>
        </w:sect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sectPr>
          <w:footerReference r:id="rId29" w:type="first"/>
          <w:footerReference r:id="rId28" w:type="default"/>
          <w:pgSz w:w="11906" w:h="16838"/>
          <w:pgMar w:top="1440" w:right="1800" w:bottom="1440" w:left="1800" w:header="851" w:footer="992" w:gutter="0"/>
          <w:pgNumType w:fmt="decimal" w:start="99"/>
          <w:cols w:space="425" w:num="1"/>
          <w:titlePg/>
          <w:docGrid w:type="lines" w:linePitch="312" w:charSpace="0"/>
        </w:sectPr>
      </w:pPr>
      <w:r>
        <w:rPr>
          <w:rFonts w:hint="eastAsia" w:ascii="仿宋_GB2312" w:hAnsi="Times New Roman" w:eastAsia="仿宋_GB2312" w:cs="Times New Roman"/>
          <w:kern w:val="0"/>
          <w:sz w:val="30"/>
          <w:szCs w:val="24"/>
          <w:lang w:val="en-US" w:eastAsia="zh-CN" w:bidi="ar-SA"/>
        </w:rPr>
        <w:object>
          <v:shape id="_x0000_i1058" o:spt="75" type="#_x0000_t75" style="height:318.05pt;width:414.7pt;" o:ole="t" filled="f" o:preferrelative="t" stroked="f" coordsize="21600,21600">
            <v:path/>
            <v:fill on="f" focussize="0,0"/>
            <v:stroke on="f"/>
            <v:imagedata r:id="rId192" o:title=""/>
            <o:lock v:ext="edit" aspectratio="f"/>
            <w10:wrap type="none"/>
            <w10:anchorlock/>
          </v:shape>
          <o:OLEObject Type="Embed" ProgID="Excel.Sheet.12" ShapeID="_x0000_i1058" DrawAspect="Content" ObjectID="_1468075758" r:id="rId191">
            <o:LockedField>false</o:LockedField>
          </o:OLEObject>
        </w:object>
      </w:r>
      <w:r>
        <w:rPr>
          <w:rFonts w:hint="eastAsia" w:ascii="仿宋_GB2312" w:hAnsi="Times New Roman" w:eastAsia="仿宋_GB2312" w:cs="Times New Roman"/>
          <w:kern w:val="0"/>
          <w:sz w:val="30"/>
          <w:szCs w:val="24"/>
          <w:lang w:val="en-US" w:eastAsia="zh-CN" w:bidi="ar-SA"/>
        </w:rPr>
        <w:object>
          <v:shape id="_x0000_i1059" o:spt="75" type="#_x0000_t75" style="height:347.25pt;width:414.7pt;" o:ole="t" filled="f" o:preferrelative="t" stroked="f" coordsize="21600,21600">
            <v:path/>
            <v:fill on="f" focussize="0,0"/>
            <v:stroke on="f"/>
            <v:imagedata r:id="rId194" o:title=""/>
            <o:lock v:ext="edit" aspectratio="f"/>
            <w10:wrap type="none"/>
            <w10:anchorlock/>
          </v:shape>
          <o:OLEObject Type="Embed" ProgID="Excel.Sheet.12" ShapeID="_x0000_i1059" DrawAspect="Content" ObjectID="_1468075759" r:id="rId193">
            <o:LockedField>false</o:LockedField>
          </o:OLEObject>
        </w:object>
      </w:r>
    </w:p>
    <w:p>
      <w:pPr>
        <w:widowControl w:val="0"/>
        <w:bidi w:val="0"/>
        <w:spacing w:beforeLines="30"/>
        <w:jc w:val="both"/>
        <w:rPr>
          <w:rFonts w:hint="eastAsia" w:ascii="仿宋_GB2312" w:hAnsi="Times New Roman" w:eastAsia="仿宋_GB2312" w:cs="Times New Roman"/>
          <w:kern w:val="0"/>
          <w:sz w:val="30"/>
          <w:szCs w:val="24"/>
          <w:lang w:val="en-US" w:eastAsia="zh-CN" w:bidi="ar-SA"/>
        </w:rPr>
        <w:sectPr>
          <w:footerReference r:id="rId31" w:type="first"/>
          <w:footerReference r:id="rId30" w:type="default"/>
          <w:pgSz w:w="11906" w:h="16838"/>
          <w:pgMar w:top="1440" w:right="1800" w:bottom="1440" w:left="1800" w:header="851" w:footer="992" w:gutter="0"/>
          <w:pgNumType w:fmt="decimal" w:start="100"/>
          <w:cols w:space="425" w:num="1"/>
          <w:titlePg/>
          <w:docGrid w:type="lines" w:linePitch="312" w:charSpace="0"/>
        </w:sectPr>
      </w:pPr>
      <w:r>
        <w:rPr>
          <w:rFonts w:hint="eastAsia" w:ascii="仿宋_GB2312" w:hAnsi="Times New Roman" w:eastAsia="仿宋_GB2312" w:cs="Times New Roman"/>
          <w:kern w:val="0"/>
          <w:sz w:val="30"/>
          <w:szCs w:val="24"/>
          <w:lang w:val="en-US" w:eastAsia="zh-CN" w:bidi="ar-SA"/>
        </w:rPr>
        <w:object>
          <v:shape id="_x0000_i1060" o:spt="75" type="#_x0000_t75" style="height:328.55pt;width:414.7pt;" o:ole="t" filled="f" o:preferrelative="t" stroked="f" coordsize="21600,21600">
            <v:path/>
            <v:fill on="f" focussize="0,0"/>
            <v:stroke on="f"/>
            <v:imagedata r:id="rId196" o:title=""/>
            <o:lock v:ext="edit" aspectratio="f"/>
            <w10:wrap type="none"/>
            <w10:anchorlock/>
          </v:shape>
          <o:OLEObject Type="Embed" ProgID="Excel.Sheet.12" ShapeID="_x0000_i1060" DrawAspect="Content" ObjectID="_1468075760" r:id="rId195">
            <o:LockedField>false</o:LockedField>
          </o:OLEObject>
        </w:object>
      </w:r>
      <w:r>
        <w:rPr>
          <w:rFonts w:hint="eastAsia" w:ascii="仿宋_GB2312" w:hAnsi="Times New Roman" w:eastAsia="仿宋_GB2312" w:cs="Times New Roman"/>
          <w:kern w:val="0"/>
          <w:sz w:val="30"/>
          <w:szCs w:val="24"/>
          <w:lang w:val="en-US" w:eastAsia="zh-CN" w:bidi="ar-SA"/>
        </w:rPr>
        <w:object>
          <v:shape id="_x0000_i1061" o:spt="75" type="#_x0000_t75" style="height:323.2pt;width:416.95pt;" o:ole="t" filled="f" o:preferrelative="t" stroked="f" coordsize="21600,21600">
            <v:path/>
            <v:fill on="f" focussize="0,0"/>
            <v:stroke on="f"/>
            <v:imagedata r:id="rId198" o:title=""/>
            <o:lock v:ext="edit" aspectratio="f"/>
            <w10:wrap type="none"/>
            <w10:anchorlock/>
          </v:shape>
          <o:OLEObject Type="Embed" ProgID="Excel.Sheet.12" ShapeID="_x0000_i1061" DrawAspect="Content" ObjectID="_1468075761" r:id="rId197">
            <o:LockedField>false</o:LockedField>
          </o:OLEObject>
        </w:object>
      </w:r>
    </w:p>
    <w:p>
      <w:pPr>
        <w:widowControl w:val="0"/>
        <w:bidi w:val="0"/>
        <w:spacing w:beforeLines="30"/>
        <w:jc w:val="both"/>
        <w:rPr>
          <w:rFonts w:hint="eastAsia" w:ascii="仿宋_GB2312" w:hAnsi="Times New Roman" w:eastAsia="仿宋_GB2312" w:cs="Times New Roman"/>
          <w:kern w:val="0"/>
          <w:sz w:val="30"/>
          <w:szCs w:val="24"/>
          <w:lang w:val="en-US" w:eastAsia="zh-CN" w:bidi="ar-SA"/>
        </w:rPr>
        <w:sectPr>
          <w:footerReference r:id="rId33" w:type="first"/>
          <w:footerReference r:id="rId32" w:type="default"/>
          <w:pgSz w:w="11906" w:h="16838"/>
          <w:pgMar w:top="1440" w:right="1800" w:bottom="1440" w:left="1800" w:header="851" w:footer="992" w:gutter="0"/>
          <w:pgNumType w:fmt="decimal" w:start="101"/>
          <w:cols w:space="425" w:num="1"/>
          <w:titlePg/>
          <w:docGrid w:type="lines" w:linePitch="312" w:charSpace="0"/>
        </w:sectPr>
      </w:pPr>
      <w:r>
        <w:rPr>
          <w:rFonts w:hint="eastAsia" w:ascii="仿宋_GB2312" w:hAnsi="Times New Roman" w:eastAsia="仿宋_GB2312" w:cs="Times New Roman"/>
          <w:kern w:val="0"/>
          <w:sz w:val="30"/>
          <w:szCs w:val="24"/>
          <w:lang w:val="en-US" w:eastAsia="zh-CN" w:bidi="ar-SA"/>
        </w:rPr>
        <w:object>
          <v:shape id="_x0000_i1062" o:spt="75" type="#_x0000_t75" style="height:330.7pt;width:414.7pt;" o:ole="t" filled="f" o:preferrelative="t" stroked="f" coordsize="21600,21600">
            <v:path/>
            <v:fill on="f" focussize="0,0"/>
            <v:stroke on="f"/>
            <v:imagedata r:id="rId200" o:title=""/>
            <o:lock v:ext="edit" aspectratio="f"/>
            <w10:wrap type="none"/>
            <w10:anchorlock/>
          </v:shape>
          <o:OLEObject Type="Embed" ProgID="Excel.Sheet.12" ShapeID="_x0000_i1062" DrawAspect="Content" ObjectID="_1468075762" r:id="rId199">
            <o:LockedField>false</o:LockedField>
          </o:OLEObject>
        </w:object>
      </w:r>
      <w:r>
        <w:rPr>
          <w:rFonts w:hint="eastAsia" w:ascii="仿宋_GB2312" w:hAnsi="Times New Roman" w:eastAsia="仿宋_GB2312" w:cs="Times New Roman"/>
          <w:kern w:val="0"/>
          <w:sz w:val="30"/>
          <w:szCs w:val="24"/>
          <w:lang w:val="en-US" w:eastAsia="zh-CN" w:bidi="ar-SA"/>
        </w:rPr>
        <w:object>
          <v:shape id="_x0000_i1063" o:spt="75" type="#_x0000_t75" style="height:306.75pt;width:414.7pt;" o:ole="t" filled="f" o:preferrelative="t" stroked="f" coordsize="21600,21600">
            <v:path/>
            <v:fill on="f" focussize="0,0"/>
            <v:stroke on="f"/>
            <v:imagedata r:id="rId202" o:title=""/>
            <o:lock v:ext="edit" aspectratio="f"/>
            <w10:wrap type="none"/>
            <w10:anchorlock/>
          </v:shape>
          <o:OLEObject Type="Embed" ProgID="Excel.Sheet.12" ShapeID="_x0000_i1063" DrawAspect="Content" ObjectID="_1468075763" r:id="rId201">
            <o:LockedField>false</o:LockedField>
          </o:OLEObject>
        </w:object>
      </w:r>
    </w:p>
    <w:p>
      <w:pPr>
        <w:widowControl w:val="0"/>
        <w:bidi w:val="0"/>
        <w:spacing w:beforeLines="30"/>
        <w:jc w:val="both"/>
        <w:rPr>
          <w:rFonts w:hint="eastAsia" w:ascii="仿宋_GB2312" w:hAnsi="Times New Roman" w:eastAsia="仿宋_GB2312" w:cs="Times New Roman"/>
          <w:kern w:val="0"/>
          <w:sz w:val="30"/>
          <w:szCs w:val="24"/>
          <w:lang w:val="en-US" w:eastAsia="zh-CN" w:bidi="ar-SA"/>
        </w:rPr>
        <w:sectPr>
          <w:footerReference r:id="rId35" w:type="first"/>
          <w:footerReference r:id="rId34" w:type="default"/>
          <w:pgSz w:w="11906" w:h="16838"/>
          <w:pgMar w:top="1440" w:right="1800" w:bottom="1440" w:left="1800" w:header="851" w:footer="992" w:gutter="0"/>
          <w:pgNumType w:fmt="decimal" w:start="102"/>
          <w:cols w:space="425" w:num="1"/>
          <w:titlePg/>
          <w:docGrid w:type="lines" w:linePitch="312" w:charSpace="0"/>
        </w:sectPr>
      </w:pPr>
      <w:r>
        <w:rPr>
          <w:rFonts w:hint="eastAsia" w:ascii="仿宋_GB2312" w:hAnsi="Times New Roman" w:eastAsia="仿宋_GB2312" w:cs="Times New Roman"/>
          <w:kern w:val="0"/>
          <w:sz w:val="30"/>
          <w:szCs w:val="24"/>
          <w:lang w:val="en-US" w:eastAsia="zh-CN" w:bidi="ar-SA"/>
        </w:rPr>
        <w:object>
          <v:shape id="_x0000_i1064" o:spt="75" type="#_x0000_t75" style="height:317.3pt;width:414.7pt;" o:ole="t" filled="f" o:preferrelative="t" stroked="f" coordsize="21600,21600">
            <v:path/>
            <v:fill on="f" focussize="0,0"/>
            <v:stroke on="f"/>
            <v:imagedata r:id="rId204" o:title=""/>
            <o:lock v:ext="edit" aspectratio="f"/>
            <w10:wrap type="none"/>
            <w10:anchorlock/>
          </v:shape>
          <o:OLEObject Type="Embed" ProgID="Excel.Sheet.12" ShapeID="_x0000_i1064" DrawAspect="Content" ObjectID="_1468075764" r:id="rId203">
            <o:LockedField>false</o:LockedField>
          </o:OLEObject>
        </w:object>
      </w:r>
      <w:r>
        <w:rPr>
          <w:rFonts w:hint="eastAsia" w:ascii="仿宋_GB2312" w:hAnsi="Times New Roman" w:eastAsia="仿宋_GB2312" w:cs="Times New Roman"/>
          <w:kern w:val="0"/>
          <w:sz w:val="30"/>
          <w:szCs w:val="24"/>
          <w:lang w:val="en-US" w:eastAsia="zh-CN" w:bidi="ar-SA"/>
        </w:rPr>
        <w:object>
          <v:shape id="_x0000_i1065" o:spt="75" type="#_x0000_t75" style="height:348.75pt;width:414.7pt;" o:ole="t" filled="f" o:preferrelative="t" stroked="f" coordsize="21600,21600">
            <v:path/>
            <v:fill on="f" focussize="0,0"/>
            <v:stroke on="f"/>
            <v:imagedata r:id="rId206" o:title=""/>
            <o:lock v:ext="edit" aspectratio="f"/>
            <w10:wrap type="none"/>
            <w10:anchorlock/>
          </v:shape>
          <o:OLEObject Type="Embed" ProgID="Excel.Sheet.12" ShapeID="_x0000_i1065" DrawAspect="Content" ObjectID="_1468075765" r:id="rId205">
            <o:LockedField>false</o:LockedField>
          </o:OLEObject>
        </w:object>
      </w:r>
    </w:p>
    <w:p>
      <w:pPr>
        <w:widowControl w:val="0"/>
        <w:bidi w:val="0"/>
        <w:spacing w:beforeLines="30"/>
        <w:jc w:val="both"/>
        <w:rPr>
          <w:rFonts w:hint="eastAsia" w:ascii="仿宋_GB2312" w:hAnsi="Times New Roman" w:eastAsia="仿宋_GB2312" w:cs="Times New Roman"/>
          <w:kern w:val="0"/>
          <w:sz w:val="30"/>
          <w:szCs w:val="24"/>
          <w:lang w:val="en-US" w:eastAsia="zh-CN" w:bidi="ar-SA"/>
        </w:rPr>
      </w:pPr>
      <w:r>
        <w:rPr>
          <w:rFonts w:hint="eastAsia" w:ascii="仿宋_GB2312" w:hAnsi="Times New Roman" w:eastAsia="仿宋_GB2312" w:cs="Times New Roman"/>
          <w:kern w:val="0"/>
          <w:sz w:val="30"/>
          <w:szCs w:val="24"/>
          <w:lang w:val="en-US" w:eastAsia="zh-CN" w:bidi="ar-SA"/>
        </w:rPr>
        <w:object>
          <v:shape id="_x0000_i1066" o:spt="75" type="#_x0000_t75" style="height:373.85pt;width:413.2pt;" o:ole="t" filled="f" o:preferrelative="t" stroked="f" coordsize="21600,21600">
            <v:path/>
            <v:fill on="f" focussize="0,0"/>
            <v:stroke on="f"/>
            <v:imagedata r:id="rId208" o:title=""/>
            <o:lock v:ext="edit" aspectratio="f"/>
            <w10:wrap type="none"/>
            <w10:anchorlock/>
          </v:shape>
          <o:OLEObject Type="Embed" ProgID="Excel.Sheet.12" ShapeID="_x0000_i1066" DrawAspect="Content" ObjectID="_1468075766" r:id="rId207">
            <o:LockedField>false</o:LockedField>
          </o:OLEObject>
        </w:object>
      </w: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widowControl w:val="0"/>
        <w:bidi w:val="0"/>
        <w:spacing w:beforeLines="30"/>
        <w:jc w:val="both"/>
        <w:rPr>
          <w:rFonts w:hint="eastAsia" w:ascii="仿宋_GB2312" w:hAnsi="Times New Roman" w:eastAsia="仿宋_GB2312" w:cs="Times New Roman"/>
          <w:kern w:val="0"/>
          <w:sz w:val="30"/>
          <w:szCs w:val="24"/>
          <w:lang w:val="en-US" w:eastAsia="zh-CN" w:bidi="ar-SA"/>
        </w:rPr>
      </w:pPr>
    </w:p>
    <w:p>
      <w:pPr>
        <w:bidi w:val="0"/>
        <w:rPr>
          <w:rFonts w:hint="eastAsia"/>
          <w:lang w:val="en-US" w:eastAsia="zh-CN"/>
        </w:rPr>
        <w:sectPr>
          <w:footerReference r:id="rId37" w:type="first"/>
          <w:footerReference r:id="rId36" w:type="default"/>
          <w:pgSz w:w="11906" w:h="16838"/>
          <w:pgMar w:top="1440" w:right="1800" w:bottom="1440" w:left="1800" w:header="851" w:footer="992" w:gutter="0"/>
          <w:pgNumType w:fmt="decimal" w:start="103"/>
          <w:cols w:space="425" w:num="1"/>
          <w:titlePg/>
          <w:docGrid w:type="lines" w:linePitch="312" w:charSpace="0"/>
        </w:sectPr>
      </w:pPr>
    </w:p>
    <w:p>
      <w:pPr>
        <w:rPr>
          <w:rFonts w:hint="eastAsia" w:eastAsia="仿宋_GB2312"/>
          <w:lang w:eastAsia="zh-CN"/>
        </w:rPr>
      </w:pPr>
      <w:r>
        <w:rPr>
          <w:rFonts w:eastAsia="宋体"/>
        </w:rPr>
        <w:drawing>
          <wp:inline distT="0" distB="0" distL="114300" distR="114300">
            <wp:extent cx="5271135" cy="7790815"/>
            <wp:effectExtent l="0" t="0" r="5715" b="63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pic:cNvPicPr>
                  </pic:nvPicPr>
                  <pic:blipFill>
                    <a:blip r:embed="rId209"/>
                    <a:stretch>
                      <a:fillRect/>
                    </a:stretch>
                  </pic:blipFill>
                  <pic:spPr>
                    <a:xfrm>
                      <a:off x="0" y="0"/>
                      <a:ext cx="5271135" cy="7790815"/>
                    </a:xfrm>
                    <a:prstGeom prst="rect">
                      <a:avLst/>
                    </a:prstGeom>
                    <a:noFill/>
                    <a:ln>
                      <a:noFill/>
                    </a:ln>
                  </pic:spPr>
                </pic:pic>
              </a:graphicData>
            </a:graphic>
          </wp:inline>
        </w:drawing>
      </w:r>
    </w:p>
    <w:p>
      <w:pPr>
        <w:pStyle w:val="6"/>
        <w:rPr>
          <w:rFonts w:hint="default"/>
        </w:rPr>
      </w:pPr>
    </w:p>
    <w:p>
      <w:pPr>
        <w:spacing w:line="578" w:lineRule="exact"/>
        <w:ind w:firstLine="640"/>
        <w:rPr>
          <w:rFonts w:hint="default" w:ascii="Times New Roman" w:hAnsi="Times New Roman" w:eastAsia="仿宋_GB2312" w:cs="Times New Roman"/>
          <w:kern w:val="0"/>
          <w:sz w:val="32"/>
          <w:szCs w:val="32"/>
        </w:rPr>
      </w:pPr>
    </w:p>
    <w:p>
      <w:pPr>
        <w:pStyle w:val="6"/>
        <w:rPr>
          <w:rFonts w:hint="default" w:ascii="Times New Roman" w:hAnsi="Times New Roman" w:eastAsia="仿宋_GB2312" w:cs="Times New Roman"/>
          <w:kern w:val="0"/>
          <w:sz w:val="32"/>
          <w:szCs w:val="32"/>
        </w:rPr>
      </w:pPr>
    </w:p>
    <w:p>
      <w:pPr>
        <w:rPr>
          <w:rFonts w:hint="default" w:ascii="Times New Roman" w:hAnsi="Times New Roman" w:eastAsia="仿宋_GB2312" w:cs="Times New Roman"/>
          <w:kern w:val="0"/>
          <w:sz w:val="32"/>
          <w:szCs w:val="32"/>
        </w:rPr>
      </w:pPr>
    </w:p>
    <w:p>
      <w:pPr>
        <w:pStyle w:val="6"/>
      </w:pPr>
      <w:r>
        <w:drawing>
          <wp:inline distT="0" distB="0" distL="114300" distR="114300">
            <wp:extent cx="5271135" cy="6677025"/>
            <wp:effectExtent l="0" t="0" r="5715" b="952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pic:cNvPicPr>
                  </pic:nvPicPr>
                  <pic:blipFill>
                    <a:blip r:embed="rId210"/>
                    <a:stretch>
                      <a:fillRect/>
                    </a:stretch>
                  </pic:blipFill>
                  <pic:spPr>
                    <a:xfrm>
                      <a:off x="0" y="0"/>
                      <a:ext cx="5271135" cy="6677025"/>
                    </a:xfrm>
                    <a:prstGeom prst="rect">
                      <a:avLst/>
                    </a:prstGeom>
                    <a:noFill/>
                    <a:ln>
                      <a:noFill/>
                    </a:ln>
                  </pic:spPr>
                </pic:pic>
              </a:graphicData>
            </a:graphic>
          </wp:inline>
        </w:drawing>
      </w:r>
    </w:p>
    <w:p>
      <w:pPr>
        <w:rPr>
          <w:rFonts w:eastAsia="宋体"/>
        </w:rPr>
      </w:pPr>
    </w:p>
    <w:p>
      <w:pPr>
        <w:rPr>
          <w:rFonts w:eastAsia="宋体"/>
        </w:rPr>
      </w:pPr>
      <w:r>
        <w:rPr>
          <w:rFonts w:eastAsia="宋体"/>
        </w:rPr>
        <w:br w:type="page"/>
      </w:r>
    </w:p>
    <w:p>
      <w:pPr>
        <w:rPr>
          <w:rFonts w:eastAsia="宋体"/>
        </w:rPr>
      </w:pPr>
    </w:p>
    <w:p>
      <w:pPr>
        <w:rPr>
          <w:rFonts w:eastAsia="宋体"/>
        </w:rPr>
      </w:pPr>
      <w:r>
        <w:rPr>
          <w:rFonts w:eastAsia="宋体"/>
        </w:rPr>
        <w:drawing>
          <wp:inline distT="0" distB="0" distL="114300" distR="114300">
            <wp:extent cx="5271135" cy="7141210"/>
            <wp:effectExtent l="0" t="0" r="5715" b="2540"/>
            <wp:docPr id="1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3"/>
                    <pic:cNvPicPr>
                      <a:picLocks noChangeAspect="1"/>
                    </pic:cNvPicPr>
                  </pic:nvPicPr>
                  <pic:blipFill>
                    <a:blip r:embed="rId211"/>
                    <a:stretch>
                      <a:fillRect/>
                    </a:stretch>
                  </pic:blipFill>
                  <pic:spPr>
                    <a:xfrm>
                      <a:off x="0" y="0"/>
                      <a:ext cx="5271135" cy="7141210"/>
                    </a:xfrm>
                    <a:prstGeom prst="rect">
                      <a:avLst/>
                    </a:prstGeom>
                    <a:noFill/>
                    <a:ln>
                      <a:noFill/>
                    </a:ln>
                  </pic:spPr>
                </pic:pic>
              </a:graphicData>
            </a:graphic>
          </wp:inline>
        </w:drawing>
      </w:r>
    </w:p>
    <w:p>
      <w:pPr>
        <w:rPr>
          <w:rFonts w:eastAsia="宋体"/>
        </w:rPr>
      </w:pPr>
      <w:r>
        <w:rPr>
          <w:rFonts w:eastAsia="宋体"/>
        </w:rPr>
        <w:br w:type="page"/>
      </w:r>
    </w:p>
    <w:p>
      <w:pPr>
        <w:rPr>
          <w:rFonts w:eastAsia="宋体"/>
        </w:rPr>
      </w:pPr>
    </w:p>
    <w:p>
      <w:pPr>
        <w:rPr>
          <w:rFonts w:eastAsia="宋体"/>
        </w:rPr>
      </w:pPr>
      <w:r>
        <w:rPr>
          <w:rFonts w:eastAsia="宋体"/>
        </w:rPr>
        <w:drawing>
          <wp:inline distT="0" distB="0" distL="114300" distR="114300">
            <wp:extent cx="5271135" cy="7279005"/>
            <wp:effectExtent l="0" t="0" r="5715" b="17145"/>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4"/>
                    <pic:cNvPicPr>
                      <a:picLocks noChangeAspect="1"/>
                    </pic:cNvPicPr>
                  </pic:nvPicPr>
                  <pic:blipFill>
                    <a:blip r:embed="rId212"/>
                    <a:stretch>
                      <a:fillRect/>
                    </a:stretch>
                  </pic:blipFill>
                  <pic:spPr>
                    <a:xfrm>
                      <a:off x="0" y="0"/>
                      <a:ext cx="5271135" cy="7279005"/>
                    </a:xfrm>
                    <a:prstGeom prst="rect">
                      <a:avLst/>
                    </a:prstGeom>
                    <a:noFill/>
                    <a:ln>
                      <a:noFill/>
                    </a:ln>
                  </pic:spPr>
                </pic:pic>
              </a:graphicData>
            </a:graphic>
          </wp:inline>
        </w:drawing>
      </w:r>
    </w:p>
    <w:p>
      <w:pPr>
        <w:rPr>
          <w:rFonts w:eastAsia="宋体"/>
        </w:rPr>
      </w:pPr>
      <w:r>
        <w:rPr>
          <w:rFonts w:eastAsia="宋体"/>
        </w:rPr>
        <w:br w:type="page"/>
      </w:r>
    </w:p>
    <w:p>
      <w:pPr>
        <w:rPr>
          <w:rFonts w:eastAsia="宋体"/>
        </w:rPr>
      </w:pPr>
    </w:p>
    <w:p>
      <w:pPr>
        <w:rPr>
          <w:rFonts w:eastAsia="宋体"/>
        </w:rPr>
      </w:pPr>
      <w:r>
        <w:rPr>
          <w:rFonts w:eastAsia="宋体"/>
        </w:rPr>
        <w:drawing>
          <wp:inline distT="0" distB="0" distL="114300" distR="114300">
            <wp:extent cx="5271135" cy="6686550"/>
            <wp:effectExtent l="0" t="0" r="5715" b="0"/>
            <wp:docPr id="1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5"/>
                    <pic:cNvPicPr>
                      <a:picLocks noChangeAspect="1"/>
                    </pic:cNvPicPr>
                  </pic:nvPicPr>
                  <pic:blipFill>
                    <a:blip r:embed="rId213"/>
                    <a:stretch>
                      <a:fillRect/>
                    </a:stretch>
                  </pic:blipFill>
                  <pic:spPr>
                    <a:xfrm>
                      <a:off x="0" y="0"/>
                      <a:ext cx="5271135" cy="6686550"/>
                    </a:xfrm>
                    <a:prstGeom prst="rect">
                      <a:avLst/>
                    </a:prstGeom>
                    <a:noFill/>
                    <a:ln>
                      <a:noFill/>
                    </a:ln>
                  </pic:spPr>
                </pic:pic>
              </a:graphicData>
            </a:graphic>
          </wp:inline>
        </w:drawing>
      </w:r>
    </w:p>
    <w:p>
      <w:pPr>
        <w:rPr>
          <w:rFonts w:eastAsia="宋体"/>
        </w:rPr>
      </w:pPr>
      <w:r>
        <w:rPr>
          <w:rFonts w:eastAsia="宋体"/>
        </w:rPr>
        <w:br w:type="page"/>
      </w:r>
    </w:p>
    <w:p>
      <w:pPr>
        <w:rPr>
          <w:rFonts w:eastAsia="宋体"/>
        </w:rPr>
      </w:pPr>
    </w:p>
    <w:p>
      <w:pPr>
        <w:rPr>
          <w:rFonts w:hint="default" w:eastAsia="宋体"/>
        </w:rPr>
      </w:pPr>
      <w:r>
        <w:rPr>
          <w:rFonts w:eastAsia="宋体"/>
        </w:rPr>
        <w:drawing>
          <wp:inline distT="0" distB="0" distL="114300" distR="114300">
            <wp:extent cx="5271135" cy="6701155"/>
            <wp:effectExtent l="0" t="0" r="5715" b="4445"/>
            <wp:docPr id="1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6"/>
                    <pic:cNvPicPr>
                      <a:picLocks noChangeAspect="1"/>
                    </pic:cNvPicPr>
                  </pic:nvPicPr>
                  <pic:blipFill>
                    <a:blip r:embed="rId214"/>
                    <a:stretch>
                      <a:fillRect/>
                    </a:stretch>
                  </pic:blipFill>
                  <pic:spPr>
                    <a:xfrm>
                      <a:off x="0" y="0"/>
                      <a:ext cx="5271135" cy="6701155"/>
                    </a:xfrm>
                    <a:prstGeom prst="rect">
                      <a:avLst/>
                    </a:prstGeom>
                    <a:noFill/>
                    <a:ln>
                      <a:noFill/>
                    </a:ln>
                  </pic:spPr>
                </pic:pic>
              </a:graphicData>
            </a:graphic>
          </wp:inline>
        </w:drawing>
      </w:r>
    </w:p>
    <w:p>
      <w:pPr>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br w:type="page"/>
      </w:r>
    </w:p>
    <w:p>
      <w:pPr>
        <w:pStyle w:val="6"/>
        <w:rPr>
          <w:rFonts w:hint="default"/>
        </w:rPr>
      </w:pPr>
    </w:p>
    <w:p>
      <w:pPr>
        <w:pStyle w:val="6"/>
        <w:rPr>
          <w:rFonts w:hint="default"/>
        </w:rPr>
      </w:pPr>
      <w:r>
        <w:drawing>
          <wp:inline distT="0" distB="0" distL="114300" distR="114300">
            <wp:extent cx="5271135" cy="7418705"/>
            <wp:effectExtent l="0" t="0" r="5715" b="10795"/>
            <wp:docPr id="1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7"/>
                    <pic:cNvPicPr>
                      <a:picLocks noChangeAspect="1"/>
                    </pic:cNvPicPr>
                  </pic:nvPicPr>
                  <pic:blipFill>
                    <a:blip r:embed="rId215"/>
                    <a:stretch>
                      <a:fillRect/>
                    </a:stretch>
                  </pic:blipFill>
                  <pic:spPr>
                    <a:xfrm>
                      <a:off x="0" y="0"/>
                      <a:ext cx="5271135" cy="7418705"/>
                    </a:xfrm>
                    <a:prstGeom prst="rect">
                      <a:avLst/>
                    </a:prstGeom>
                    <a:noFill/>
                    <a:ln>
                      <a:noFill/>
                    </a:ln>
                  </pic:spPr>
                </pic:pic>
              </a:graphicData>
            </a:graphic>
          </wp:inline>
        </w:drawing>
      </w:r>
    </w:p>
    <w:p>
      <w:pPr>
        <w:rPr>
          <w:rFonts w:hint="eastAsia" w:eastAsia="黑体" w:cs="黑体"/>
          <w:kern w:val="0"/>
          <w:sz w:val="32"/>
          <w:szCs w:val="32"/>
          <w:shd w:val="clear" w:color="auto" w:fill="FFFFFF"/>
          <w:lang w:val="zh-CN"/>
        </w:rPr>
        <w:sectPr>
          <w:footerReference r:id="rId40" w:type="first"/>
          <w:headerReference r:id="rId38" w:type="default"/>
          <w:footerReference r:id="rId39" w:type="default"/>
          <w:pgSz w:w="11906" w:h="16838"/>
          <w:pgMar w:top="1440" w:right="1800" w:bottom="1440" w:left="1800" w:header="851" w:footer="992" w:gutter="0"/>
          <w:pgNumType w:fmt="decimal" w:start="104"/>
          <w:cols w:space="425" w:num="1"/>
          <w:titlePg/>
          <w:docGrid w:type="lines" w:linePitch="312" w:charSpace="0"/>
        </w:sectPr>
      </w:pPr>
    </w:p>
    <w:p>
      <w:pPr>
        <w:rPr>
          <w:rFonts w:ascii="Times New Roman" w:hAnsi="Times New Roman" w:eastAsia="宋体" w:cs="Times New Roman"/>
        </w:rPr>
      </w:pPr>
      <w:r>
        <w:rPr>
          <w:rFonts w:ascii="Times New Roman" w:hAnsi="Times New Roman" w:eastAsia="宋体" w:cs="Times New Roman"/>
        </w:rPr>
        <w:drawing>
          <wp:inline distT="0" distB="0" distL="114300" distR="114300">
            <wp:extent cx="5271135" cy="6826250"/>
            <wp:effectExtent l="0" t="0" r="5715" b="12700"/>
            <wp:docPr id="1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2"/>
                    <pic:cNvPicPr>
                      <a:picLocks noChangeAspect="1"/>
                    </pic:cNvPicPr>
                  </pic:nvPicPr>
                  <pic:blipFill>
                    <a:blip r:embed="rId216"/>
                    <a:stretch>
                      <a:fillRect/>
                    </a:stretch>
                  </pic:blipFill>
                  <pic:spPr>
                    <a:xfrm>
                      <a:off x="0" y="0"/>
                      <a:ext cx="5271135" cy="6826250"/>
                    </a:xfrm>
                    <a:prstGeom prst="rect">
                      <a:avLst/>
                    </a:prstGeom>
                    <a:noFill/>
                    <a:ln>
                      <a:noFill/>
                    </a:ln>
                  </pic:spPr>
                </pic:pic>
              </a:graphicData>
            </a:graphic>
          </wp:inline>
        </w:drawing>
      </w:r>
    </w:p>
    <w:p>
      <w:pPr>
        <w:widowControl w:val="0"/>
        <w:spacing w:beforeLines="30"/>
        <w:jc w:val="both"/>
        <w:rPr>
          <w:rFonts w:hint="default" w:ascii="仿宋_GB2312" w:hAnsi="Times New Roman" w:eastAsia="仿宋_GB2312" w:cs="Times New Roman"/>
          <w:kern w:val="0"/>
          <w:sz w:val="30"/>
          <w:szCs w:val="24"/>
          <w:lang w:val="en-US" w:eastAsia="zh-CN" w:bidi="ar-SA"/>
        </w:rPr>
      </w:pPr>
    </w:p>
    <w:p>
      <w:pPr>
        <w:spacing w:line="578" w:lineRule="exact"/>
        <w:ind w:firstLine="640"/>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br w:type="page"/>
      </w:r>
    </w:p>
    <w:p>
      <w:pPr>
        <w:rPr>
          <w:rFonts w:ascii="Times New Roman" w:hAnsi="Times New Roman" w:eastAsia="宋体" w:cs="Times New Roman"/>
        </w:rPr>
      </w:pPr>
      <w:r>
        <w:rPr>
          <w:rFonts w:ascii="Times New Roman" w:hAnsi="Times New Roman" w:eastAsia="宋体" w:cs="Times New Roman"/>
        </w:rPr>
        <w:drawing>
          <wp:inline distT="0" distB="0" distL="114300" distR="114300">
            <wp:extent cx="5271135" cy="7204710"/>
            <wp:effectExtent l="0" t="0" r="5715" b="15240"/>
            <wp:docPr id="1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4"/>
                    <pic:cNvPicPr>
                      <a:picLocks noChangeAspect="1"/>
                    </pic:cNvPicPr>
                  </pic:nvPicPr>
                  <pic:blipFill>
                    <a:blip r:embed="rId217"/>
                    <a:stretch>
                      <a:fillRect/>
                    </a:stretch>
                  </pic:blipFill>
                  <pic:spPr>
                    <a:xfrm>
                      <a:off x="0" y="0"/>
                      <a:ext cx="5271135" cy="7204710"/>
                    </a:xfrm>
                    <a:prstGeom prst="rect">
                      <a:avLst/>
                    </a:prstGeom>
                    <a:noFill/>
                    <a:ln>
                      <a:noFill/>
                    </a:ln>
                  </pic:spPr>
                </pic:pic>
              </a:graphicData>
            </a:graphic>
          </wp:inline>
        </w:drawing>
      </w:r>
    </w:p>
    <w:p>
      <w:pPr>
        <w:widowControl w:val="0"/>
        <w:spacing w:beforeLines="30"/>
        <w:jc w:val="both"/>
        <w:rPr>
          <w:rFonts w:ascii="仿宋_GB2312" w:hAnsi="Times New Roman" w:eastAsia="仿宋_GB2312" w:cs="Times New Roman"/>
          <w:kern w:val="0"/>
          <w:sz w:val="30"/>
          <w:szCs w:val="24"/>
          <w:lang w:val="en-US" w:eastAsia="zh-CN" w:bidi="ar-SA"/>
        </w:rPr>
      </w:pPr>
      <w:r>
        <w:rPr>
          <w:rFonts w:ascii="仿宋_GB2312" w:hAnsi="Times New Roman" w:eastAsia="仿宋_GB2312" w:cs="Times New Roman"/>
          <w:kern w:val="0"/>
          <w:sz w:val="30"/>
          <w:szCs w:val="24"/>
          <w:lang w:val="en-US" w:eastAsia="zh-CN" w:bidi="ar-SA"/>
        </w:rPr>
        <w:drawing>
          <wp:inline distT="0" distB="0" distL="114300" distR="114300">
            <wp:extent cx="5271135" cy="7345045"/>
            <wp:effectExtent l="0" t="0" r="5715" b="8255"/>
            <wp:docPr id="14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1"/>
                    <pic:cNvPicPr>
                      <a:picLocks noChangeAspect="1"/>
                    </pic:cNvPicPr>
                  </pic:nvPicPr>
                  <pic:blipFill>
                    <a:blip r:embed="rId218"/>
                    <a:stretch>
                      <a:fillRect/>
                    </a:stretch>
                  </pic:blipFill>
                  <pic:spPr>
                    <a:xfrm>
                      <a:off x="0" y="0"/>
                      <a:ext cx="5271135" cy="7345045"/>
                    </a:xfrm>
                    <a:prstGeom prst="rect">
                      <a:avLst/>
                    </a:prstGeom>
                    <a:noFill/>
                    <a:ln>
                      <a:noFill/>
                    </a:ln>
                  </pic:spPr>
                </pic:pic>
              </a:graphicData>
            </a:graphic>
          </wp:inline>
        </w:drawing>
      </w:r>
    </w:p>
    <w:p>
      <w:pPr>
        <w:rPr>
          <w:rFonts w:ascii="Times New Roman" w:hAnsi="Times New Roman" w:eastAsia="宋体" w:cs="Times New Roman"/>
        </w:rPr>
      </w:pPr>
      <w:r>
        <w:rPr>
          <w:rFonts w:ascii="Times New Roman" w:hAnsi="Times New Roman" w:eastAsia="宋体" w:cs="Times New Roman"/>
        </w:rPr>
        <w:drawing>
          <wp:inline distT="0" distB="0" distL="114300" distR="114300">
            <wp:extent cx="5271135" cy="6971665"/>
            <wp:effectExtent l="0" t="0" r="5715" b="635"/>
            <wp:docPr id="14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6"/>
                    <pic:cNvPicPr>
                      <a:picLocks noChangeAspect="1"/>
                    </pic:cNvPicPr>
                  </pic:nvPicPr>
                  <pic:blipFill>
                    <a:blip r:embed="rId219"/>
                    <a:stretch>
                      <a:fillRect/>
                    </a:stretch>
                  </pic:blipFill>
                  <pic:spPr>
                    <a:xfrm>
                      <a:off x="0" y="0"/>
                      <a:ext cx="5271135" cy="6971665"/>
                    </a:xfrm>
                    <a:prstGeom prst="rect">
                      <a:avLst/>
                    </a:prstGeom>
                    <a:noFill/>
                    <a:ln>
                      <a:noFill/>
                    </a:ln>
                  </pic:spPr>
                </pic:pic>
              </a:graphicData>
            </a:graphic>
          </wp:inline>
        </w:drawing>
      </w:r>
    </w:p>
    <w:p>
      <w:pPr>
        <w:widowControl w:val="0"/>
        <w:spacing w:beforeLines="30"/>
        <w:jc w:val="both"/>
        <w:rPr>
          <w:rFonts w:ascii="仿宋_GB2312" w:hAnsi="Times New Roman" w:eastAsia="仿宋_GB2312" w:cs="Times New Roman"/>
          <w:kern w:val="0"/>
          <w:sz w:val="30"/>
          <w:szCs w:val="24"/>
          <w:lang w:val="en-US" w:eastAsia="zh-CN" w:bidi="ar-SA"/>
        </w:rPr>
      </w:pPr>
    </w:p>
    <w:p>
      <w:pPr>
        <w:rPr>
          <w:rFonts w:ascii="Times New Roman" w:hAnsi="Times New Roman" w:eastAsia="宋体" w:cs="Times New Roman"/>
        </w:rPr>
      </w:pPr>
      <w:r>
        <w:rPr>
          <w:rFonts w:ascii="Times New Roman" w:hAnsi="Times New Roman" w:eastAsia="宋体" w:cs="Times New Roman"/>
        </w:rPr>
        <w:drawing>
          <wp:inline distT="0" distB="0" distL="114300" distR="114300">
            <wp:extent cx="5271135" cy="7166610"/>
            <wp:effectExtent l="0" t="0" r="5715" b="15240"/>
            <wp:docPr id="14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7"/>
                    <pic:cNvPicPr>
                      <a:picLocks noChangeAspect="1"/>
                    </pic:cNvPicPr>
                  </pic:nvPicPr>
                  <pic:blipFill>
                    <a:blip r:embed="rId220"/>
                    <a:stretch>
                      <a:fillRect/>
                    </a:stretch>
                  </pic:blipFill>
                  <pic:spPr>
                    <a:xfrm>
                      <a:off x="0" y="0"/>
                      <a:ext cx="5271135" cy="7166610"/>
                    </a:xfrm>
                    <a:prstGeom prst="rect">
                      <a:avLst/>
                    </a:prstGeom>
                    <a:noFill/>
                    <a:ln>
                      <a:noFill/>
                    </a:ln>
                  </pic:spPr>
                </pic:pic>
              </a:graphicData>
            </a:graphic>
          </wp:inline>
        </w:drawing>
      </w:r>
    </w:p>
    <w:p>
      <w:pPr>
        <w:widowControl w:val="0"/>
        <w:spacing w:beforeLines="30"/>
        <w:jc w:val="both"/>
        <w:rPr>
          <w:rFonts w:ascii="仿宋_GB2312" w:hAnsi="Times New Roman" w:eastAsia="仿宋_GB2312" w:cs="Times New Roman"/>
          <w:kern w:val="0"/>
          <w:sz w:val="30"/>
          <w:szCs w:val="24"/>
          <w:lang w:val="en-US" w:eastAsia="zh-CN" w:bidi="ar-SA"/>
        </w:rPr>
      </w:pPr>
      <w:r>
        <w:rPr>
          <w:rFonts w:ascii="仿宋_GB2312" w:hAnsi="Times New Roman" w:eastAsia="仿宋_GB2312" w:cs="Times New Roman"/>
          <w:kern w:val="0"/>
          <w:sz w:val="30"/>
          <w:szCs w:val="24"/>
          <w:lang w:val="en-US" w:eastAsia="zh-CN" w:bidi="ar-SA"/>
        </w:rPr>
        <w:drawing>
          <wp:inline distT="0" distB="0" distL="114300" distR="114300">
            <wp:extent cx="5271135" cy="7205980"/>
            <wp:effectExtent l="0" t="0" r="5715" b="13970"/>
            <wp:docPr id="1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8"/>
                    <pic:cNvPicPr>
                      <a:picLocks noChangeAspect="1"/>
                    </pic:cNvPicPr>
                  </pic:nvPicPr>
                  <pic:blipFill>
                    <a:blip r:embed="rId221"/>
                    <a:stretch>
                      <a:fillRect/>
                    </a:stretch>
                  </pic:blipFill>
                  <pic:spPr>
                    <a:xfrm>
                      <a:off x="0" y="0"/>
                      <a:ext cx="5271135" cy="7205980"/>
                    </a:xfrm>
                    <a:prstGeom prst="rect">
                      <a:avLst/>
                    </a:prstGeom>
                    <a:noFill/>
                    <a:ln>
                      <a:noFill/>
                    </a:ln>
                  </pic:spPr>
                </pic:pic>
              </a:graphicData>
            </a:graphic>
          </wp:inline>
        </w:drawing>
      </w:r>
    </w:p>
    <w:p>
      <w:pPr>
        <w:rPr>
          <w:rFonts w:ascii="Times New Roman" w:hAnsi="Times New Roman" w:eastAsia="宋体" w:cs="Times New Roman"/>
        </w:rPr>
      </w:pPr>
    </w:p>
    <w:p>
      <w:pPr>
        <w:rPr>
          <w:rFonts w:hint="eastAsia" w:eastAsia="黑体" w:cs="黑体"/>
          <w:kern w:val="0"/>
          <w:sz w:val="32"/>
          <w:szCs w:val="32"/>
          <w:shd w:val="clear" w:color="auto" w:fill="FFFFFF"/>
          <w:lang w:val="zh-CN"/>
        </w:rPr>
        <w:sectPr>
          <w:footerReference r:id="rId42" w:type="first"/>
          <w:footerReference r:id="rId41" w:type="default"/>
          <w:pgSz w:w="11906" w:h="16838"/>
          <w:pgMar w:top="1440" w:right="1800" w:bottom="1440" w:left="1800" w:header="851" w:footer="992" w:gutter="0"/>
          <w:pgNumType w:fmt="decimal" w:start="111"/>
          <w:cols w:space="425" w:num="1"/>
          <w:titlePg/>
          <w:docGrid w:type="lines" w:linePitch="312" w:charSpace="0"/>
        </w:sectPr>
      </w:pPr>
      <w:r>
        <w:rPr>
          <w:rFonts w:ascii="仿宋_GB2312" w:hAnsi="Times New Roman" w:eastAsia="仿宋_GB2312" w:cs="Times New Roman"/>
          <w:kern w:val="0"/>
          <w:sz w:val="30"/>
          <w:szCs w:val="24"/>
          <w:lang w:val="en-US" w:eastAsia="zh-CN" w:bidi="ar-SA"/>
        </w:rPr>
        <w:drawing>
          <wp:inline distT="0" distB="0" distL="114300" distR="114300">
            <wp:extent cx="5271135" cy="7070090"/>
            <wp:effectExtent l="0" t="0" r="5715" b="16510"/>
            <wp:docPr id="15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9"/>
                    <pic:cNvPicPr>
                      <a:picLocks noChangeAspect="1"/>
                    </pic:cNvPicPr>
                  </pic:nvPicPr>
                  <pic:blipFill>
                    <a:blip r:embed="rId222"/>
                    <a:stretch>
                      <a:fillRect/>
                    </a:stretch>
                  </pic:blipFill>
                  <pic:spPr>
                    <a:xfrm>
                      <a:off x="0" y="0"/>
                      <a:ext cx="5271135" cy="7070090"/>
                    </a:xfrm>
                    <a:prstGeom prst="rect">
                      <a:avLst/>
                    </a:prstGeom>
                    <a:noFill/>
                    <a:ln>
                      <a:noFill/>
                    </a:ln>
                  </pic:spPr>
                </pic:pic>
              </a:graphicData>
            </a:graphic>
          </wp:inline>
        </w:drawing>
      </w:r>
    </w:p>
    <w:p>
      <w:pPr>
        <w:numPr>
          <w:ilvl w:val="0"/>
          <w:numId w:val="0"/>
        </w:numPr>
        <w:rPr>
          <w:rFonts w:hint="default" w:ascii="Times New Roman" w:hAnsi="Times New Roman" w:cs="Times New Roman"/>
        </w:rPr>
      </w:pPr>
      <w:r>
        <w:rPr>
          <w:rFonts w:hint="default" w:ascii="Times New Roman" w:hAnsi="Times New Roman" w:cs="Times New Roman"/>
        </w:rPr>
        <w:drawing>
          <wp:anchor distT="0" distB="0" distL="114300" distR="114300" simplePos="0" relativeHeight="251667456" behindDoc="0" locked="0" layoutInCell="1" allowOverlap="1">
            <wp:simplePos x="0" y="0"/>
            <wp:positionH relativeFrom="column">
              <wp:posOffset>-123190</wp:posOffset>
            </wp:positionH>
            <wp:positionV relativeFrom="paragraph">
              <wp:posOffset>22860</wp:posOffset>
            </wp:positionV>
            <wp:extent cx="5614035" cy="7411085"/>
            <wp:effectExtent l="0" t="0" r="5715" b="18415"/>
            <wp:wrapTopAndBottom/>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pic:cNvPicPr>
                  </pic:nvPicPr>
                  <pic:blipFill>
                    <a:blip r:embed="rId223"/>
                    <a:stretch>
                      <a:fillRect/>
                    </a:stretch>
                  </pic:blipFill>
                  <pic:spPr>
                    <a:xfrm>
                      <a:off x="0" y="0"/>
                      <a:ext cx="5614035" cy="7411085"/>
                    </a:xfrm>
                    <a:prstGeom prst="rect">
                      <a:avLst/>
                    </a:prstGeom>
                    <a:noFill/>
                    <a:ln>
                      <a:noFill/>
                    </a:ln>
                  </pic:spPr>
                </pic:pic>
              </a:graphicData>
            </a:graphic>
          </wp:anchor>
        </w:drawing>
      </w:r>
    </w:p>
    <w:p>
      <w:pPr>
        <w:spacing w:line="578" w:lineRule="exact"/>
        <w:ind w:firstLine="640"/>
        <w:rPr>
          <w:rFonts w:hint="default" w:ascii="Times New Roman" w:hAnsi="Times New Roman" w:eastAsia="仿宋_GB2312" w:cs="Times New Roman"/>
          <w:kern w:val="0"/>
          <w:sz w:val="32"/>
          <w:szCs w:val="32"/>
        </w:rPr>
      </w:pPr>
    </w:p>
    <w:p>
      <w:pPr>
        <w:spacing w:line="578" w:lineRule="exact"/>
        <w:ind w:firstLine="640"/>
        <w:rPr>
          <w:rFonts w:hint="default" w:ascii="Times New Roman" w:hAnsi="Times New Roman" w:eastAsia="仿宋_GB2312" w:cs="Times New Roman"/>
          <w:kern w:val="0"/>
          <w:sz w:val="32"/>
          <w:szCs w:val="32"/>
        </w:rPr>
      </w:pPr>
    </w:p>
    <w:p>
      <w:pPr>
        <w:spacing w:line="578" w:lineRule="exact"/>
        <w:ind w:firstLine="640"/>
        <w:rPr>
          <w:rFonts w:hint="default" w:ascii="Times New Roman" w:hAnsi="Times New Roman" w:eastAsia="仿宋_GB2312" w:cs="Times New Roman"/>
          <w:kern w:val="0"/>
          <w:sz w:val="32"/>
          <w:szCs w:val="32"/>
        </w:rPr>
      </w:pPr>
    </w:p>
    <w:p>
      <w:pPr>
        <w:spacing w:line="578" w:lineRule="exact"/>
        <w:ind w:firstLine="640"/>
        <w:rPr>
          <w:rFonts w:hint="default" w:ascii="Times New Roman" w:hAnsi="Times New Roman" w:eastAsia="仿宋_GB2312" w:cs="Times New Roman"/>
          <w:kern w:val="0"/>
          <w:sz w:val="32"/>
          <w:szCs w:val="32"/>
        </w:rPr>
      </w:pPr>
    </w:p>
    <w:p>
      <w:pPr>
        <w:jc w:val="center"/>
        <w:rPr>
          <w:rFonts w:hint="default" w:ascii="Times New Roman" w:hAnsi="Times New Roman" w:cs="Times New Roman"/>
        </w:rPr>
      </w:pPr>
      <w:r>
        <w:rPr>
          <w:rFonts w:hint="default" w:ascii="Times New Roman" w:hAnsi="Times New Roman" w:cs="Times New Roman"/>
        </w:rPr>
        <w:drawing>
          <wp:inline distT="0" distB="0" distL="114300" distR="114300">
            <wp:extent cx="5271135" cy="7124700"/>
            <wp:effectExtent l="0" t="0" r="5715"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pic:cNvPicPr>
                  </pic:nvPicPr>
                  <pic:blipFill>
                    <a:blip r:embed="rId224"/>
                    <a:stretch>
                      <a:fillRect/>
                    </a:stretch>
                  </pic:blipFill>
                  <pic:spPr>
                    <a:xfrm>
                      <a:off x="0" y="0"/>
                      <a:ext cx="5271135" cy="7124700"/>
                    </a:xfrm>
                    <a:prstGeom prst="rect">
                      <a:avLst/>
                    </a:prstGeom>
                    <a:noFill/>
                    <a:ln>
                      <a:noFill/>
                    </a:ln>
                  </pic:spPr>
                </pic:pic>
              </a:graphicData>
            </a:graphic>
          </wp:inline>
        </w:drawing>
      </w:r>
    </w:p>
    <w:p>
      <w:pPr>
        <w:jc w:val="center"/>
        <w:rPr>
          <w:rFonts w:hint="default" w:ascii="Times New Roman" w:hAnsi="Times New Roman" w:cs="Times New Roman"/>
        </w:rPr>
      </w:pPr>
    </w:p>
    <w:p>
      <w:pPr>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br w:type="page"/>
      </w:r>
    </w:p>
    <w:p>
      <w:pPr>
        <w:jc w:val="center"/>
        <w:rPr>
          <w:rFonts w:hint="default" w:ascii="Times New Roman" w:hAnsi="Times New Roman" w:eastAsia="仿宋_GB2312" w:cs="Times New Roman"/>
          <w:kern w:val="0"/>
          <w:sz w:val="32"/>
          <w:szCs w:val="32"/>
        </w:rPr>
      </w:pPr>
      <w:r>
        <w:rPr>
          <w:rFonts w:hint="default" w:ascii="Times New Roman" w:hAnsi="Times New Roman" w:cs="Times New Roman"/>
        </w:rPr>
        <w:drawing>
          <wp:inline distT="0" distB="0" distL="114300" distR="114300">
            <wp:extent cx="5271135" cy="8047355"/>
            <wp:effectExtent l="0" t="0" r="5715" b="10795"/>
            <wp:docPr id="15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21"/>
                    <pic:cNvPicPr>
                      <a:picLocks noChangeAspect="1"/>
                    </pic:cNvPicPr>
                  </pic:nvPicPr>
                  <pic:blipFill>
                    <a:blip r:embed="rId225"/>
                    <a:stretch>
                      <a:fillRect/>
                    </a:stretch>
                  </pic:blipFill>
                  <pic:spPr>
                    <a:xfrm>
                      <a:off x="0" y="0"/>
                      <a:ext cx="5271135" cy="8047355"/>
                    </a:xfrm>
                    <a:prstGeom prst="rect">
                      <a:avLst/>
                    </a:prstGeom>
                    <a:noFill/>
                    <a:ln>
                      <a:noFill/>
                    </a:ln>
                  </pic:spPr>
                </pic:pic>
              </a:graphicData>
            </a:graphic>
          </wp:inline>
        </w:drawing>
      </w:r>
      <w:r>
        <w:rPr>
          <w:rFonts w:hint="default" w:ascii="Times New Roman" w:hAnsi="Times New Roman" w:eastAsia="仿宋_GB2312" w:cs="Times New Roman"/>
          <w:kern w:val="0"/>
          <w:sz w:val="32"/>
          <w:szCs w:val="32"/>
        </w:rPr>
        <w:br w:type="page"/>
      </w:r>
      <w:r>
        <w:rPr>
          <w:rFonts w:hint="default" w:ascii="Times New Roman" w:hAnsi="Times New Roman" w:cs="Times New Roman"/>
        </w:rPr>
        <w:drawing>
          <wp:anchor distT="0" distB="0" distL="114300" distR="114300" simplePos="0" relativeHeight="251665408" behindDoc="0" locked="0" layoutInCell="1" allowOverlap="1">
            <wp:simplePos x="0" y="0"/>
            <wp:positionH relativeFrom="column">
              <wp:posOffset>136525</wp:posOffset>
            </wp:positionH>
            <wp:positionV relativeFrom="paragraph">
              <wp:posOffset>423545</wp:posOffset>
            </wp:positionV>
            <wp:extent cx="5271135" cy="6811010"/>
            <wp:effectExtent l="0" t="0" r="5715" b="8890"/>
            <wp:wrapTopAndBottom/>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pic:cNvPicPr>
                      <a:picLocks noChangeAspect="1"/>
                    </pic:cNvPicPr>
                  </pic:nvPicPr>
                  <pic:blipFill>
                    <a:blip r:embed="rId226"/>
                    <a:stretch>
                      <a:fillRect/>
                    </a:stretch>
                  </pic:blipFill>
                  <pic:spPr>
                    <a:xfrm>
                      <a:off x="0" y="0"/>
                      <a:ext cx="5271135" cy="6811010"/>
                    </a:xfrm>
                    <a:prstGeom prst="rect">
                      <a:avLst/>
                    </a:prstGeom>
                    <a:noFill/>
                    <a:ln>
                      <a:noFill/>
                    </a:ln>
                  </pic:spPr>
                </pic:pic>
              </a:graphicData>
            </a:graphic>
          </wp:anchor>
        </w:drawing>
      </w:r>
      <w:r>
        <w:rPr>
          <w:rFonts w:hint="default" w:ascii="Times New Roman" w:hAnsi="Times New Roman" w:eastAsia="仿宋_GB2312" w:cs="Times New Roman"/>
          <w:kern w:val="0"/>
          <w:sz w:val="32"/>
          <w:szCs w:val="32"/>
        </w:rPr>
        <w:br w:type="page"/>
      </w:r>
    </w:p>
    <w:p>
      <w:pPr>
        <w:rPr>
          <w:rFonts w:hint="default" w:ascii="Times New Roman" w:hAnsi="Times New Roman" w:cs="Times New Roman"/>
        </w:rPr>
      </w:pPr>
      <w:r>
        <w:rPr>
          <w:rFonts w:hint="default" w:ascii="Times New Roman" w:hAnsi="Times New Roman" w:cs="Times New Roman"/>
        </w:rPr>
        <w:drawing>
          <wp:anchor distT="0" distB="0" distL="114300" distR="114300" simplePos="0" relativeHeight="251666432" behindDoc="0" locked="0" layoutInCell="1" allowOverlap="1">
            <wp:simplePos x="0" y="0"/>
            <wp:positionH relativeFrom="column">
              <wp:posOffset>237490</wp:posOffset>
            </wp:positionH>
            <wp:positionV relativeFrom="paragraph">
              <wp:posOffset>313690</wp:posOffset>
            </wp:positionV>
            <wp:extent cx="5271135" cy="7027545"/>
            <wp:effectExtent l="0" t="0" r="5715" b="1905"/>
            <wp:wrapTopAndBottom/>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pic:cNvPicPr>
                  </pic:nvPicPr>
                  <pic:blipFill>
                    <a:blip r:embed="rId227"/>
                    <a:stretch>
                      <a:fillRect/>
                    </a:stretch>
                  </pic:blipFill>
                  <pic:spPr>
                    <a:xfrm>
                      <a:off x="0" y="0"/>
                      <a:ext cx="5271135" cy="7027545"/>
                    </a:xfrm>
                    <a:prstGeom prst="rect">
                      <a:avLst/>
                    </a:prstGeom>
                    <a:noFill/>
                    <a:ln>
                      <a:noFill/>
                    </a:ln>
                  </pic:spPr>
                </pic:pic>
              </a:graphicData>
            </a:graphic>
          </wp:anchor>
        </w:drawing>
      </w:r>
      <w:r>
        <w:rPr>
          <w:rFonts w:hint="default" w:ascii="Times New Roman" w:hAnsi="Times New Roman" w:eastAsia="仿宋_GB2312" w:cs="Times New Roman"/>
          <w:kern w:val="0"/>
          <w:sz w:val="32"/>
          <w:szCs w:val="32"/>
        </w:rPr>
        <w:br w:type="page"/>
      </w:r>
      <w:r>
        <w:rPr>
          <w:rFonts w:hint="default" w:ascii="Times New Roman" w:hAnsi="Times New Roman" w:cs="Times New Roman"/>
        </w:rPr>
        <w:drawing>
          <wp:inline distT="0" distB="0" distL="114300" distR="114300">
            <wp:extent cx="5271135" cy="6543040"/>
            <wp:effectExtent l="0" t="0" r="5715" b="1016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pic:cNvPicPr>
                  </pic:nvPicPr>
                  <pic:blipFill>
                    <a:blip r:embed="rId228"/>
                    <a:stretch>
                      <a:fillRect/>
                    </a:stretch>
                  </pic:blipFill>
                  <pic:spPr>
                    <a:xfrm>
                      <a:off x="0" y="0"/>
                      <a:ext cx="5271135" cy="6543040"/>
                    </a:xfrm>
                    <a:prstGeom prst="rect">
                      <a:avLst/>
                    </a:prstGeom>
                    <a:noFill/>
                    <a:ln>
                      <a:noFill/>
                    </a:ln>
                  </pic:spPr>
                </pic:pic>
              </a:graphicData>
            </a:graphic>
          </wp:inline>
        </w:drawing>
      </w:r>
    </w:p>
    <w:p>
      <w:pPr>
        <w:rPr>
          <w:rFonts w:hint="default" w:ascii="Times New Roman" w:hAnsi="Times New Roman" w:cs="Times New Roman"/>
        </w:rPr>
      </w:pPr>
      <w:r>
        <w:rPr>
          <w:rFonts w:hint="default" w:ascii="Times New Roman" w:hAnsi="Times New Roman" w:cs="Times New Roman"/>
        </w:rPr>
        <w:br w:type="page"/>
      </w:r>
    </w:p>
    <w:p>
      <w:pPr>
        <w:rPr>
          <w:rFonts w:hint="default" w:ascii="Times New Roman" w:hAnsi="Times New Roman" w:eastAsia="宋体" w:cs="Times New Roman"/>
          <w:kern w:val="2"/>
          <w:sz w:val="21"/>
          <w:szCs w:val="32"/>
          <w:lang w:val="en-US" w:eastAsia="zh-CN" w:bidi="ar-SA"/>
        </w:rPr>
      </w:pPr>
      <w:r>
        <w:rPr>
          <w:rFonts w:hint="default" w:ascii="Times New Roman" w:hAnsi="Times New Roman" w:cs="Times New Roman"/>
        </w:rPr>
        <w:drawing>
          <wp:inline distT="0" distB="0" distL="114300" distR="114300">
            <wp:extent cx="5271135" cy="7484745"/>
            <wp:effectExtent l="0" t="0" r="5715" b="1905"/>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pic:cNvPicPr>
                  </pic:nvPicPr>
                  <pic:blipFill>
                    <a:blip r:embed="rId229"/>
                    <a:stretch>
                      <a:fillRect/>
                    </a:stretch>
                  </pic:blipFill>
                  <pic:spPr>
                    <a:xfrm>
                      <a:off x="0" y="0"/>
                      <a:ext cx="5271135" cy="7484745"/>
                    </a:xfrm>
                    <a:prstGeom prst="rect">
                      <a:avLst/>
                    </a:prstGeom>
                    <a:noFill/>
                    <a:ln>
                      <a:noFill/>
                    </a:ln>
                  </pic:spPr>
                </pic:pic>
              </a:graphicData>
            </a:graphic>
          </wp:inline>
        </w:drawing>
      </w:r>
      <w:r>
        <w:rPr>
          <w:rFonts w:hint="default" w:ascii="Times New Roman" w:hAnsi="Times New Roman" w:cs="Times New Roman"/>
        </w:rPr>
        <w:br w:type="page"/>
      </w:r>
    </w:p>
    <w:p>
      <w:pPr>
        <w:widowControl w:val="0"/>
        <w:spacing w:after="120"/>
        <w:ind w:left="0" w:leftChars="0" w:firstLine="0" w:firstLineChars="0"/>
        <w:jc w:val="both"/>
        <w:rPr>
          <w:rFonts w:hint="default" w:ascii="Times New Roman" w:hAnsi="Times New Roman" w:eastAsia="宋体" w:cs="Times New Roman"/>
          <w:kern w:val="2"/>
          <w:sz w:val="21"/>
          <w:szCs w:val="32"/>
          <w:lang w:val="en-US" w:eastAsia="zh-CN" w:bidi="ar-SA"/>
        </w:rPr>
      </w:pPr>
      <w:r>
        <w:rPr>
          <w:rFonts w:hint="default" w:ascii="Times New Roman" w:hAnsi="Times New Roman" w:eastAsia="宋体" w:cs="Times New Roman"/>
          <w:kern w:val="2"/>
          <w:sz w:val="21"/>
          <w:szCs w:val="32"/>
          <w:lang w:val="en-US" w:eastAsia="zh-CN" w:bidi="ar-SA"/>
        </w:rPr>
        <w:drawing>
          <wp:inline distT="0" distB="0" distL="114300" distR="114300">
            <wp:extent cx="5271135" cy="6988175"/>
            <wp:effectExtent l="0" t="0" r="5715" b="3175"/>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pic:cNvPicPr>
                      <a:picLocks noChangeAspect="1"/>
                    </pic:cNvPicPr>
                  </pic:nvPicPr>
                  <pic:blipFill>
                    <a:blip r:embed="rId230"/>
                    <a:stretch>
                      <a:fillRect/>
                    </a:stretch>
                  </pic:blipFill>
                  <pic:spPr>
                    <a:xfrm>
                      <a:off x="0" y="0"/>
                      <a:ext cx="5271135" cy="6988175"/>
                    </a:xfrm>
                    <a:prstGeom prst="rect">
                      <a:avLst/>
                    </a:prstGeom>
                    <a:noFill/>
                    <a:ln>
                      <a:noFill/>
                    </a:ln>
                  </pic:spPr>
                </pic:pic>
              </a:graphicData>
            </a:graphic>
          </wp:inline>
        </w:drawing>
      </w:r>
    </w:p>
    <w:p>
      <w:pPr>
        <w:rPr>
          <w:rFonts w:hint="default" w:ascii="Times New Roman" w:hAnsi="Times New Roman" w:eastAsia="宋体" w:cs="Times New Roman"/>
          <w:kern w:val="2"/>
          <w:sz w:val="21"/>
          <w:szCs w:val="32"/>
          <w:lang w:val="en-US" w:eastAsia="zh-CN" w:bidi="ar-SA"/>
        </w:rPr>
      </w:pPr>
      <w:r>
        <w:rPr>
          <w:rFonts w:hint="default" w:ascii="Times New Roman" w:hAnsi="Times New Roman" w:cs="Times New Roman"/>
        </w:rPr>
        <w:br w:type="page"/>
      </w:r>
    </w:p>
    <w:p>
      <w:pPr>
        <w:rPr>
          <w:rFonts w:hint="eastAsia" w:eastAsia="黑体" w:cs="黑体"/>
          <w:kern w:val="0"/>
          <w:sz w:val="32"/>
          <w:szCs w:val="32"/>
          <w:shd w:val="clear" w:color="auto" w:fill="FFFFFF"/>
          <w:lang w:val="zh-CN"/>
        </w:rPr>
        <w:sectPr>
          <w:footerReference r:id="rId44" w:type="first"/>
          <w:footerReference r:id="rId43" w:type="default"/>
          <w:pgSz w:w="11906" w:h="16838"/>
          <w:pgMar w:top="1440" w:right="1800" w:bottom="1440" w:left="1800" w:header="851" w:footer="992" w:gutter="0"/>
          <w:pgNumType w:fmt="decimal" w:start="118"/>
          <w:cols w:space="425" w:num="1"/>
          <w:titlePg/>
          <w:docGrid w:type="lines" w:linePitch="312" w:charSpace="0"/>
        </w:sectPr>
      </w:pPr>
      <w:r>
        <w:rPr>
          <w:rFonts w:hint="default" w:ascii="Times New Roman" w:hAnsi="Times New Roman" w:eastAsia="宋体" w:cs="Times New Roman"/>
          <w:kern w:val="2"/>
          <w:sz w:val="21"/>
          <w:szCs w:val="32"/>
          <w:lang w:val="en-US" w:eastAsia="zh-CN" w:bidi="ar-SA"/>
        </w:rPr>
        <w:drawing>
          <wp:inline distT="0" distB="0" distL="114300" distR="114300">
            <wp:extent cx="5271135" cy="7572375"/>
            <wp:effectExtent l="0" t="0" r="5715" b="9525"/>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pic:cNvPicPr>
                  </pic:nvPicPr>
                  <pic:blipFill>
                    <a:blip r:embed="rId231"/>
                    <a:stretch>
                      <a:fillRect/>
                    </a:stretch>
                  </pic:blipFill>
                  <pic:spPr>
                    <a:xfrm>
                      <a:off x="0" y="0"/>
                      <a:ext cx="5271135" cy="7572375"/>
                    </a:xfrm>
                    <a:prstGeom prst="rect">
                      <a:avLst/>
                    </a:prstGeom>
                    <a:noFill/>
                    <a:ln>
                      <a:noFill/>
                    </a:ln>
                  </pic:spPr>
                </pic:pic>
              </a:graphicData>
            </a:graphic>
          </wp:inline>
        </w:drawing>
      </w:r>
    </w:p>
    <w:p>
      <w:pPr>
        <w:rPr>
          <w:rFonts w:hint="default" w:ascii="Times New Roman" w:hAnsi="Times New Roman" w:cs="Times New Roman"/>
        </w:rPr>
      </w:pPr>
    </w:p>
    <w:p>
      <w:pPr>
        <w:bidi w:val="0"/>
        <w:rPr>
          <w:rFonts w:hint="default" w:ascii="Times New Roman" w:hAnsi="Times New Roman" w:eastAsia="宋体" w:cs="Times New Roman"/>
          <w:kern w:val="2"/>
          <w:sz w:val="21"/>
          <w:szCs w:val="24"/>
          <w:lang w:val="en-US" w:eastAsia="zh-CN" w:bidi="ar-SA"/>
        </w:rPr>
      </w:pPr>
      <w:r>
        <w:drawing>
          <wp:inline distT="0" distB="0" distL="114300" distR="114300">
            <wp:extent cx="5265420" cy="6614795"/>
            <wp:effectExtent l="0" t="0" r="11430" b="14605"/>
            <wp:docPr id="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
                    <pic:cNvPicPr>
                      <a:picLocks noChangeAspect="1"/>
                    </pic:cNvPicPr>
                  </pic:nvPicPr>
                  <pic:blipFill>
                    <a:blip r:embed="rId232"/>
                    <a:stretch>
                      <a:fillRect/>
                    </a:stretch>
                  </pic:blipFill>
                  <pic:spPr>
                    <a:xfrm>
                      <a:off x="0" y="0"/>
                      <a:ext cx="5265420" cy="6614795"/>
                    </a:xfrm>
                    <a:prstGeom prst="rect">
                      <a:avLst/>
                    </a:prstGeom>
                    <a:noFill/>
                    <a:ln>
                      <a:noFill/>
                    </a:ln>
                  </pic:spPr>
                </pic:pic>
              </a:graphicData>
            </a:graphic>
          </wp:inline>
        </w:drawing>
      </w:r>
    </w:p>
    <w:p>
      <w:pPr>
        <w:bidi w:val="0"/>
        <w:rPr>
          <w:rFonts w:hint="default" w:ascii="Times New Roman" w:hAnsi="Times New Roman" w:cs="Times New Roman"/>
          <w:lang w:val="en-US" w:eastAsia="zh-CN"/>
        </w:rPr>
      </w:pPr>
    </w:p>
    <w:p>
      <w:pPr>
        <w:bidi w:val="0"/>
        <w:rPr>
          <w:rFonts w:hint="default" w:ascii="Times New Roman" w:hAnsi="Times New Roman" w:cs="Times New Roman"/>
          <w:lang w:val="en-US" w:eastAsia="zh-CN"/>
        </w:rPr>
      </w:pPr>
    </w:p>
    <w:p>
      <w:pPr>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br w:type="page"/>
      </w:r>
      <w:r>
        <w:drawing>
          <wp:inline distT="0" distB="0" distL="114300" distR="114300">
            <wp:extent cx="5265420" cy="6946265"/>
            <wp:effectExtent l="0" t="0" r="11430" b="6985"/>
            <wp:docPr id="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
                    <pic:cNvPicPr>
                      <a:picLocks noChangeAspect="1"/>
                    </pic:cNvPicPr>
                  </pic:nvPicPr>
                  <pic:blipFill>
                    <a:blip r:embed="rId233"/>
                    <a:stretch>
                      <a:fillRect/>
                    </a:stretch>
                  </pic:blipFill>
                  <pic:spPr>
                    <a:xfrm>
                      <a:off x="0" y="0"/>
                      <a:ext cx="5265420" cy="6946265"/>
                    </a:xfrm>
                    <a:prstGeom prst="rect">
                      <a:avLst/>
                    </a:prstGeom>
                    <a:noFill/>
                    <a:ln>
                      <a:noFill/>
                    </a:ln>
                  </pic:spPr>
                </pic:pic>
              </a:graphicData>
            </a:graphic>
          </wp:inline>
        </w:drawing>
      </w:r>
    </w:p>
    <w:p>
      <w:pPr>
        <w:sectPr>
          <w:footerReference r:id="rId46" w:type="first"/>
          <w:footerReference r:id="rId45" w:type="default"/>
          <w:pgSz w:w="11906" w:h="16838"/>
          <w:pgMar w:top="1440" w:right="1800" w:bottom="1440" w:left="1800" w:header="851" w:footer="992" w:gutter="0"/>
          <w:pgNumType w:fmt="decimal"/>
          <w:cols w:space="425" w:num="1"/>
          <w:titlePg/>
          <w:docGrid w:type="lines" w:linePitch="312" w:charSpace="0"/>
        </w:sectPr>
      </w:pPr>
    </w:p>
    <w:p>
      <w:pPr>
        <w:sectPr>
          <w:pgSz w:w="11906" w:h="16838"/>
          <w:pgMar w:top="1440" w:right="1800" w:bottom="1440" w:left="1800" w:header="851" w:footer="992" w:gutter="0"/>
          <w:pgNumType w:fmt="decimal"/>
          <w:cols w:space="425" w:num="1"/>
          <w:titlePg/>
          <w:docGrid w:type="lines" w:linePitch="312" w:charSpace="0"/>
        </w:sectPr>
      </w:pPr>
      <w:r>
        <w:drawing>
          <wp:inline distT="0" distB="0" distL="114300" distR="114300">
            <wp:extent cx="5265420" cy="7067550"/>
            <wp:effectExtent l="0" t="0" r="11430" b="0"/>
            <wp:docPr id="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
                    <pic:cNvPicPr>
                      <a:picLocks noChangeAspect="1"/>
                    </pic:cNvPicPr>
                  </pic:nvPicPr>
                  <pic:blipFill>
                    <a:blip r:embed="rId234"/>
                    <a:stretch>
                      <a:fillRect/>
                    </a:stretch>
                  </pic:blipFill>
                  <pic:spPr>
                    <a:xfrm>
                      <a:off x="0" y="0"/>
                      <a:ext cx="5265420" cy="7067550"/>
                    </a:xfrm>
                    <a:prstGeom prst="rect">
                      <a:avLst/>
                    </a:prstGeom>
                    <a:noFill/>
                    <a:ln>
                      <a:noFill/>
                    </a:ln>
                  </pic:spPr>
                </pic:pic>
              </a:graphicData>
            </a:graphic>
          </wp:inline>
        </w:drawing>
      </w:r>
    </w:p>
    <w:p>
      <w:pPr>
        <w:sectPr>
          <w:pgSz w:w="11906" w:h="16838"/>
          <w:pgMar w:top="1440" w:right="1800" w:bottom="1440" w:left="1800" w:header="851" w:footer="992" w:gutter="0"/>
          <w:pgNumType w:fmt="decimal"/>
          <w:cols w:space="425" w:num="1"/>
          <w:titlePg/>
          <w:docGrid w:type="lines" w:linePitch="312" w:charSpace="0"/>
        </w:sectPr>
      </w:pPr>
      <w:r>
        <w:drawing>
          <wp:inline distT="0" distB="0" distL="114300" distR="114300">
            <wp:extent cx="5265420" cy="7318375"/>
            <wp:effectExtent l="0" t="0" r="11430" b="15875"/>
            <wp:docPr id="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pic:cNvPicPr>
                  </pic:nvPicPr>
                  <pic:blipFill>
                    <a:blip r:embed="rId235"/>
                    <a:stretch>
                      <a:fillRect/>
                    </a:stretch>
                  </pic:blipFill>
                  <pic:spPr>
                    <a:xfrm>
                      <a:off x="0" y="0"/>
                      <a:ext cx="5265420" cy="7318375"/>
                    </a:xfrm>
                    <a:prstGeom prst="rect">
                      <a:avLst/>
                    </a:prstGeom>
                    <a:noFill/>
                    <a:ln>
                      <a:noFill/>
                    </a:ln>
                  </pic:spPr>
                </pic:pic>
              </a:graphicData>
            </a:graphic>
          </wp:inline>
        </w:drawing>
      </w:r>
    </w:p>
    <w:p>
      <w:pPr>
        <w:sectPr>
          <w:pgSz w:w="11906" w:h="16838"/>
          <w:pgMar w:top="1440" w:right="1800" w:bottom="1440" w:left="1800" w:header="851" w:footer="992" w:gutter="0"/>
          <w:pgNumType w:fmt="decimal"/>
          <w:cols w:space="425" w:num="1"/>
          <w:titlePg/>
          <w:docGrid w:type="lines" w:linePitch="312" w:charSpace="0"/>
        </w:sectPr>
      </w:pPr>
      <w:r>
        <w:drawing>
          <wp:inline distT="0" distB="0" distL="114300" distR="114300">
            <wp:extent cx="5271135" cy="6752590"/>
            <wp:effectExtent l="0" t="0" r="5715" b="10160"/>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236"/>
                    <a:stretch>
                      <a:fillRect/>
                    </a:stretch>
                  </pic:blipFill>
                  <pic:spPr>
                    <a:xfrm>
                      <a:off x="0" y="0"/>
                      <a:ext cx="5271135" cy="6752590"/>
                    </a:xfrm>
                    <a:prstGeom prst="rect">
                      <a:avLst/>
                    </a:prstGeom>
                    <a:noFill/>
                    <a:ln>
                      <a:noFill/>
                    </a:ln>
                  </pic:spPr>
                </pic:pic>
              </a:graphicData>
            </a:graphic>
          </wp:inline>
        </w:drawing>
      </w:r>
    </w:p>
    <w:p>
      <w:pPr>
        <w:sectPr>
          <w:pgSz w:w="11906" w:h="16838"/>
          <w:pgMar w:top="1440" w:right="1800" w:bottom="1440" w:left="1800" w:header="851" w:footer="992" w:gutter="0"/>
          <w:pgNumType w:fmt="decimal"/>
          <w:cols w:space="425" w:num="1"/>
          <w:titlePg/>
          <w:docGrid w:type="lines" w:linePitch="312" w:charSpace="0"/>
        </w:sectPr>
      </w:pPr>
      <w:r>
        <w:drawing>
          <wp:inline distT="0" distB="0" distL="114300" distR="114300">
            <wp:extent cx="5271135" cy="7474585"/>
            <wp:effectExtent l="0" t="0" r="5715" b="12065"/>
            <wp:docPr id="5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7"/>
                    <pic:cNvPicPr>
                      <a:picLocks noChangeAspect="1"/>
                    </pic:cNvPicPr>
                  </pic:nvPicPr>
                  <pic:blipFill>
                    <a:blip r:embed="rId237"/>
                    <a:stretch>
                      <a:fillRect/>
                    </a:stretch>
                  </pic:blipFill>
                  <pic:spPr>
                    <a:xfrm>
                      <a:off x="0" y="0"/>
                      <a:ext cx="5271135" cy="7474585"/>
                    </a:xfrm>
                    <a:prstGeom prst="rect">
                      <a:avLst/>
                    </a:prstGeom>
                    <a:noFill/>
                    <a:ln>
                      <a:noFill/>
                    </a:ln>
                  </pic:spPr>
                </pic:pic>
              </a:graphicData>
            </a:graphic>
          </wp:inline>
        </w:drawing>
      </w:r>
    </w:p>
    <w:p>
      <w:pPr>
        <w:sectPr>
          <w:pgSz w:w="11906" w:h="16838"/>
          <w:pgMar w:top="1440" w:right="1800" w:bottom="1440" w:left="1800" w:header="851" w:footer="992" w:gutter="0"/>
          <w:pgNumType w:fmt="decimal"/>
          <w:cols w:space="425" w:num="1"/>
          <w:titlePg/>
          <w:docGrid w:type="lines" w:linePitch="312" w:charSpace="0"/>
        </w:sectPr>
      </w:pPr>
      <w:r>
        <w:drawing>
          <wp:inline distT="0" distB="0" distL="114300" distR="114300">
            <wp:extent cx="5265420" cy="8300085"/>
            <wp:effectExtent l="0" t="0" r="11430" b="5715"/>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8"/>
                    <pic:cNvPicPr>
                      <a:picLocks noChangeAspect="1"/>
                    </pic:cNvPicPr>
                  </pic:nvPicPr>
                  <pic:blipFill>
                    <a:blip r:embed="rId238"/>
                    <a:stretch>
                      <a:fillRect/>
                    </a:stretch>
                  </pic:blipFill>
                  <pic:spPr>
                    <a:xfrm>
                      <a:off x="0" y="0"/>
                      <a:ext cx="5265420" cy="8300085"/>
                    </a:xfrm>
                    <a:prstGeom prst="rect">
                      <a:avLst/>
                    </a:prstGeom>
                    <a:noFill/>
                    <a:ln>
                      <a:noFill/>
                    </a:ln>
                  </pic:spPr>
                </pic:pic>
              </a:graphicData>
            </a:graphic>
          </wp:inline>
        </w:drawing>
      </w:r>
    </w:p>
    <w:p>
      <w:pPr>
        <w:rPr>
          <w:rFonts w:hint="eastAsia" w:eastAsia="黑体" w:cs="黑体"/>
          <w:kern w:val="0"/>
          <w:sz w:val="32"/>
          <w:szCs w:val="32"/>
          <w:shd w:val="clear" w:color="auto" w:fill="FFFFFF"/>
          <w:lang w:val="zh-CN"/>
        </w:rPr>
        <w:sectPr>
          <w:footerReference r:id="rId48" w:type="first"/>
          <w:footerReference r:id="rId47" w:type="default"/>
          <w:pgSz w:w="11906" w:h="16838"/>
          <w:pgMar w:top="1440" w:right="1800" w:bottom="1440" w:left="1800" w:header="851" w:footer="992" w:gutter="0"/>
          <w:pgNumType w:fmt="decimal" w:start="134"/>
          <w:cols w:space="425" w:num="1"/>
          <w:titlePg/>
          <w:docGrid w:type="lines" w:linePitch="312" w:charSpace="0"/>
        </w:sectPr>
      </w:pPr>
      <w:r>
        <w:drawing>
          <wp:inline distT="0" distB="0" distL="114300" distR="114300">
            <wp:extent cx="5265420" cy="7373620"/>
            <wp:effectExtent l="0" t="0" r="11430" b="17780"/>
            <wp:docPr id="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9"/>
                    <pic:cNvPicPr>
                      <a:picLocks noChangeAspect="1"/>
                    </pic:cNvPicPr>
                  </pic:nvPicPr>
                  <pic:blipFill>
                    <a:blip r:embed="rId239"/>
                    <a:stretch>
                      <a:fillRect/>
                    </a:stretch>
                  </pic:blipFill>
                  <pic:spPr>
                    <a:xfrm>
                      <a:off x="0" y="0"/>
                      <a:ext cx="5265420" cy="7373620"/>
                    </a:xfrm>
                    <a:prstGeom prst="rect">
                      <a:avLst/>
                    </a:prstGeom>
                    <a:noFill/>
                    <a:ln>
                      <a:noFill/>
                    </a:ln>
                  </pic:spPr>
                </pic:pic>
              </a:graphicData>
            </a:graphic>
          </wp:inline>
        </w:drawing>
      </w:r>
      <w:r>
        <w:drawing>
          <wp:inline distT="0" distB="0" distL="114300" distR="114300">
            <wp:extent cx="5265420" cy="7499350"/>
            <wp:effectExtent l="0" t="0" r="11430" b="6350"/>
            <wp:docPr id="5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0"/>
                    <pic:cNvPicPr>
                      <a:picLocks noChangeAspect="1"/>
                    </pic:cNvPicPr>
                  </pic:nvPicPr>
                  <pic:blipFill>
                    <a:blip r:embed="rId240"/>
                    <a:stretch>
                      <a:fillRect/>
                    </a:stretch>
                  </pic:blipFill>
                  <pic:spPr>
                    <a:xfrm>
                      <a:off x="0" y="0"/>
                      <a:ext cx="5265420" cy="7499350"/>
                    </a:xfrm>
                    <a:prstGeom prst="rect">
                      <a:avLst/>
                    </a:prstGeom>
                    <a:noFill/>
                    <a:ln>
                      <a:noFill/>
                    </a:ln>
                  </pic:spPr>
                </pic:pic>
              </a:graphicData>
            </a:graphic>
          </wp:inline>
        </w:drawing>
      </w:r>
    </w:p>
    <w:p>
      <w:pPr>
        <w:widowControl w:val="0"/>
        <w:snapToGrid w:val="0"/>
        <w:jc w:val="left"/>
        <w:rPr>
          <w:rFonts w:hint="default" w:ascii="Times New Roman" w:hAnsi="Times New Roman" w:eastAsia="宋体" w:cs="Times New Roman"/>
          <w:kern w:val="2"/>
          <w:sz w:val="18"/>
          <w:szCs w:val="18"/>
          <w:lang w:val="en-US" w:eastAsia="zh-CN" w:bidi="ar-SA"/>
        </w:rPr>
      </w:pPr>
      <w:r>
        <w:rPr>
          <w:rFonts w:hint="default" w:ascii="Times New Roman" w:hAnsi="Times New Roman" w:eastAsia="宋体" w:cs="Times New Roman"/>
          <w:kern w:val="2"/>
          <w:sz w:val="18"/>
          <w:szCs w:val="18"/>
          <w:lang w:val="en-US" w:eastAsia="zh-CN" w:bidi="ar-SA"/>
        </w:rPr>
        <w:drawing>
          <wp:inline distT="0" distB="0" distL="114300" distR="114300">
            <wp:extent cx="5271135" cy="6960235"/>
            <wp:effectExtent l="0" t="0" r="5715" b="12065"/>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pic:cNvPicPr>
                      <a:picLocks noChangeAspect="1"/>
                    </pic:cNvPicPr>
                  </pic:nvPicPr>
                  <pic:blipFill>
                    <a:blip r:embed="rId241"/>
                    <a:stretch>
                      <a:fillRect/>
                    </a:stretch>
                  </pic:blipFill>
                  <pic:spPr>
                    <a:xfrm>
                      <a:off x="0" y="0"/>
                      <a:ext cx="5271135" cy="6960235"/>
                    </a:xfrm>
                    <a:prstGeom prst="rect">
                      <a:avLst/>
                    </a:prstGeom>
                    <a:noFill/>
                    <a:ln>
                      <a:noFill/>
                    </a:ln>
                  </pic:spPr>
                </pic:pic>
              </a:graphicData>
            </a:graphic>
          </wp:inline>
        </w:drawing>
      </w:r>
    </w:p>
    <w:p>
      <w:pPr>
        <w:widowControl w:val="0"/>
        <w:spacing w:after="120"/>
        <w:ind w:left="420" w:leftChars="200" w:firstLine="420" w:firstLineChars="200"/>
        <w:jc w:val="both"/>
        <w:rPr>
          <w:rFonts w:hint="default" w:ascii="Times New Roman" w:hAnsi="Times New Roman" w:eastAsia="宋体" w:cs="Times New Roman"/>
          <w:kern w:val="2"/>
          <w:sz w:val="21"/>
          <w:szCs w:val="32"/>
          <w:lang w:val="en-US" w:eastAsia="zh-CN" w:bidi="ar-SA"/>
        </w:rPr>
      </w:pPr>
    </w:p>
    <w:p>
      <w:pPr>
        <w:widowControl w:val="0"/>
        <w:spacing w:after="120"/>
        <w:ind w:left="420" w:leftChars="200" w:firstLine="420" w:firstLineChars="200"/>
        <w:jc w:val="both"/>
        <w:rPr>
          <w:rFonts w:hint="default" w:ascii="Times New Roman" w:hAnsi="Times New Roman" w:eastAsia="宋体" w:cs="Times New Roman"/>
          <w:kern w:val="2"/>
          <w:sz w:val="21"/>
          <w:szCs w:val="32"/>
          <w:lang w:val="en-US" w:eastAsia="zh-CN" w:bidi="ar-SA"/>
        </w:rPr>
      </w:pPr>
    </w:p>
    <w:p>
      <w:pPr>
        <w:rPr>
          <w:rFonts w:hint="default" w:ascii="Times New Roman" w:hAnsi="Times New Roman" w:eastAsia="仿宋_GB2312" w:cs="Times New Roman"/>
          <w:kern w:val="0"/>
          <w:sz w:val="32"/>
          <w:szCs w:val="32"/>
          <w:lang w:val="en-US" w:eastAsia="zh-CN"/>
        </w:rPr>
      </w:pPr>
      <w:r>
        <w:rPr>
          <w:rFonts w:hint="default" w:ascii="Times New Roman" w:hAnsi="Times New Roman" w:eastAsia="仿宋_GB2312" w:cs="Times New Roman"/>
          <w:kern w:val="0"/>
          <w:sz w:val="32"/>
          <w:szCs w:val="32"/>
        </w:rPr>
        <w:br w:type="page"/>
      </w:r>
      <w:r>
        <w:rPr>
          <w:rFonts w:hint="default" w:ascii="Times New Roman" w:hAnsi="Times New Roman" w:cs="Times New Roman"/>
        </w:rPr>
        <w:drawing>
          <wp:anchor distT="0" distB="0" distL="114300" distR="114300" simplePos="0" relativeHeight="251668480" behindDoc="0" locked="0" layoutInCell="1" allowOverlap="1">
            <wp:simplePos x="0" y="0"/>
            <wp:positionH relativeFrom="column">
              <wp:posOffset>152400</wp:posOffset>
            </wp:positionH>
            <wp:positionV relativeFrom="paragraph">
              <wp:posOffset>-93345</wp:posOffset>
            </wp:positionV>
            <wp:extent cx="5271135" cy="7814310"/>
            <wp:effectExtent l="0" t="0" r="5715" b="15240"/>
            <wp:wrapTopAndBottom/>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pic:cNvPicPr>
                      <a:picLocks noChangeAspect="1"/>
                    </pic:cNvPicPr>
                  </pic:nvPicPr>
                  <pic:blipFill>
                    <a:blip r:embed="rId242"/>
                    <a:stretch>
                      <a:fillRect/>
                    </a:stretch>
                  </pic:blipFill>
                  <pic:spPr>
                    <a:xfrm>
                      <a:off x="0" y="0"/>
                      <a:ext cx="5271135" cy="7814310"/>
                    </a:xfrm>
                    <a:prstGeom prst="rect">
                      <a:avLst/>
                    </a:prstGeom>
                    <a:noFill/>
                    <a:ln>
                      <a:noFill/>
                    </a:ln>
                  </pic:spPr>
                </pic:pic>
              </a:graphicData>
            </a:graphic>
          </wp:anchor>
        </w:drawing>
      </w:r>
      <w:r>
        <w:rPr>
          <w:rFonts w:hint="default" w:ascii="Times New Roman" w:hAnsi="Times New Roman" w:eastAsia="仿宋_GB2312" w:cs="Times New Roman"/>
          <w:kern w:val="0"/>
          <w:sz w:val="32"/>
          <w:szCs w:val="32"/>
        </w:rPr>
        <w:br w:type="page"/>
      </w:r>
      <w:r>
        <w:rPr>
          <w:rFonts w:hint="default" w:ascii="Times New Roman" w:hAnsi="Times New Roman" w:eastAsia="仿宋_GB2312" w:cs="Times New Roman"/>
          <w:kern w:val="0"/>
          <w:sz w:val="32"/>
          <w:szCs w:val="32"/>
          <w:lang w:val="en-US" w:eastAsia="zh-CN"/>
        </w:rPr>
        <w:t xml:space="preserve"> </w:t>
      </w:r>
    </w:p>
    <w:p>
      <w:pPr>
        <w:rPr>
          <w:rFonts w:hint="default" w:ascii="Times New Roman" w:hAnsi="Times New Roman" w:cs="Times New Roman"/>
        </w:rPr>
      </w:pPr>
      <w:r>
        <w:rPr>
          <w:rFonts w:hint="default" w:ascii="Times New Roman" w:hAnsi="Times New Roman" w:cs="Times New Roman"/>
        </w:rPr>
        <w:drawing>
          <wp:inline distT="0" distB="0" distL="114300" distR="114300">
            <wp:extent cx="5271135" cy="6612255"/>
            <wp:effectExtent l="0" t="0" r="5715" b="17145"/>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pic:cNvPicPr>
                      <a:picLocks noChangeAspect="1"/>
                    </pic:cNvPicPr>
                  </pic:nvPicPr>
                  <pic:blipFill>
                    <a:blip r:embed="rId243"/>
                    <a:stretch>
                      <a:fillRect/>
                    </a:stretch>
                  </pic:blipFill>
                  <pic:spPr>
                    <a:xfrm>
                      <a:off x="0" y="0"/>
                      <a:ext cx="5271135" cy="6612255"/>
                    </a:xfrm>
                    <a:prstGeom prst="rect">
                      <a:avLst/>
                    </a:prstGeom>
                    <a:noFill/>
                    <a:ln>
                      <a:noFill/>
                    </a:ln>
                  </pic:spPr>
                </pic:pic>
              </a:graphicData>
            </a:graphic>
          </wp:inline>
        </w:drawing>
      </w:r>
    </w:p>
    <w:p>
      <w:pPr>
        <w:rPr>
          <w:rFonts w:hint="default" w:ascii="Times New Roman" w:hAnsi="Times New Roman" w:cs="Times New Roman"/>
          <w:lang w:val="en-US" w:eastAsia="zh-CN"/>
        </w:rPr>
      </w:pPr>
      <w:r>
        <w:rPr>
          <w:rFonts w:hint="default" w:ascii="Times New Roman" w:hAnsi="Times New Roman" w:cs="Times New Roman"/>
          <w:lang w:val="en-US" w:eastAsia="zh-CN"/>
        </w:rPr>
        <w:br w:type="page"/>
      </w:r>
    </w:p>
    <w:p>
      <w:pPr>
        <w:rPr>
          <w:rFonts w:hint="default" w:ascii="Times New Roman" w:hAnsi="Times New Roman" w:cs="Times New Roman"/>
        </w:rPr>
      </w:pPr>
      <w:r>
        <w:rPr>
          <w:rFonts w:hint="default" w:ascii="Times New Roman" w:hAnsi="Times New Roman" w:cs="Times New Roman"/>
        </w:rPr>
        <w:drawing>
          <wp:inline distT="0" distB="0" distL="114300" distR="114300">
            <wp:extent cx="5271135" cy="7036435"/>
            <wp:effectExtent l="0" t="0" r="5715" b="12065"/>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pic:cNvPicPr>
                  </pic:nvPicPr>
                  <pic:blipFill>
                    <a:blip r:embed="rId244"/>
                    <a:stretch>
                      <a:fillRect/>
                    </a:stretch>
                  </pic:blipFill>
                  <pic:spPr>
                    <a:xfrm>
                      <a:off x="0" y="0"/>
                      <a:ext cx="5271135" cy="7036435"/>
                    </a:xfrm>
                    <a:prstGeom prst="rect">
                      <a:avLst/>
                    </a:prstGeom>
                    <a:noFill/>
                    <a:ln>
                      <a:noFill/>
                    </a:ln>
                  </pic:spPr>
                </pic:pic>
              </a:graphicData>
            </a:graphic>
          </wp:inline>
        </w:drawing>
      </w:r>
    </w:p>
    <w:p>
      <w:pPr>
        <w:rPr>
          <w:rFonts w:hint="default" w:ascii="Times New Roman" w:hAnsi="Times New Roman" w:cs="Times New Roman"/>
        </w:rPr>
      </w:pPr>
      <w:r>
        <w:rPr>
          <w:rFonts w:hint="default" w:ascii="Times New Roman" w:hAnsi="Times New Roman" w:cs="Times New Roman"/>
        </w:rPr>
        <w:br w:type="page"/>
      </w:r>
    </w:p>
    <w:p>
      <w:pPr>
        <w:widowControl w:val="0"/>
        <w:snapToGrid w:val="0"/>
        <w:jc w:val="left"/>
        <w:rPr>
          <w:rFonts w:hint="default" w:ascii="Times New Roman" w:hAnsi="Times New Roman" w:eastAsia="宋体" w:cs="Times New Roman"/>
          <w:kern w:val="2"/>
          <w:sz w:val="18"/>
          <w:szCs w:val="18"/>
          <w:lang w:val="en-US" w:eastAsia="zh-CN" w:bidi="ar-SA"/>
        </w:rPr>
      </w:pPr>
    </w:p>
    <w:p>
      <w:pPr>
        <w:jc w:val="center"/>
        <w:rPr>
          <w:rFonts w:hint="default" w:ascii="Times New Roman" w:hAnsi="Times New Roman" w:cs="Times New Roman"/>
        </w:rPr>
      </w:pPr>
      <w:r>
        <w:rPr>
          <w:rFonts w:hint="default" w:ascii="Times New Roman" w:hAnsi="Times New Roman" w:cs="Times New Roman"/>
        </w:rPr>
        <w:drawing>
          <wp:inline distT="0" distB="0" distL="114300" distR="114300">
            <wp:extent cx="5271135" cy="8009890"/>
            <wp:effectExtent l="0" t="0" r="5715" b="1016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pic:cNvPicPr>
                      <a:picLocks noChangeAspect="1"/>
                    </pic:cNvPicPr>
                  </pic:nvPicPr>
                  <pic:blipFill>
                    <a:blip r:embed="rId245"/>
                    <a:stretch>
                      <a:fillRect/>
                    </a:stretch>
                  </pic:blipFill>
                  <pic:spPr>
                    <a:xfrm>
                      <a:off x="0" y="0"/>
                      <a:ext cx="5271135" cy="8009890"/>
                    </a:xfrm>
                    <a:prstGeom prst="rect">
                      <a:avLst/>
                    </a:prstGeom>
                    <a:noFill/>
                    <a:ln>
                      <a:noFill/>
                    </a:ln>
                  </pic:spPr>
                </pic:pic>
              </a:graphicData>
            </a:graphic>
          </wp:inline>
        </w:drawing>
      </w:r>
    </w:p>
    <w:p>
      <w:pPr>
        <w:rPr>
          <w:rFonts w:hint="default" w:ascii="Times New Roman" w:hAnsi="Times New Roman" w:cs="Times New Roman"/>
        </w:rPr>
      </w:pPr>
      <w:r>
        <w:rPr>
          <w:rFonts w:hint="default" w:ascii="Times New Roman" w:hAnsi="Times New Roman" w:cs="Times New Roman"/>
        </w:rPr>
        <w:br w:type="page"/>
      </w:r>
    </w:p>
    <w:p>
      <w:pPr>
        <w:jc w:val="center"/>
        <w:rPr>
          <w:rFonts w:hint="default" w:ascii="Times New Roman" w:hAnsi="Times New Roman" w:cs="Times New Roman"/>
        </w:rPr>
      </w:pPr>
      <w:r>
        <w:rPr>
          <w:rFonts w:hint="default" w:ascii="Times New Roman" w:hAnsi="Times New Roman" w:cs="Times New Roman"/>
        </w:rPr>
        <w:drawing>
          <wp:inline distT="0" distB="0" distL="114300" distR="114300">
            <wp:extent cx="5271135" cy="7922895"/>
            <wp:effectExtent l="0" t="0" r="5715" b="1905"/>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pic:cNvPicPr>
                      <a:picLocks noChangeAspect="1"/>
                    </pic:cNvPicPr>
                  </pic:nvPicPr>
                  <pic:blipFill>
                    <a:blip r:embed="rId246"/>
                    <a:stretch>
                      <a:fillRect/>
                    </a:stretch>
                  </pic:blipFill>
                  <pic:spPr>
                    <a:xfrm>
                      <a:off x="0" y="0"/>
                      <a:ext cx="5271135" cy="7922895"/>
                    </a:xfrm>
                    <a:prstGeom prst="rect">
                      <a:avLst/>
                    </a:prstGeom>
                    <a:noFill/>
                    <a:ln>
                      <a:noFill/>
                    </a:ln>
                  </pic:spPr>
                </pic:pic>
              </a:graphicData>
            </a:graphic>
          </wp:inline>
        </w:drawing>
      </w:r>
    </w:p>
    <w:p>
      <w:pPr>
        <w:rPr>
          <w:rFonts w:hint="default" w:ascii="Times New Roman" w:hAnsi="Times New Roman" w:cs="Times New Roman"/>
        </w:rPr>
      </w:pPr>
      <w:r>
        <w:rPr>
          <w:rFonts w:hint="default" w:ascii="Times New Roman" w:hAnsi="Times New Roman" w:cs="Times New Roman"/>
        </w:rPr>
        <w:drawing>
          <wp:inline distT="0" distB="0" distL="114300" distR="114300">
            <wp:extent cx="5271135" cy="6739890"/>
            <wp:effectExtent l="0" t="0" r="5715" b="381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pic:cNvPicPr>
                      <a:picLocks noChangeAspect="1"/>
                    </pic:cNvPicPr>
                  </pic:nvPicPr>
                  <pic:blipFill>
                    <a:blip r:embed="rId247"/>
                    <a:stretch>
                      <a:fillRect/>
                    </a:stretch>
                  </pic:blipFill>
                  <pic:spPr>
                    <a:xfrm>
                      <a:off x="0" y="0"/>
                      <a:ext cx="5271135" cy="6739890"/>
                    </a:xfrm>
                    <a:prstGeom prst="rect">
                      <a:avLst/>
                    </a:prstGeom>
                    <a:noFill/>
                    <a:ln>
                      <a:noFill/>
                    </a:ln>
                  </pic:spPr>
                </pic:pic>
              </a:graphicData>
            </a:graphic>
          </wp:inline>
        </w:drawing>
      </w:r>
    </w:p>
    <w:p>
      <w:pPr>
        <w:rPr>
          <w:rFonts w:hint="default" w:ascii="Times New Roman" w:hAnsi="Times New Roman" w:cs="Times New Roman"/>
        </w:rPr>
      </w:pPr>
      <w:r>
        <w:rPr>
          <w:rFonts w:hint="default" w:ascii="Times New Roman" w:hAnsi="Times New Roman" w:cs="Times New Roman"/>
        </w:rPr>
        <w:br w:type="page"/>
      </w:r>
    </w:p>
    <w:p>
      <w:pPr>
        <w:rPr>
          <w:rFonts w:hint="eastAsia" w:eastAsia="黑体" w:cs="黑体"/>
          <w:kern w:val="0"/>
          <w:sz w:val="32"/>
          <w:szCs w:val="32"/>
          <w:shd w:val="clear" w:color="auto" w:fill="FFFFFF"/>
          <w:lang w:val="zh-CN"/>
        </w:rPr>
        <w:sectPr>
          <w:footerReference r:id="rId50" w:type="first"/>
          <w:footerReference r:id="rId49" w:type="default"/>
          <w:pgSz w:w="11906" w:h="16838"/>
          <w:pgMar w:top="1440" w:right="1800" w:bottom="1440" w:left="1800" w:header="851" w:footer="992" w:gutter="0"/>
          <w:pgNumType w:fmt="decimal" w:start="136"/>
          <w:cols w:space="425" w:num="1"/>
          <w:titlePg/>
          <w:docGrid w:type="lines" w:linePitch="312" w:charSpace="0"/>
        </w:sectPr>
      </w:pPr>
      <w:r>
        <w:rPr>
          <w:rFonts w:hint="default" w:ascii="Times New Roman" w:hAnsi="Times New Roman" w:cs="Times New Roman"/>
        </w:rPr>
        <w:drawing>
          <wp:inline distT="0" distB="0" distL="114300" distR="114300">
            <wp:extent cx="5269230" cy="6372860"/>
            <wp:effectExtent l="0" t="0" r="7620" b="889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pic:cNvPicPr>
                      <a:picLocks noChangeAspect="1"/>
                    </pic:cNvPicPr>
                  </pic:nvPicPr>
                  <pic:blipFill>
                    <a:blip r:embed="rId248"/>
                    <a:stretch>
                      <a:fillRect/>
                    </a:stretch>
                  </pic:blipFill>
                  <pic:spPr>
                    <a:xfrm>
                      <a:off x="0" y="0"/>
                      <a:ext cx="5269230" cy="6372860"/>
                    </a:xfrm>
                    <a:prstGeom prst="rect">
                      <a:avLst/>
                    </a:prstGeom>
                    <a:noFill/>
                    <a:ln>
                      <a:noFill/>
                    </a:ln>
                  </pic:spPr>
                </pic:pic>
              </a:graphicData>
            </a:graphic>
          </wp:inline>
        </w:drawing>
      </w:r>
    </w:p>
    <w:p>
      <w:pPr>
        <w:rPr>
          <w:rFonts w:hint="eastAsia" w:eastAsia="黑体" w:cs="黑体"/>
          <w:kern w:val="0"/>
          <w:sz w:val="32"/>
          <w:szCs w:val="32"/>
          <w:shd w:val="clear" w:color="auto" w:fill="FFFFFF"/>
          <w:lang w:val="zh-CN"/>
        </w:rPr>
      </w:pPr>
    </w:p>
    <w:p>
      <w:pPr>
        <w:pStyle w:val="3"/>
        <w:spacing w:before="0" w:after="0" w:line="240" w:lineRule="auto"/>
        <w:jc w:val="center"/>
        <w:rPr>
          <w:rFonts w:hint="eastAsia" w:ascii="Times New Roman" w:hAnsi="Times New Roman" w:eastAsia="方正小标宋简体" w:cs="方正小标宋简体"/>
          <w:b w:val="0"/>
          <w:lang w:val="en-US" w:eastAsia="zh-CN"/>
        </w:rPr>
      </w:pPr>
      <w:bookmarkStart w:id="71" w:name="_Toc17705"/>
      <w:bookmarkStart w:id="72" w:name="_Toc11654"/>
      <w:r>
        <w:rPr>
          <w:rFonts w:hint="eastAsia" w:ascii="Times New Roman" w:hAnsi="Times New Roman" w:eastAsia="方正小标宋简体" w:cs="方正小标宋简体"/>
          <w:b w:val="0"/>
          <w:lang w:val="en-US" w:eastAsia="zh-CN"/>
        </w:rPr>
        <w:t>第五部分 附表</w:t>
      </w:r>
      <w:bookmarkEnd w:id="71"/>
      <w:bookmarkEnd w:id="72"/>
    </w:p>
    <w:p>
      <w:pPr>
        <w:pStyle w:val="4"/>
        <w:bidi w:val="0"/>
        <w:rPr>
          <w:rFonts w:hint="eastAsia" w:ascii="仿宋_GB2312" w:hAnsi="仿宋_GB2312" w:eastAsia="仿宋_GB2312" w:cs="仿宋_GB2312"/>
          <w:b w:val="0"/>
          <w:bCs w:val="0"/>
        </w:rPr>
      </w:pPr>
      <w:bookmarkStart w:id="73" w:name="_Toc14516"/>
      <w:bookmarkStart w:id="74" w:name="_Toc31446"/>
      <w:r>
        <w:rPr>
          <w:rFonts w:hint="eastAsia" w:ascii="仿宋_GB2312" w:hAnsi="仿宋_GB2312" w:eastAsia="仿宋_GB2312" w:cs="仿宋_GB2312"/>
          <w:b w:val="0"/>
          <w:bCs w:val="0"/>
        </w:rPr>
        <w:t>一、收入支出决算总表</w:t>
      </w:r>
      <w:bookmarkEnd w:id="73"/>
      <w:bookmarkEnd w:id="74"/>
    </w:p>
    <w:p>
      <w:pPr>
        <w:pStyle w:val="4"/>
        <w:bidi w:val="0"/>
        <w:rPr>
          <w:rFonts w:hint="eastAsia" w:ascii="仿宋_GB2312" w:hAnsi="仿宋_GB2312" w:eastAsia="仿宋_GB2312" w:cs="仿宋_GB2312"/>
          <w:b w:val="0"/>
          <w:bCs w:val="0"/>
        </w:rPr>
      </w:pPr>
      <w:bookmarkStart w:id="75" w:name="_Toc14731"/>
      <w:bookmarkStart w:id="76" w:name="_Toc1776"/>
      <w:r>
        <w:rPr>
          <w:rFonts w:hint="eastAsia" w:ascii="仿宋_GB2312" w:hAnsi="仿宋_GB2312" w:eastAsia="仿宋_GB2312" w:cs="仿宋_GB2312"/>
          <w:b w:val="0"/>
          <w:bCs w:val="0"/>
        </w:rPr>
        <w:t>二、收入决算表</w:t>
      </w:r>
      <w:bookmarkEnd w:id="75"/>
      <w:bookmarkEnd w:id="76"/>
    </w:p>
    <w:p>
      <w:pPr>
        <w:pStyle w:val="4"/>
        <w:bidi w:val="0"/>
        <w:rPr>
          <w:rFonts w:hint="eastAsia" w:ascii="仿宋_GB2312" w:hAnsi="仿宋_GB2312" w:eastAsia="仿宋_GB2312" w:cs="仿宋_GB2312"/>
          <w:b w:val="0"/>
          <w:bCs w:val="0"/>
        </w:rPr>
      </w:pPr>
      <w:bookmarkStart w:id="77" w:name="_Toc7856"/>
      <w:bookmarkStart w:id="78" w:name="_Toc8591"/>
      <w:r>
        <w:rPr>
          <w:rFonts w:hint="eastAsia" w:ascii="仿宋_GB2312" w:hAnsi="仿宋_GB2312" w:eastAsia="仿宋_GB2312" w:cs="仿宋_GB2312"/>
          <w:b w:val="0"/>
          <w:bCs w:val="0"/>
        </w:rPr>
        <w:t>三、支出决算表</w:t>
      </w:r>
      <w:bookmarkEnd w:id="77"/>
      <w:bookmarkEnd w:id="78"/>
    </w:p>
    <w:p>
      <w:pPr>
        <w:pStyle w:val="4"/>
        <w:bidi w:val="0"/>
        <w:rPr>
          <w:rFonts w:hint="eastAsia" w:ascii="仿宋_GB2312" w:hAnsi="仿宋_GB2312" w:eastAsia="仿宋_GB2312" w:cs="仿宋_GB2312"/>
          <w:b w:val="0"/>
          <w:bCs w:val="0"/>
        </w:rPr>
      </w:pPr>
      <w:bookmarkStart w:id="79" w:name="_Toc3041"/>
      <w:bookmarkStart w:id="80" w:name="_Toc491"/>
      <w:r>
        <w:rPr>
          <w:rFonts w:hint="eastAsia" w:ascii="仿宋_GB2312" w:hAnsi="仿宋_GB2312" w:eastAsia="仿宋_GB2312" w:cs="仿宋_GB2312"/>
          <w:b w:val="0"/>
          <w:bCs w:val="0"/>
        </w:rPr>
        <w:t>四、财政拨款收入支出决算总表</w:t>
      </w:r>
      <w:bookmarkEnd w:id="79"/>
      <w:bookmarkEnd w:id="80"/>
    </w:p>
    <w:p>
      <w:pPr>
        <w:pStyle w:val="4"/>
        <w:bidi w:val="0"/>
        <w:rPr>
          <w:rFonts w:hint="eastAsia" w:ascii="仿宋_GB2312" w:hAnsi="仿宋_GB2312" w:eastAsia="仿宋_GB2312" w:cs="仿宋_GB2312"/>
          <w:b w:val="0"/>
          <w:bCs w:val="0"/>
        </w:rPr>
      </w:pPr>
      <w:bookmarkStart w:id="81" w:name="_Toc20381"/>
      <w:bookmarkStart w:id="82" w:name="_Toc11550"/>
      <w:r>
        <w:rPr>
          <w:rFonts w:hint="eastAsia" w:ascii="仿宋_GB2312" w:hAnsi="仿宋_GB2312" w:eastAsia="仿宋_GB2312" w:cs="仿宋_GB2312"/>
          <w:b w:val="0"/>
          <w:bCs w:val="0"/>
        </w:rPr>
        <w:t>五、财政拨款支出决算明细表</w:t>
      </w:r>
      <w:bookmarkEnd w:id="81"/>
      <w:bookmarkEnd w:id="82"/>
    </w:p>
    <w:p>
      <w:pPr>
        <w:pStyle w:val="4"/>
        <w:bidi w:val="0"/>
        <w:rPr>
          <w:rFonts w:hint="eastAsia" w:ascii="仿宋_GB2312" w:hAnsi="仿宋_GB2312" w:eastAsia="仿宋_GB2312" w:cs="仿宋_GB2312"/>
          <w:b w:val="0"/>
          <w:bCs w:val="0"/>
        </w:rPr>
      </w:pPr>
      <w:bookmarkStart w:id="83" w:name="_Toc4839"/>
      <w:bookmarkStart w:id="84" w:name="_Toc23530"/>
      <w:r>
        <w:rPr>
          <w:rFonts w:hint="eastAsia" w:ascii="仿宋_GB2312" w:hAnsi="仿宋_GB2312" w:eastAsia="仿宋_GB2312" w:cs="仿宋_GB2312"/>
          <w:b w:val="0"/>
          <w:bCs w:val="0"/>
        </w:rPr>
        <w:t>六、一般公共预算财政拨款支出决算表</w:t>
      </w:r>
      <w:bookmarkEnd w:id="83"/>
      <w:bookmarkEnd w:id="84"/>
    </w:p>
    <w:p>
      <w:pPr>
        <w:pStyle w:val="4"/>
        <w:bidi w:val="0"/>
        <w:rPr>
          <w:rFonts w:hint="eastAsia" w:ascii="仿宋_GB2312" w:hAnsi="仿宋_GB2312" w:eastAsia="仿宋_GB2312" w:cs="仿宋_GB2312"/>
          <w:b w:val="0"/>
          <w:bCs w:val="0"/>
        </w:rPr>
      </w:pPr>
      <w:bookmarkStart w:id="85" w:name="_Toc14655"/>
      <w:bookmarkStart w:id="86" w:name="_Toc20940"/>
      <w:r>
        <w:rPr>
          <w:rFonts w:hint="eastAsia" w:ascii="仿宋_GB2312" w:hAnsi="仿宋_GB2312" w:eastAsia="仿宋_GB2312" w:cs="仿宋_GB2312"/>
          <w:b w:val="0"/>
          <w:bCs w:val="0"/>
        </w:rPr>
        <w:t>七、一般公共预算财政拨款支出决算明细表</w:t>
      </w:r>
      <w:bookmarkEnd w:id="85"/>
      <w:bookmarkEnd w:id="86"/>
    </w:p>
    <w:p>
      <w:pPr>
        <w:pStyle w:val="4"/>
        <w:bidi w:val="0"/>
        <w:rPr>
          <w:rFonts w:hint="eastAsia" w:ascii="仿宋_GB2312" w:hAnsi="仿宋_GB2312" w:eastAsia="仿宋_GB2312" w:cs="仿宋_GB2312"/>
          <w:b w:val="0"/>
          <w:bCs w:val="0"/>
        </w:rPr>
      </w:pPr>
      <w:bookmarkStart w:id="87" w:name="_Toc25232"/>
      <w:bookmarkStart w:id="88" w:name="_Toc28407"/>
      <w:r>
        <w:rPr>
          <w:rFonts w:hint="eastAsia" w:ascii="仿宋_GB2312" w:hAnsi="仿宋_GB2312" w:eastAsia="仿宋_GB2312" w:cs="仿宋_GB2312"/>
          <w:b w:val="0"/>
          <w:bCs w:val="0"/>
        </w:rPr>
        <w:t>八、一般公共预算财政拨款基本支出决算表</w:t>
      </w:r>
      <w:bookmarkEnd w:id="87"/>
      <w:bookmarkEnd w:id="88"/>
    </w:p>
    <w:p>
      <w:pPr>
        <w:pStyle w:val="4"/>
        <w:bidi w:val="0"/>
        <w:rPr>
          <w:rFonts w:hint="eastAsia" w:ascii="仿宋_GB2312" w:hAnsi="仿宋_GB2312" w:eastAsia="仿宋_GB2312" w:cs="仿宋_GB2312"/>
          <w:b w:val="0"/>
          <w:bCs w:val="0"/>
        </w:rPr>
      </w:pPr>
      <w:bookmarkStart w:id="89" w:name="_Toc28018"/>
      <w:bookmarkStart w:id="90" w:name="_Toc26431"/>
      <w:r>
        <w:rPr>
          <w:rFonts w:hint="eastAsia" w:ascii="仿宋_GB2312" w:hAnsi="仿宋_GB2312" w:eastAsia="仿宋_GB2312" w:cs="仿宋_GB2312"/>
          <w:b w:val="0"/>
          <w:bCs w:val="0"/>
        </w:rPr>
        <w:t>九、一般公共预算财政拨款项目支出决算表</w:t>
      </w:r>
      <w:bookmarkEnd w:id="89"/>
      <w:bookmarkEnd w:id="90"/>
    </w:p>
    <w:p>
      <w:pPr>
        <w:pStyle w:val="4"/>
        <w:bidi w:val="0"/>
        <w:rPr>
          <w:rFonts w:hint="eastAsia" w:ascii="仿宋_GB2312" w:hAnsi="仿宋_GB2312" w:eastAsia="仿宋_GB2312" w:cs="仿宋_GB2312"/>
          <w:b w:val="0"/>
          <w:bCs w:val="0"/>
        </w:rPr>
      </w:pPr>
      <w:bookmarkStart w:id="91" w:name="_Toc14530"/>
      <w:bookmarkStart w:id="92" w:name="_Toc5690"/>
      <w:r>
        <w:rPr>
          <w:rFonts w:hint="eastAsia" w:ascii="仿宋_GB2312" w:hAnsi="仿宋_GB2312" w:eastAsia="仿宋_GB2312" w:cs="仿宋_GB2312"/>
          <w:b w:val="0"/>
          <w:bCs w:val="0"/>
        </w:rPr>
        <w:t>十、政府性基金预算财政拨款收入支出决算表</w:t>
      </w:r>
      <w:bookmarkEnd w:id="91"/>
      <w:bookmarkEnd w:id="92"/>
    </w:p>
    <w:p>
      <w:pPr>
        <w:pStyle w:val="4"/>
        <w:bidi w:val="0"/>
        <w:rPr>
          <w:rFonts w:hint="eastAsia" w:ascii="仿宋_GB2312" w:hAnsi="仿宋_GB2312" w:eastAsia="仿宋_GB2312" w:cs="仿宋_GB2312"/>
          <w:b w:val="0"/>
          <w:bCs w:val="0"/>
        </w:rPr>
      </w:pPr>
      <w:bookmarkStart w:id="93" w:name="_Toc21859"/>
      <w:bookmarkStart w:id="94" w:name="_Toc26751"/>
      <w:r>
        <w:rPr>
          <w:rFonts w:hint="eastAsia" w:ascii="仿宋_GB2312" w:hAnsi="仿宋_GB2312" w:eastAsia="仿宋_GB2312" w:cs="仿宋_GB2312"/>
          <w:b w:val="0"/>
          <w:bCs w:val="0"/>
        </w:rPr>
        <w:t>十一、国有资本经营预算财政拨款收入支出决算表</w:t>
      </w:r>
      <w:bookmarkEnd w:id="93"/>
      <w:bookmarkEnd w:id="94"/>
    </w:p>
    <w:p>
      <w:pPr>
        <w:pStyle w:val="4"/>
        <w:bidi w:val="0"/>
        <w:rPr>
          <w:rFonts w:hint="eastAsia" w:ascii="仿宋_GB2312" w:hAnsi="仿宋_GB2312" w:eastAsia="仿宋_GB2312" w:cs="仿宋_GB2312"/>
          <w:b w:val="0"/>
          <w:bCs w:val="0"/>
        </w:rPr>
      </w:pPr>
      <w:bookmarkStart w:id="95" w:name="_Toc27143"/>
      <w:bookmarkStart w:id="96" w:name="_Toc12909"/>
      <w:r>
        <w:rPr>
          <w:rFonts w:hint="eastAsia" w:ascii="仿宋_GB2312" w:hAnsi="仿宋_GB2312" w:eastAsia="仿宋_GB2312" w:cs="仿宋_GB2312"/>
          <w:b w:val="0"/>
          <w:bCs w:val="0"/>
        </w:rPr>
        <w:t>十二、国有资本经营预算财政拨款支出决算表</w:t>
      </w:r>
      <w:bookmarkEnd w:id="95"/>
      <w:bookmarkEnd w:id="96"/>
    </w:p>
    <w:p>
      <w:pPr>
        <w:pStyle w:val="4"/>
        <w:bidi w:val="0"/>
        <w:rPr>
          <w:rFonts w:hint="eastAsia" w:ascii="仿宋_GB2312" w:hAnsi="仿宋_GB2312" w:eastAsia="仿宋_GB2312" w:cs="仿宋_GB2312"/>
          <w:b w:val="0"/>
          <w:bCs w:val="0"/>
        </w:rPr>
      </w:pPr>
      <w:bookmarkStart w:id="97" w:name="_Toc24223"/>
      <w:bookmarkStart w:id="98" w:name="_Toc21102"/>
      <w:r>
        <w:rPr>
          <w:rFonts w:hint="eastAsia" w:ascii="仿宋_GB2312" w:hAnsi="仿宋_GB2312" w:eastAsia="仿宋_GB2312" w:cs="仿宋_GB2312"/>
          <w:b w:val="0"/>
          <w:bCs w:val="0"/>
        </w:rPr>
        <w:t>十三、财政拨款“三公”经费支出决算表</w:t>
      </w:r>
      <w:bookmarkEnd w:id="97"/>
      <w:bookmarkEnd w:id="98"/>
    </w:p>
    <w:bookmarkEnd w:id="66"/>
    <w:bookmarkEnd w:id="69"/>
    <w:p/>
    <w:sectPr>
      <w:footerReference r:id="rId52" w:type="first"/>
      <w:footerReference r:id="rId51" w:type="default"/>
      <w:pgSz w:w="11906" w:h="16838"/>
      <w:pgMar w:top="1440" w:right="1800" w:bottom="1440" w:left="1800" w:header="851" w:footer="992" w:gutter="0"/>
      <w:pgNumType w:fmt="decimal" w:start="144"/>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
    <w:altName w:val="Segoe Print"/>
    <w:panose1 w:val="00000000000000000000"/>
    <w:charset w:val="00"/>
    <w:family w:val="roman"/>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方正小标宋简体">
    <w:altName w:val="Arial Unicode MS"/>
    <w:panose1 w:val="02000000000000000000"/>
    <w:charset w:val="86"/>
    <w:family w:val="script"/>
    <w:pitch w:val="default"/>
    <w:sig w:usb0="00000000" w:usb1="00000000" w:usb2="00000000" w:usb3="00000000" w:csb0="00040000" w:csb1="00000000"/>
  </w:font>
  <w:font w:name="Arial Unicode MS">
    <w:panose1 w:val="020B0604020202020204"/>
    <w:charset w:val="86"/>
    <w:family w:val="auto"/>
    <w:pitch w:val="default"/>
    <w:sig w:usb0="FFFFFFFF" w:usb1="E9FFFFFF" w:usb2="0000003F" w:usb3="00000000" w:csb0="603F01FF" w:csb1="FFFF0000"/>
  </w:font>
  <w:font w:name="楷体_GB2312">
    <w:altName w:val="楷体"/>
    <w:panose1 w:val="00000000000000000000"/>
    <w:charset w:val="86"/>
    <w:family w:val="auto"/>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方正小标宋_GBK">
    <w:altName w:val="Arial Unicode MS"/>
    <w:panose1 w:val="02000000000000000000"/>
    <w:charset w:val="86"/>
    <w:family w:val="auto"/>
    <w:pitch w:val="default"/>
    <w:sig w:usb0="00000000" w:usb1="00000000" w:usb2="00082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79" name="文本框 17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- 2 -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ZUIEU0AgAAZQQAAA4AAABkcnMvZTJvRG9jLnhtbK1UzY7TMBC+I/EO&#10;lu80aRFLqZ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WVCBFNAIAAGUEAAAOAAAAAAAAAAEAIAAAAB8BAABkcnMvZTJvRG9jLnhtbFBL&#10;BQYAAAAABgAGAFkBAADFBQ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- 2 -</w:t>
                    </w:r>
                    <w:r>
                      <w:fldChar w:fldCharType="end"/>
                    </w:r>
                  </w:p>
                </w:txbxContent>
              </v:textbox>
            </v:shape>
          </w:pict>
        </mc:Fallback>
      </mc:AlternateContent>
    </w:r>
  </w:p>
  <w:p>
    <w:pPr>
      <w:pStyle w:val="11"/>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sz w:val="18"/>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82" name="文本框 18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a1Egwz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a1EgwzAgAAZQQAAA4AAAAAAAAAAQAgAAAAHwEAAGRycy9lMm9Eb2MueG1sUEsF&#10;BgAAAAAGAAYAWQEAAMQFA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center"/>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7" name="文本框 6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lbOU45AgAAcQQAAA4AAABkcnMvZTJvRG9jLnhtbK1UzY7TMBC+I/EO&#10;lu80aRFL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DlbOU45AgAAcQQAAA4AAAAAAAAAAQAgAAAAHwEAAGRycy9lMm9Eb2Mu&#10;eG1sUEsFBgAAAAAGAAYAWQEAAMoFA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v:textbox>
            </v:shape>
          </w:pict>
        </mc:Fallback>
      </mc:AlternateContent>
    </w:r>
  </w:p>
  <w:p>
    <w:pPr>
      <w:widowControl w:val="0"/>
      <w:snapToGrid w:val="0"/>
      <w:jc w:val="left"/>
      <w:rPr>
        <w:rFonts w:ascii="Calibri" w:hAnsi="Calibri" w:eastAsia="宋体" w:cs="Times New Roman"/>
        <w:kern w:val="0"/>
        <w:sz w:val="18"/>
        <w:szCs w:val="18"/>
        <w:lang w:val="en-US" w:eastAsia="zh-CN" w:bidi="ar-SA"/>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6" name="文本框 6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GOlzCzgCAABxBAAADgAAAAAAAAABACAAAAAfAQAAZHJzL2Uyb0RvYy54&#10;bWxQSwUGAAAAAAYABgBZAQAAyQU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center"/>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4" name="文本框 5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5iklU6AgAAcQQAAA4AAABkcnMvZTJvRG9jLnhtbK1UzY7TMBC+I/EO&#10;lu80aWFXVd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BuYpJVOgIAAHEEAAAOAAAAAAAAAAEAIAAAAB8BAABkcnMvZTJvRG9j&#10;LnhtbFBLBQYAAAAABgAGAFkBAADLBQ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v:textbox>
            </v:shape>
          </w:pict>
        </mc:Fallback>
      </mc:AlternateContent>
    </w:r>
  </w:p>
  <w:p>
    <w:pPr>
      <w:widowControl w:val="0"/>
      <w:snapToGrid w:val="0"/>
      <w:jc w:val="left"/>
      <w:rPr>
        <w:rFonts w:ascii="Calibri" w:hAnsi="Calibri" w:eastAsia="宋体" w:cs="Times New Roman"/>
        <w:kern w:val="0"/>
        <w:sz w:val="18"/>
        <w:szCs w:val="18"/>
        <w:lang w:val="en-US" w:eastAsia="zh-CN" w:bidi="ar-SA"/>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DIehZUOgIAAHEEAAAOAAAAAAAAAAEAIAAAAB8BAABkcnMvZTJvRG9j&#10;LnhtbFBLBQYAAAAABgAGAFkBAADLBQ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center"/>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695104" behindDoc="0" locked="0" layoutInCell="1" allowOverlap="1">
              <wp:simplePos x="0" y="0"/>
              <wp:positionH relativeFrom="margin">
                <wp:align>center</wp:align>
              </wp:positionH>
              <wp:positionV relativeFrom="paragraph">
                <wp:posOffset>0</wp:posOffset>
              </wp:positionV>
              <wp:extent cx="1828800" cy="1828800"/>
              <wp:effectExtent l="0" t="0" r="0" b="0"/>
              <wp:wrapNone/>
              <wp:docPr id="81" name="文本框 8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51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NPSedTgCAABxBAAADgAAAAAAAAABACAAAAAfAQAAZHJzL2Uyb0RvYy54&#10;bWxQSwUGAAAAAAYABgBZAQAAyQU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v:textbox>
            </v:shape>
          </w:pict>
        </mc:Fallback>
      </mc:AlternateContent>
    </w:r>
  </w:p>
  <w:p>
    <w:pPr>
      <w:widowControl w:val="0"/>
      <w:snapToGrid w:val="0"/>
      <w:jc w:val="left"/>
      <w:rPr>
        <w:rFonts w:ascii="Calibri" w:hAnsi="Calibri" w:eastAsia="宋体" w:cs="Times New Roman"/>
        <w:kern w:val="0"/>
        <w:sz w:val="18"/>
        <w:szCs w:val="18"/>
        <w:lang w:val="en-US" w:eastAsia="zh-CN" w:bidi="ar-SA"/>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696128" behindDoc="0" locked="0" layoutInCell="1" allowOverlap="1">
              <wp:simplePos x="0" y="0"/>
              <wp:positionH relativeFrom="margin">
                <wp:align>center</wp:align>
              </wp:positionH>
              <wp:positionV relativeFrom="paragraph">
                <wp:posOffset>0</wp:posOffset>
              </wp:positionV>
              <wp:extent cx="1828800" cy="1828800"/>
              <wp:effectExtent l="0" t="0" r="0" b="0"/>
              <wp:wrapNone/>
              <wp:docPr id="82" name="文本框 8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61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ciQbo5AgAAc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FciQbo5AgAAcQQAAA4AAAAAAAAAAQAgAAAAHwEAAGRycy9lMm9Eb2Mu&#10;eG1sUEsFBgAAAAAGAAYAWQEAAMoFA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center"/>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697152" behindDoc="0" locked="0" layoutInCell="1" allowOverlap="1">
              <wp:simplePos x="0" y="0"/>
              <wp:positionH relativeFrom="margin">
                <wp:align>center</wp:align>
              </wp:positionH>
              <wp:positionV relativeFrom="paragraph">
                <wp:posOffset>0</wp:posOffset>
              </wp:positionV>
              <wp:extent cx="1828800" cy="1828800"/>
              <wp:effectExtent l="0" t="0" r="0" b="0"/>
              <wp:wrapNone/>
              <wp:docPr id="83" name="文本框 8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71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aQC/86AgAAcQQAAA4AAABkcnMvZTJvRG9jLnhtbK1UzY7TMBC+I/EO&#10;lu80bVes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B2kAv/OgIAAHEEAAAOAAAAAAAAAAEAIAAAAB8BAABkcnMvZTJvRG9j&#10;LnhtbFBLBQYAAAAABgAGAFkBAADLBQ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v:textbox>
            </v:shape>
          </w:pict>
        </mc:Fallback>
      </mc:AlternateContent>
    </w:r>
  </w:p>
  <w:p>
    <w:pPr>
      <w:widowControl w:val="0"/>
      <w:snapToGrid w:val="0"/>
      <w:jc w:val="left"/>
      <w:rPr>
        <w:rFonts w:ascii="Calibri" w:hAnsi="Calibri" w:eastAsia="宋体" w:cs="Times New Roman"/>
        <w:kern w:val="0"/>
        <w:sz w:val="18"/>
        <w:szCs w:val="18"/>
        <w:lang w:val="en-US" w:eastAsia="zh-CN" w:bidi="ar-SA"/>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698176" behindDoc="0" locked="0" layoutInCell="1" allowOverlap="1">
              <wp:simplePos x="0" y="0"/>
              <wp:positionH relativeFrom="margin">
                <wp:align>center</wp:align>
              </wp:positionH>
              <wp:positionV relativeFrom="paragraph">
                <wp:posOffset>0</wp:posOffset>
              </wp:positionV>
              <wp:extent cx="1828800" cy="1828800"/>
              <wp:effectExtent l="0" t="0" r="0" b="0"/>
              <wp:wrapNone/>
              <wp:docPr id="84" name="文本框 8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81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CIj/45AgAAc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NCIj/45AgAAcQQAAA4AAAAAAAAAAQAgAAAAHwEAAGRycy9lMm9Eb2Mu&#10;eG1sUEsFBgAAAAAGAAYAWQEAAMoFA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center"/>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699200" behindDoc="0" locked="0" layoutInCell="1" allowOverlap="1">
              <wp:simplePos x="0" y="0"/>
              <wp:positionH relativeFrom="margin">
                <wp:align>center</wp:align>
              </wp:positionH>
              <wp:positionV relativeFrom="paragraph">
                <wp:posOffset>0</wp:posOffset>
              </wp:positionV>
              <wp:extent cx="1828800" cy="1828800"/>
              <wp:effectExtent l="0" t="0" r="0" b="0"/>
              <wp:wrapNone/>
              <wp:docPr id="92" name="文本框 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92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t4bfY5AgAAcQQAAA4AAABkcnMvZTJvRG9jLnhtbK1UzY7TMBC+I/EO&#10;lu80aRGrUj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Lt4bfY5AgAAcQQAAA4AAAAAAAAAAQAgAAAAHwEAAGRycy9lMm9Eb2Mu&#10;eG1sUEsFBgAAAAAGAAYAWQEAAMoFA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v:textbox>
            </v:shape>
          </w:pict>
        </mc:Fallback>
      </mc:AlternateContent>
    </w:r>
  </w:p>
  <w:p>
    <w:pPr>
      <w:widowControl w:val="0"/>
      <w:snapToGrid w:val="0"/>
      <w:jc w:val="left"/>
      <w:rPr>
        <w:rFonts w:ascii="Calibri" w:hAnsi="Calibri" w:eastAsia="宋体" w:cs="Times New Roman"/>
        <w:kern w:val="0"/>
        <w:sz w:val="18"/>
        <w:szCs w:val="18"/>
        <w:lang w:val="en-US" w:eastAsia="zh-CN" w:bidi="ar-S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80" name="文本框 18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HLXu4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cte7jICAABlBAAADgAAAAAAAAABACAAAAAfAQAAZHJzL2Uyb0RvYy54bWxQSwUG&#10;AAAAAAYABgBZAQAAwwU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700224" behindDoc="0" locked="0" layoutInCell="1" allowOverlap="1">
              <wp:simplePos x="0" y="0"/>
              <wp:positionH relativeFrom="margin">
                <wp:align>center</wp:align>
              </wp:positionH>
              <wp:positionV relativeFrom="paragraph">
                <wp:posOffset>0</wp:posOffset>
              </wp:positionV>
              <wp:extent cx="1828800" cy="1828800"/>
              <wp:effectExtent l="0" t="0" r="0" b="0"/>
              <wp:wrapNone/>
              <wp:docPr id="93" name="文本框 9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02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rKJ7M6AgAAcQQAAA4AAABkcnMvZTJvRG9jLnhtbK1UzY7TMBC+I/EO&#10;lu80aVesSt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CayiezOgIAAHEEAAAOAAAAAAAAAAEAIAAAAB8BAABkcnMvZTJvRG9j&#10;LnhtbFBLBQYAAAAABgAGAFkBAADLBQ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center"/>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701248" behindDoc="0" locked="0" layoutInCell="1" allowOverlap="1">
              <wp:simplePos x="0" y="0"/>
              <wp:positionH relativeFrom="margin">
                <wp:align>center</wp:align>
              </wp:positionH>
              <wp:positionV relativeFrom="paragraph">
                <wp:posOffset>0</wp:posOffset>
              </wp:positionV>
              <wp:extent cx="1828800" cy="1828800"/>
              <wp:effectExtent l="0" t="0" r="0" b="0"/>
              <wp:wrapNone/>
              <wp:docPr id="94" name="文本框 9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12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DzSo7I5AgAAcQQAAA4AAAAAAAAAAQAgAAAAHwEAAGRycy9lMm9Eb2Mu&#10;eG1sUEsFBgAAAAAGAAYAWQEAAMoFA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v:textbox>
            </v:shape>
          </w:pict>
        </mc:Fallback>
      </mc:AlternateContent>
    </w:r>
  </w:p>
  <w:p>
    <w:pPr>
      <w:widowControl w:val="0"/>
      <w:snapToGrid w:val="0"/>
      <w:jc w:val="left"/>
      <w:rPr>
        <w:rFonts w:ascii="Calibri" w:hAnsi="Calibri" w:eastAsia="宋体" w:cs="Times New Roman"/>
        <w:kern w:val="0"/>
        <w:sz w:val="18"/>
        <w:szCs w:val="18"/>
        <w:lang w:val="en-US" w:eastAsia="zh-CN" w:bidi="ar-SA"/>
      </w:rP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702272" behindDoc="0" locked="0" layoutInCell="1" allowOverlap="1">
              <wp:simplePos x="0" y="0"/>
              <wp:positionH relativeFrom="margin">
                <wp:align>center</wp:align>
              </wp:positionH>
              <wp:positionV relativeFrom="paragraph">
                <wp:posOffset>0</wp:posOffset>
              </wp:positionV>
              <wp:extent cx="1828800" cy="1828800"/>
              <wp:effectExtent l="0" t="0" r="0" b="0"/>
              <wp:wrapNone/>
              <wp:docPr id="95" name="文本框 9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22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1g6fc6AgAAcQQAAA4AAABkcnMvZTJvRG9jLnhtbK1UzY7TMBC+I/EO&#10;lu80adGuSt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AdYOn3OgIAAHEEAAAOAAAAAAAAAAEAIAAAAB8BAABkcnMvZTJvRG9j&#10;LnhtbFBLBQYAAAAABgAGAFkBAADLBQ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center"/>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703296" behindDoc="0" locked="0" layoutInCell="1" allowOverlap="1">
              <wp:simplePos x="0" y="0"/>
              <wp:positionH relativeFrom="margin">
                <wp:align>center</wp:align>
              </wp:positionH>
              <wp:positionV relativeFrom="paragraph">
                <wp:posOffset>0</wp:posOffset>
              </wp:positionV>
              <wp:extent cx="1828800" cy="1828800"/>
              <wp:effectExtent l="0" t="0" r="0" b="0"/>
              <wp:wrapNone/>
              <wp:docPr id="96" name="文本框 9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32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H62Njg5AgAAcQQAAA4AAAAAAAAAAQAgAAAAHwEAAGRycy9lMm9Eb2Mu&#10;eG1sUEsFBgAAAAAGAAYAWQEAAMoFA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v:textbox>
            </v:shape>
          </w:pict>
        </mc:Fallback>
      </mc:AlternateContent>
    </w:r>
  </w:p>
  <w:p>
    <w:pPr>
      <w:widowControl w:val="0"/>
      <w:snapToGrid w:val="0"/>
      <w:jc w:val="left"/>
      <w:rPr>
        <w:rFonts w:ascii="Calibri" w:hAnsi="Calibri" w:eastAsia="宋体" w:cs="Times New Roman"/>
        <w:kern w:val="0"/>
        <w:sz w:val="18"/>
        <w:szCs w:val="18"/>
        <w:lang w:val="en-US" w:eastAsia="zh-CN" w:bidi="ar-SA"/>
      </w:rP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704320" behindDoc="0" locked="0" layoutInCell="1" allowOverlap="1">
              <wp:simplePos x="0" y="0"/>
              <wp:positionH relativeFrom="margin">
                <wp:align>center</wp:align>
              </wp:positionH>
              <wp:positionV relativeFrom="paragraph">
                <wp:posOffset>0</wp:posOffset>
              </wp:positionV>
              <wp:extent cx="1828800" cy="1828800"/>
              <wp:effectExtent l="0" t="0" r="0" b="0"/>
              <wp:wrapNone/>
              <wp:docPr id="97" name="文本框 9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43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F8EfH05AgAAcQQAAA4AAAAAAAAAAQAgAAAAHwEAAGRycy9lMm9Eb2Mu&#10;eG1sUEsFBgAAAAAGAAYAWQEAAMoFA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v:textbox>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center"/>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705344" behindDoc="0" locked="0" layoutInCell="1" allowOverlap="1">
              <wp:simplePos x="0" y="0"/>
              <wp:positionH relativeFrom="margin">
                <wp:align>center</wp:align>
              </wp:positionH>
              <wp:positionV relativeFrom="paragraph">
                <wp:posOffset>0</wp:posOffset>
              </wp:positionV>
              <wp:extent cx="1828800" cy="1828800"/>
              <wp:effectExtent l="0" t="0" r="0" b="0"/>
              <wp:wrapNone/>
              <wp:docPr id="98" name="文本框 9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53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KHPjs5AgAAcQQAAA4AAABkcnMvZTJvRG9jLnhtbK1UzY7TMBC+I/EO&#10;lu80aRGrUj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DKHPjs5AgAAcQQAAA4AAAAAAAAAAQAgAAAAHwEAAGRycy9lMm9Eb2Mu&#10;eG1sUEsFBgAAAAAGAAYAWQEAAMoFA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v:textbox>
            </v:shape>
          </w:pict>
        </mc:Fallback>
      </mc:AlternateContent>
    </w:r>
  </w:p>
  <w:p>
    <w:pPr>
      <w:widowControl w:val="0"/>
      <w:snapToGrid w:val="0"/>
      <w:jc w:val="left"/>
      <w:rPr>
        <w:rFonts w:ascii="Calibri" w:hAnsi="Calibri" w:eastAsia="宋体" w:cs="Times New Roman"/>
        <w:kern w:val="0"/>
        <w:sz w:val="18"/>
        <w:szCs w:val="18"/>
        <w:lang w:val="en-US" w:eastAsia="zh-CN" w:bidi="ar-SA"/>
      </w:rP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706368" behindDoc="0" locked="0" layoutInCell="1" allowOverlap="1">
              <wp:simplePos x="0" y="0"/>
              <wp:positionH relativeFrom="margin">
                <wp:align>center</wp:align>
              </wp:positionH>
              <wp:positionV relativeFrom="paragraph">
                <wp:posOffset>0</wp:posOffset>
              </wp:positionV>
              <wp:extent cx="1828800" cy="1828800"/>
              <wp:effectExtent l="0" t="0" r="0" b="0"/>
              <wp:wrapNone/>
              <wp:docPr id="99" name="文本框 9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63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ATNXR+OgIAAHEEAAAOAAAAAAAAAAEAIAAAAB8BAABkcnMvZTJvRG9j&#10;LnhtbFBLBQYAAAAABgAGAFkBAADLBQ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v:textbox>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center"/>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70739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0" name="文本框 10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73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pFcXI4AgAAcw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OkVxcjgCAABzBAAADgAAAAAAAAABACAAAAAfAQAAZHJzL2Uyb0RvYy54&#10;bWxQSwUGAAAAAAYABgBZAQAAyQU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v:textbox>
            </v:shape>
          </w:pict>
        </mc:Fallback>
      </mc:AlternateContent>
    </w:r>
  </w:p>
  <w:p>
    <w:pPr>
      <w:widowControl w:val="0"/>
      <w:snapToGrid w:val="0"/>
      <w:jc w:val="left"/>
      <w:rPr>
        <w:rFonts w:ascii="Calibri" w:hAnsi="Calibri" w:eastAsia="宋体" w:cs="Times New Roman"/>
        <w:kern w:val="0"/>
        <w:sz w:val="18"/>
        <w:szCs w:val="18"/>
        <w:lang w:val="en-US" w:eastAsia="zh-CN" w:bidi="ar-SA"/>
      </w:rP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708416" behindDoc="0" locked="0" layoutInCell="1" allowOverlap="1">
              <wp:simplePos x="0" y="0"/>
              <wp:positionH relativeFrom="margin">
                <wp:align>center</wp:align>
              </wp:positionH>
              <wp:positionV relativeFrom="paragraph">
                <wp:posOffset>0</wp:posOffset>
              </wp:positionV>
              <wp:extent cx="1828800" cy="1828800"/>
              <wp:effectExtent l="0" t="0" r="0" b="0"/>
              <wp:wrapNone/>
              <wp:docPr id="101" name="文本框 10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84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rLLe2jgCAABzBAAADgAAAAAAAAABACAAAAAfAQAAZHJzL2Uyb0RvYy54&#10;bWxQSwUGAAAAAAYABgBZAQAAyQU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v:textbox>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center"/>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7094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02" name="文本框 10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94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FesX/g5AgAAcwQAAA4AAAAAAAAAAQAgAAAAHwEAAGRycy9lMm9Eb2Mu&#10;eG1sUEsFBgAAAAAGAAYAWQEAAMoFA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v:textbox>
            </v:shape>
          </w:pict>
        </mc:Fallback>
      </mc:AlternateContent>
    </w:r>
  </w:p>
  <w:p>
    <w:pPr>
      <w:widowControl w:val="0"/>
      <w:snapToGrid w:val="0"/>
      <w:jc w:val="left"/>
      <w:rPr>
        <w:rFonts w:ascii="Calibri" w:hAnsi="Calibri" w:eastAsia="宋体" w:cs="Times New Roman"/>
        <w:kern w:val="0"/>
        <w:sz w:val="18"/>
        <w:szCs w:val="18"/>
        <w:lang w:val="en-US" w:eastAsia="zh-CN" w:bidi="ar-S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rPr>
        <w:sz w:val="18"/>
      </w:rPr>
      <mc:AlternateContent>
        <mc:Choice Requires="wps">
          <w:drawing>
            <wp:anchor distT="0" distB="0" distL="114300" distR="114300" simplePos="0" relativeHeight="251688960" behindDoc="0" locked="0" layoutInCell="1" allowOverlap="1">
              <wp:simplePos x="0" y="0"/>
              <wp:positionH relativeFrom="margin">
                <wp:align>center</wp:align>
              </wp:positionH>
              <wp:positionV relativeFrom="paragraph">
                <wp:posOffset>0</wp:posOffset>
              </wp:positionV>
              <wp:extent cx="1828800" cy="1828800"/>
              <wp:effectExtent l="0" t="0" r="0" b="0"/>
              <wp:wrapNone/>
              <wp:docPr id="56" name="文本框 5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- 2 -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89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WFKJQzAgAAYwQAAA4AAABkcnMvZTJvRG9jLnhtbK1UzY7TMBC+I/EO&#10;lu80adFW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5MKdFMoeKXH98v&#10;P39ffn0jOINAtfVzxO0sIkPzzjRom+Hc4zDybgqn4heMCPyQ93yVVzSB8HhpNpnNUrg4fMMG+MnT&#10;det8eC+MItHIqEP9WlnZaetDFzqExGzabCop2xpKTeqMTt/epO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WFKJQzAgAAYwQAAA4AAAAAAAAAAQAgAAAAHwEAAGRycy9lMm9Eb2MueG1sUEsF&#10;BgAAAAAGAAYAWQEAAMQFA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- 2 -</w:t>
                    </w:r>
                    <w:r>
                      <w:fldChar w:fldCharType="end"/>
                    </w:r>
                  </w:p>
                </w:txbxContent>
              </v:textbox>
            </v:shape>
          </w:pict>
        </mc:Fallback>
      </mc:AlternateContent>
    </w:r>
  </w:p>
  <w:p>
    <w:pPr>
      <w:pStyle w:val="11"/>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7104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3" name="文本框 10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04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DBW/BQOgIAAHMEAAAOAAAAAAAAAAEAIAAAAB8BAABkcnMvZTJvRG9j&#10;LnhtbFBLBQYAAAAABgAGAFkBAADLBQ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v:textbox>
            </v:shape>
          </w:pict>
        </mc:Fallback>
      </mc:AlternateConten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center"/>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7114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04" name="文本框 10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14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GRXb06AgAAcw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ChkV29OgIAAHMEAAAOAAAAAAAAAAEAIAAAAB8BAABkcnMvZTJvRG9j&#10;LnhtbFBLBQYAAAAABgAGAFkBAADLBQ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v:textbox>
            </v:shape>
          </w:pict>
        </mc:Fallback>
      </mc:AlternateContent>
    </w:r>
  </w:p>
  <w:p>
    <w:pPr>
      <w:widowControl w:val="0"/>
      <w:snapToGrid w:val="0"/>
      <w:jc w:val="left"/>
      <w:rPr>
        <w:rFonts w:ascii="Calibri" w:hAnsi="Calibri" w:eastAsia="宋体" w:cs="Times New Roman"/>
        <w:kern w:val="0"/>
        <w:sz w:val="18"/>
        <w:szCs w:val="18"/>
        <w:lang w:val="en-US" w:eastAsia="zh-CN" w:bidi="ar-SA"/>
      </w:rPr>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7125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5" name="文本框 10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25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A3ZvIVOgIAAHMEAAAOAAAAAAAAAAEAIAAAAB8BAABkcnMvZTJvRG9j&#10;LnhtbFBLBQYAAAAABgAGAFkBAADLBQ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v:textbox>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center"/>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7135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06" name="文本框 10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35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Mx4czc5AgAAcwQAAA4AAAAAAAAAAQAgAAAAHwEAAGRycy9lMm9Eb2Mu&#10;eG1sUEsFBgAAAAAGAAYAWQEAAMoFA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2</w:t>
                    </w:r>
                    <w:r>
                      <w:rPr>
                        <w:rFonts w:ascii="Calibri" w:hAnsi="Calibri" w:eastAsia="宋体" w:cs="Times New Roman"/>
                        <w:kern w:val="0"/>
                        <w:sz w:val="18"/>
                        <w:szCs w:val="18"/>
                        <w:lang w:val="en-US" w:eastAsia="zh-CN" w:bidi="ar-SA"/>
                      </w:rPr>
                      <w:fldChar w:fldCharType="end"/>
                    </w:r>
                  </w:p>
                </w:txbxContent>
              </v:textbox>
            </v:shape>
          </w:pict>
        </mc:Fallback>
      </mc:AlternateContent>
    </w:r>
  </w:p>
  <w:p>
    <w:pPr>
      <w:widowControl w:val="0"/>
      <w:snapToGrid w:val="0"/>
      <w:jc w:val="left"/>
      <w:rPr>
        <w:rFonts w:ascii="Calibri" w:hAnsi="Calibri" w:eastAsia="宋体" w:cs="Times New Roman"/>
        <w:kern w:val="0"/>
        <w:sz w:val="18"/>
        <w:szCs w:val="18"/>
        <w:lang w:val="en-US" w:eastAsia="zh-CN" w:bidi="ar-SA"/>
      </w:rPr>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7145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07" name="文本框 10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45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qP3J86AgAAcwQAAA4AAABkcnMvZTJvRG9jLnhtbK1UzY7TMBC+I/EO&#10;lu80aRFL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Baj9yfOgIAAHMEAAAOAAAAAAAAAAEAIAAAAB8BAABkcnMvZTJvRG9j&#10;LnhtbFBLBQYAAAAABgAGAFkBAADLBQAAAAA=&#10;">
              <v:fill on="f" focussize="0,0"/>
              <v:stroke on="f" weight="0.5pt"/>
              <v:imagedata o:title=""/>
              <o:lock v:ext="edit" aspectratio="f"/>
              <v:textbox inset="0mm,0mm,0mm,0mm" style="mso-fit-shape-to-text:t;">
                <w:txbxContent>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w:fldChar w:fldCharType="begin"/>
                    </w:r>
                    <w:r>
                      <w:rPr>
                        <w:rFonts w:ascii="Calibri" w:hAnsi="Calibri" w:eastAsia="宋体" w:cs="Times New Roman"/>
                        <w:kern w:val="0"/>
                        <w:sz w:val="18"/>
                        <w:szCs w:val="18"/>
                        <w:lang w:val="en-US" w:eastAsia="zh-CN" w:bidi="ar-SA"/>
                      </w:rPr>
                      <w:instrText xml:space="preserve"> PAGE  \* MERGEFORMAT </w:instrText>
                    </w:r>
                    <w:r>
                      <w:rPr>
                        <w:rFonts w:ascii="Calibri" w:hAnsi="Calibri" w:eastAsia="宋体" w:cs="Times New Roman"/>
                        <w:kern w:val="0"/>
                        <w:sz w:val="18"/>
                        <w:szCs w:val="18"/>
                        <w:lang w:val="en-US" w:eastAsia="zh-CN" w:bidi="ar-SA"/>
                      </w:rPr>
                      <w:fldChar w:fldCharType="separate"/>
                    </w:r>
                    <w:r>
                      <w:rPr>
                        <w:rFonts w:ascii="Calibri" w:hAnsi="Calibri" w:eastAsia="宋体" w:cs="Times New Roman"/>
                        <w:kern w:val="0"/>
                        <w:sz w:val="18"/>
                        <w:szCs w:val="18"/>
                        <w:lang w:val="en-US" w:eastAsia="zh-CN" w:bidi="ar-SA"/>
                      </w:rPr>
                      <w:t>1</w:t>
                    </w:r>
                    <w:r>
                      <w:rPr>
                        <w:rFonts w:ascii="Calibri" w:hAnsi="Calibri" w:eastAsia="宋体" w:cs="Times New Roman"/>
                        <w:kern w:val="0"/>
                        <w:sz w:val="18"/>
                        <w:szCs w:val="18"/>
                        <w:lang w:val="en-US" w:eastAsia="zh-CN" w:bidi="ar-SA"/>
                      </w:rPr>
                      <w:fldChar w:fldCharType="end"/>
                    </w:r>
                  </w:p>
                </w:txbxContent>
              </v:textbox>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rPr>
        <w:sz w:val="18"/>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85" name="文本框 18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- 1 -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eq1ts6AgAAcwQAAA4AAABkcnMvZTJvRG9jLnhtbK1UzY7TMBC+I/EO&#10;lu80bdGu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AHqtbbOgIAAHMEAAAOAAAAAAAAAAEAIAAAAB8BAABkcnMvZTJvRG9j&#10;LnhtbFBLBQYAAAAABgAGAFkBAADLBQ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- 1 -</w:t>
                    </w:r>
                    <w:r>
                      <w:fldChar w:fldCharType="end"/>
                    </w:r>
                  </w:p>
                </w:txbxContent>
              </v:textbox>
            </v:shape>
          </w:pict>
        </mc:Fallback>
      </mc:AlternateContent>
    </w:r>
  </w:p>
  <w:p>
    <w:pPr>
      <w:pStyle w:val="11"/>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6" name="文本框 18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Py0V/k5AgAAcwQAAA4AAAAAAAAAAQAgAAAAHwEAAGRycy9lMm9Eb2Mu&#10;eG1sUEsFBgAAAAAGAAYAWQEAAMoFA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rPr>
        <w:sz w:val="18"/>
      </w:rP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187" name="文本框 18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- 1 -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pD+FE6AgAAcwQAAA4AAABkcnMvZTJvRG9jLnhtbK1UzY7TMBC+I/EO&#10;lu80aRFL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BqQ/hROgIAAHMEAAAOAAAAAAAAAAEAIAAAAB8BAABkcnMvZTJvRG9j&#10;LnhtbFBLBQYAAAAABgAGAFkBAADLBQ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- 1 -</w:t>
                    </w:r>
                    <w:r>
                      <w:fldChar w:fldCharType="end"/>
                    </w:r>
                  </w:p>
                </w:txbxContent>
              </v:textbox>
            </v:shape>
          </w:pict>
        </mc:Fallback>
      </mc:AlternateContent>
    </w:r>
  </w:p>
  <w:p>
    <w:pPr>
      <w:pStyle w:val="11"/>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sz w:val="18"/>
      </w:rPr>
      <mc:AlternateContent>
        <mc:Choice Requires="wps">
          <w:drawing>
            <wp:anchor distT="0" distB="0" distL="114300" distR="114300" simplePos="0" relativeHeight="251679744" behindDoc="0" locked="0" layoutInCell="1" allowOverlap="1">
              <wp:simplePos x="0" y="0"/>
              <wp:positionH relativeFrom="margin">
                <wp:align>center</wp:align>
              </wp:positionH>
              <wp:positionV relativeFrom="paragraph">
                <wp:posOffset>0</wp:posOffset>
              </wp:positionV>
              <wp:extent cx="1828800" cy="1828800"/>
              <wp:effectExtent l="0" t="0" r="0" b="0"/>
              <wp:wrapNone/>
              <wp:docPr id="188" name="文本框 18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97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0mffk5AgAAcw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H0mffk5AgAAcwQAAA4AAAAAAAAAAQAgAAAAHwEAAGRycy9lMm9Eb2Mu&#10;eG1sUEsFBgAAAAAGAAYAWQEAAMoFA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rPr>
        <w:sz w:val="18"/>
      </w:rPr>
      <mc:AlternateContent>
        <mc:Choice Requires="wps">
          <w:drawing>
            <wp:anchor distT="0" distB="0" distL="114300" distR="114300" simplePos="0" relativeHeight="251680768" behindDoc="0" locked="0" layoutInCell="1" allowOverlap="1">
              <wp:simplePos x="0" y="0"/>
              <wp:positionH relativeFrom="margin">
                <wp:align>center</wp:align>
              </wp:positionH>
              <wp:positionV relativeFrom="paragraph">
                <wp:posOffset>0</wp:posOffset>
              </wp:positionV>
              <wp:extent cx="1828800" cy="1828800"/>
              <wp:effectExtent l="0" t="0" r="0" b="0"/>
              <wp:wrapNone/>
              <wp:docPr id="189" name="文本框 18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- 1 -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07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vR0lE6AgAAcwQAAA4AAABkcnMvZTJvRG9jLnhtbK1UzY7TMBC+I/EO&#10;lu80aRGrUj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Dr0dJROgIAAHMEAAAOAAAAAAAAAAEAIAAAAB8BAABkcnMvZTJvRG9j&#10;LnhtbFBLBQYAAAAABgAGAFkBAADLBQ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- 1 -</w:t>
                    </w:r>
                    <w:r>
                      <w:fldChar w:fldCharType="end"/>
                    </w:r>
                  </w:p>
                </w:txbxContent>
              </v:textbox>
            </v:shape>
          </w:pict>
        </mc:Fallback>
      </mc:AlternateContent>
    </w:r>
  </w:p>
  <w:p>
    <w:pPr>
      <w:pStyle w:val="11"/>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sz w:val="18"/>
      </w:rPr>
      <mc:AlternateContent>
        <mc:Choice Requires="wps">
          <w:drawing>
            <wp:anchor distT="0" distB="0" distL="114300" distR="114300" simplePos="0" relativeHeight="251689984" behindDoc="0" locked="0" layoutInCell="1" allowOverlap="1">
              <wp:simplePos x="0" y="0"/>
              <wp:positionH relativeFrom="margin">
                <wp:align>center</wp:align>
              </wp:positionH>
              <wp:positionV relativeFrom="paragraph">
                <wp:posOffset>0</wp:posOffset>
              </wp:positionV>
              <wp:extent cx="1828800" cy="1828800"/>
              <wp:effectExtent l="0" t="0" r="0" b="0"/>
              <wp:wrapNone/>
              <wp:docPr id="59" name="文本框 5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99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yNJGYzAgAAYwQAAA4AAABkcnMvZTJvRG9jLnhtbK1UzY7TMBC+I/EO&#10;lu80adGu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9d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yNJGYzAgAAYwQAAA4AAAAAAAAAAQAgAAAAHwEAAGRycy9lMm9Eb2MueG1sUEsF&#10;BgAAAAAGAAYAWQEAAMQFA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sz w:val="18"/>
      </w:rPr>
      <mc:AlternateContent>
        <mc:Choice Requires="wps">
          <w:drawing>
            <wp:anchor distT="0" distB="0" distL="114300" distR="114300" simplePos="0" relativeHeight="251681792" behindDoc="0" locked="0" layoutInCell="1" allowOverlap="1">
              <wp:simplePos x="0" y="0"/>
              <wp:positionH relativeFrom="margin">
                <wp:align>center</wp:align>
              </wp:positionH>
              <wp:positionV relativeFrom="paragraph">
                <wp:posOffset>0</wp:posOffset>
              </wp:positionV>
              <wp:extent cx="1828800" cy="1828800"/>
              <wp:effectExtent l="0" t="0" r="0" b="0"/>
              <wp:wrapNone/>
              <wp:docPr id="190" name="文本框 19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17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wQkaU5AgAAcwQAAA4AAABkcnMvZTJvRG9jLnhtbK1UzY7TMBC+I/EO&#10;lu80aRGrUj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IwQkaU5AgAAcwQAAA4AAAAAAAAAAQAgAAAAHwEAAGRycy9lMm9Eb2Mu&#10;eG1sUEsFBgAAAAAGAAYAWQEAAMoFA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65" name="文本框 16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hint="eastAsia" w:asciiTheme="minorEastAsia" w:hAnsiTheme="minorEastAsia" w:eastAsiaTheme="minorEastAsia" w:cstheme="minorEastAsia"/>
                              <w:kern w:val="0"/>
                              <w:sz w:val="24"/>
                              <w:szCs w:val="24"/>
                              <w:lang w:val="en-US" w:eastAsia="zh-CN" w:bidi="ar-SA"/>
                            </w:rPr>
                          </w:pPr>
                          <w:r>
                            <w:rPr>
                              <w:rFonts w:hint="default" w:ascii="Calibri" w:hAnsi="Calibri" w:cs="Calibri" w:eastAsiaTheme="minorEastAsia"/>
                              <w:kern w:val="0"/>
                              <w:sz w:val="18"/>
                              <w:szCs w:val="18"/>
                              <w:lang w:val="en-US" w:eastAsia="zh-CN" w:bidi="ar-SA"/>
                            </w:rPr>
                            <w:fldChar w:fldCharType="begin"/>
                          </w:r>
                          <w:r>
                            <w:rPr>
                              <w:rFonts w:hint="default" w:ascii="Calibri" w:hAnsi="Calibri" w:cs="Calibri" w:eastAsiaTheme="minorEastAsia"/>
                              <w:kern w:val="0"/>
                              <w:sz w:val="18"/>
                              <w:szCs w:val="18"/>
                              <w:lang w:val="en-US" w:eastAsia="zh-CN" w:bidi="ar-SA"/>
                            </w:rPr>
                            <w:instrText xml:space="preserve"> PAGE  \* MERGEFORMAT </w:instrText>
                          </w:r>
                          <w:r>
                            <w:rPr>
                              <w:rFonts w:hint="default" w:ascii="Calibri" w:hAnsi="Calibri" w:cs="Calibri" w:eastAsiaTheme="minorEastAsia"/>
                              <w:kern w:val="0"/>
                              <w:sz w:val="18"/>
                              <w:szCs w:val="18"/>
                              <w:lang w:val="en-US" w:eastAsia="zh-CN" w:bidi="ar-SA"/>
                            </w:rPr>
                            <w:fldChar w:fldCharType="separate"/>
                          </w:r>
                          <w:r>
                            <w:rPr>
                              <w:rFonts w:hint="default" w:ascii="Calibri" w:hAnsi="Calibri" w:cs="Calibri" w:eastAsiaTheme="minorEastAsia"/>
                              <w:kern w:val="0"/>
                              <w:sz w:val="18"/>
                              <w:szCs w:val="18"/>
                              <w:lang w:val="en-US" w:eastAsia="zh-CN" w:bidi="ar-SA"/>
                            </w:rPr>
                            <w:t>- 2 -</w:t>
                          </w:r>
                          <w:r>
                            <w:rPr>
                              <w:rFonts w:hint="default" w:ascii="Calibri" w:hAnsi="Calibri" w:cs="Calibri" w:eastAsiaTheme="minorEastAsia"/>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CMzaUE5AgAAcwQAAA4AAAAAAAAAAQAgAAAAHwEAAGRycy9lMm9Eb2Mu&#10;eG1sUEsFBgAAAAAGAAYAWQEAAMoFAAAAAA==&#10;">
              <v:fill on="f" focussize="0,0"/>
              <v:stroke on="f" weight="0.5pt"/>
              <v:imagedata o:title=""/>
              <o:lock v:ext="edit" aspectratio="f"/>
              <v:textbox inset="0mm,0mm,0mm,0mm" style="mso-fit-shape-to-text:t;">
                <w:txbxContent>
                  <w:p>
                    <w:pPr>
                      <w:widowControl w:val="0"/>
                      <w:snapToGrid w:val="0"/>
                      <w:jc w:val="left"/>
                      <w:rPr>
                        <w:rFonts w:hint="eastAsia" w:asciiTheme="minorEastAsia" w:hAnsiTheme="minorEastAsia" w:eastAsiaTheme="minorEastAsia" w:cstheme="minorEastAsia"/>
                        <w:kern w:val="0"/>
                        <w:sz w:val="24"/>
                        <w:szCs w:val="24"/>
                        <w:lang w:val="en-US" w:eastAsia="zh-CN" w:bidi="ar-SA"/>
                      </w:rPr>
                    </w:pPr>
                    <w:r>
                      <w:rPr>
                        <w:rFonts w:hint="default" w:ascii="Calibri" w:hAnsi="Calibri" w:cs="Calibri" w:eastAsiaTheme="minorEastAsia"/>
                        <w:kern w:val="0"/>
                        <w:sz w:val="18"/>
                        <w:szCs w:val="18"/>
                        <w:lang w:val="en-US" w:eastAsia="zh-CN" w:bidi="ar-SA"/>
                      </w:rPr>
                      <w:fldChar w:fldCharType="begin"/>
                    </w:r>
                    <w:r>
                      <w:rPr>
                        <w:rFonts w:hint="default" w:ascii="Calibri" w:hAnsi="Calibri" w:cs="Calibri" w:eastAsiaTheme="minorEastAsia"/>
                        <w:kern w:val="0"/>
                        <w:sz w:val="18"/>
                        <w:szCs w:val="18"/>
                        <w:lang w:val="en-US" w:eastAsia="zh-CN" w:bidi="ar-SA"/>
                      </w:rPr>
                      <w:instrText xml:space="preserve"> PAGE  \* MERGEFORMAT </w:instrText>
                    </w:r>
                    <w:r>
                      <w:rPr>
                        <w:rFonts w:hint="default" w:ascii="Calibri" w:hAnsi="Calibri" w:cs="Calibri" w:eastAsiaTheme="minorEastAsia"/>
                        <w:kern w:val="0"/>
                        <w:sz w:val="18"/>
                        <w:szCs w:val="18"/>
                        <w:lang w:val="en-US" w:eastAsia="zh-CN" w:bidi="ar-SA"/>
                      </w:rPr>
                      <w:fldChar w:fldCharType="separate"/>
                    </w:r>
                    <w:r>
                      <w:rPr>
                        <w:rFonts w:hint="default" w:ascii="Calibri" w:hAnsi="Calibri" w:cs="Calibri" w:eastAsiaTheme="minorEastAsia"/>
                        <w:kern w:val="0"/>
                        <w:sz w:val="18"/>
                        <w:szCs w:val="18"/>
                        <w:lang w:val="en-US" w:eastAsia="zh-CN" w:bidi="ar-SA"/>
                      </w:rPr>
                      <w:t>- 2 -</w:t>
                    </w:r>
                    <w:r>
                      <w:rPr>
                        <w:rFonts w:hint="default" w:ascii="Calibri" w:hAnsi="Calibri" w:cs="Calibri" w:eastAsiaTheme="minorEastAsia"/>
                        <w:kern w:val="0"/>
                        <w:sz w:val="18"/>
                        <w:szCs w:val="18"/>
                        <w:lang w:val="en-US" w:eastAsia="zh-CN" w:bidi="ar-SA"/>
                      </w:rPr>
                      <w:fldChar w:fldCharType="end"/>
                    </w:r>
                  </w:p>
                </w:txbxContent>
              </v:textbox>
            </v:shape>
          </w:pict>
        </mc:Fallback>
      </mc:AlternateContent>
    </w:r>
  </w:p>
  <w:p>
    <w:pPr>
      <w:widowControl w:val="0"/>
      <w:snapToGrid w:val="0"/>
      <w:jc w:val="left"/>
      <w:rPr>
        <w:rFonts w:ascii="Calibri" w:hAnsi="Calibri" w:eastAsia="宋体" w:cs="Times New Roman"/>
        <w:kern w:val="0"/>
        <w:sz w:val="18"/>
        <w:szCs w:val="18"/>
        <w:lang w:val="en-US" w:eastAsia="zh-CN" w:bidi="ar-SA"/>
      </w:rPr>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237490" cy="192405"/>
              <wp:effectExtent l="0" t="0" r="0" b="0"/>
              <wp:wrapNone/>
              <wp:docPr id="164" name="文本框 164"/>
              <wp:cNvGraphicFramePr/>
              <a:graphic xmlns:a="http://schemas.openxmlformats.org/drawingml/2006/main">
                <a:graphicData uri="http://schemas.microsoft.com/office/word/2010/wordprocessingShape">
                  <wps:wsp>
                    <wps:cNvSpPr txBox="1"/>
                    <wps:spPr>
                      <a:xfrm>
                        <a:off x="0" y="0"/>
                        <a:ext cx="237490" cy="1924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hint="eastAsia" w:asciiTheme="minorEastAsia" w:hAnsiTheme="minorEastAsia" w:eastAsiaTheme="minorEastAsia" w:cstheme="minorEastAsia"/>
                              <w:kern w:val="0"/>
                              <w:sz w:val="18"/>
                              <w:szCs w:val="18"/>
                              <w:lang w:val="en-US" w:eastAsia="zh-CN" w:bidi="ar-SA"/>
                            </w:rPr>
                          </w:pPr>
                          <w:r>
                            <w:rPr>
                              <w:rFonts w:hint="default" w:ascii="Calibri" w:hAnsi="Calibri" w:cs="Calibri" w:eastAsiaTheme="minorEastAsia"/>
                              <w:kern w:val="0"/>
                              <w:sz w:val="18"/>
                              <w:szCs w:val="18"/>
                              <w:lang w:val="en-US" w:eastAsia="zh-CN" w:bidi="ar-SA"/>
                            </w:rPr>
                            <w:fldChar w:fldCharType="begin"/>
                          </w:r>
                          <w:r>
                            <w:rPr>
                              <w:rFonts w:hint="default" w:ascii="Calibri" w:hAnsi="Calibri" w:cs="Calibri" w:eastAsiaTheme="minorEastAsia"/>
                              <w:kern w:val="0"/>
                              <w:sz w:val="18"/>
                              <w:szCs w:val="18"/>
                              <w:lang w:val="en-US" w:eastAsia="zh-CN" w:bidi="ar-SA"/>
                            </w:rPr>
                            <w:instrText xml:space="preserve"> PAGE  \* MERGEFORMAT </w:instrText>
                          </w:r>
                          <w:r>
                            <w:rPr>
                              <w:rFonts w:hint="default" w:ascii="Calibri" w:hAnsi="Calibri" w:cs="Calibri" w:eastAsiaTheme="minorEastAsia"/>
                              <w:kern w:val="0"/>
                              <w:sz w:val="18"/>
                              <w:szCs w:val="18"/>
                              <w:lang w:val="en-US" w:eastAsia="zh-CN" w:bidi="ar-SA"/>
                            </w:rPr>
                            <w:fldChar w:fldCharType="separate"/>
                          </w:r>
                          <w:r>
                            <w:rPr>
                              <w:rFonts w:hint="default" w:ascii="Calibri" w:hAnsi="Calibri" w:cs="Calibri" w:eastAsiaTheme="minorEastAsia"/>
                              <w:kern w:val="0"/>
                              <w:sz w:val="18"/>
                              <w:szCs w:val="18"/>
                              <w:lang w:val="en-US" w:eastAsia="zh-CN" w:bidi="ar-SA"/>
                            </w:rPr>
                            <w:t>- 1 -</w:t>
                          </w:r>
                          <w:r>
                            <w:rPr>
                              <w:rFonts w:hint="default" w:ascii="Calibri" w:hAnsi="Calibri" w:cs="Calibri" w:eastAsiaTheme="minorEastAsia"/>
                              <w:kern w:val="0"/>
                              <w:sz w:val="18"/>
                              <w:szCs w:val="18"/>
                              <w:lang w:val="en-US" w:eastAsia="zh-CN" w:bidi="ar-SA"/>
                            </w:rPr>
                            <w:fldChar w:fldCharType="end"/>
                          </w:r>
                        </w:p>
                      </w:txbxContent>
                    </wps:txbx>
                    <wps:bodyPr rot="0" spcFirstLastPara="0" vertOverflow="overflow" horzOverflow="overflow" vert="horz" wrap="square" lIns="0" tIns="0" rIns="0" bIns="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top:0pt;height:15.15pt;width:18.7pt;mso-position-horizontal:center;mso-position-horizontal-relative:margin;z-index:251671552;mso-width-relative:page;mso-height-relative:page;" filled="f" stroked="f" coordsize="21600,21600" o:gfxdata="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qXjLQdIAAAADAQAADwAAAAAAAAABACAAAAAiAAAAZHJzL2Rv&#10;d25yZXYueG1sUEsBAhQAFAAAAAgAh07iQCTlmG5AAgAAcwQAAA4AAAAAAAAAAQAgAAAAIQEAAGRy&#10;cy9lMm9Eb2MueG1sUEsFBgAAAAAGAAYAWQEAANMFAAAAAA==&#10;">
              <v:fill on="f" focussize="0,0"/>
              <v:stroke on="f" weight="0.5pt"/>
              <v:imagedata o:title=""/>
              <o:lock v:ext="edit" aspectratio="f"/>
              <v:textbox inset="0mm,0mm,0mm,0mm">
                <w:txbxContent>
                  <w:p>
                    <w:pPr>
                      <w:widowControl w:val="0"/>
                      <w:snapToGrid w:val="0"/>
                      <w:jc w:val="left"/>
                      <w:rPr>
                        <w:rFonts w:hint="eastAsia" w:asciiTheme="minorEastAsia" w:hAnsiTheme="minorEastAsia" w:eastAsiaTheme="minorEastAsia" w:cstheme="minorEastAsia"/>
                        <w:kern w:val="0"/>
                        <w:sz w:val="18"/>
                        <w:szCs w:val="18"/>
                        <w:lang w:val="en-US" w:eastAsia="zh-CN" w:bidi="ar-SA"/>
                      </w:rPr>
                    </w:pPr>
                    <w:r>
                      <w:rPr>
                        <w:rFonts w:hint="default" w:ascii="Calibri" w:hAnsi="Calibri" w:cs="Calibri" w:eastAsiaTheme="minorEastAsia"/>
                        <w:kern w:val="0"/>
                        <w:sz w:val="18"/>
                        <w:szCs w:val="18"/>
                        <w:lang w:val="en-US" w:eastAsia="zh-CN" w:bidi="ar-SA"/>
                      </w:rPr>
                      <w:fldChar w:fldCharType="begin"/>
                    </w:r>
                    <w:r>
                      <w:rPr>
                        <w:rFonts w:hint="default" w:ascii="Calibri" w:hAnsi="Calibri" w:cs="Calibri" w:eastAsiaTheme="minorEastAsia"/>
                        <w:kern w:val="0"/>
                        <w:sz w:val="18"/>
                        <w:szCs w:val="18"/>
                        <w:lang w:val="en-US" w:eastAsia="zh-CN" w:bidi="ar-SA"/>
                      </w:rPr>
                      <w:instrText xml:space="preserve"> PAGE  \* MERGEFORMAT </w:instrText>
                    </w:r>
                    <w:r>
                      <w:rPr>
                        <w:rFonts w:hint="default" w:ascii="Calibri" w:hAnsi="Calibri" w:cs="Calibri" w:eastAsiaTheme="minorEastAsia"/>
                        <w:kern w:val="0"/>
                        <w:sz w:val="18"/>
                        <w:szCs w:val="18"/>
                        <w:lang w:val="en-US" w:eastAsia="zh-CN" w:bidi="ar-SA"/>
                      </w:rPr>
                      <w:fldChar w:fldCharType="separate"/>
                    </w:r>
                    <w:r>
                      <w:rPr>
                        <w:rFonts w:hint="default" w:ascii="Calibri" w:hAnsi="Calibri" w:cs="Calibri" w:eastAsiaTheme="minorEastAsia"/>
                        <w:kern w:val="0"/>
                        <w:sz w:val="18"/>
                        <w:szCs w:val="18"/>
                        <w:lang w:val="en-US" w:eastAsia="zh-CN" w:bidi="ar-SA"/>
                      </w:rPr>
                      <w:t>- 1 -</w:t>
                    </w:r>
                    <w:r>
                      <w:rPr>
                        <w:rFonts w:hint="default" w:ascii="Calibri" w:hAnsi="Calibri" w:cs="Calibri" w:eastAsiaTheme="minorEastAsia"/>
                        <w:kern w:val="0"/>
                        <w:sz w:val="18"/>
                        <w:szCs w:val="18"/>
                        <w:lang w:val="en-US" w:eastAsia="zh-CN" w:bidi="ar-SA"/>
                      </w:rPr>
                      <w:fldChar w:fldCharType="end"/>
                    </w:r>
                  </w:p>
                </w:txbxContent>
              </v:textbox>
            </v:shape>
          </w:pict>
        </mc:Fallback>
      </mc:AlternateConten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682816" behindDoc="0" locked="0" layoutInCell="1" allowOverlap="1">
              <wp:simplePos x="0" y="0"/>
              <wp:positionH relativeFrom="margin">
                <wp:align>center</wp:align>
              </wp:positionH>
              <wp:positionV relativeFrom="paragraph">
                <wp:posOffset>0</wp:posOffset>
              </wp:positionV>
              <wp:extent cx="1828800" cy="1828800"/>
              <wp:effectExtent l="0" t="0" r="0" b="0"/>
              <wp:wrapNone/>
              <wp:docPr id="191" name="文本框 19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hint="eastAsia" w:asciiTheme="minorEastAsia" w:hAnsiTheme="minorEastAsia" w:eastAsiaTheme="minorEastAsia" w:cstheme="minorEastAsia"/>
                              <w:kern w:val="0"/>
                              <w:sz w:val="24"/>
                              <w:szCs w:val="24"/>
                              <w:lang w:val="en-US" w:eastAsia="zh-CN" w:bidi="ar-SA"/>
                            </w:rPr>
                          </w:pPr>
                          <w:r>
                            <w:rPr>
                              <w:rFonts w:hint="default" w:ascii="Calibri" w:hAnsi="Calibri" w:cs="Calibri" w:eastAsiaTheme="minorEastAsia"/>
                              <w:kern w:val="0"/>
                              <w:sz w:val="18"/>
                              <w:szCs w:val="18"/>
                              <w:lang w:val="en-US" w:eastAsia="zh-CN" w:bidi="ar-SA"/>
                            </w:rPr>
                            <w:fldChar w:fldCharType="begin"/>
                          </w:r>
                          <w:r>
                            <w:rPr>
                              <w:rFonts w:hint="default" w:ascii="Calibri" w:hAnsi="Calibri" w:cs="Calibri" w:eastAsiaTheme="minorEastAsia"/>
                              <w:kern w:val="0"/>
                              <w:sz w:val="18"/>
                              <w:szCs w:val="18"/>
                              <w:lang w:val="en-US" w:eastAsia="zh-CN" w:bidi="ar-SA"/>
                            </w:rPr>
                            <w:instrText xml:space="preserve"> PAGE  \* MERGEFORMAT </w:instrText>
                          </w:r>
                          <w:r>
                            <w:rPr>
                              <w:rFonts w:hint="default" w:ascii="Calibri" w:hAnsi="Calibri" w:cs="Calibri" w:eastAsiaTheme="minorEastAsia"/>
                              <w:kern w:val="0"/>
                              <w:sz w:val="18"/>
                              <w:szCs w:val="18"/>
                              <w:lang w:val="en-US" w:eastAsia="zh-CN" w:bidi="ar-SA"/>
                            </w:rPr>
                            <w:fldChar w:fldCharType="separate"/>
                          </w:r>
                          <w:r>
                            <w:rPr>
                              <w:rFonts w:hint="default" w:ascii="Calibri" w:hAnsi="Calibri" w:cs="Calibri" w:eastAsiaTheme="minorEastAsia"/>
                              <w:kern w:val="0"/>
                              <w:sz w:val="18"/>
                              <w:szCs w:val="18"/>
                              <w:lang w:val="en-US" w:eastAsia="zh-CN" w:bidi="ar-SA"/>
                            </w:rPr>
                            <w:t>- 2 -</w:t>
                          </w:r>
                          <w:r>
                            <w:rPr>
                              <w:rFonts w:hint="default" w:ascii="Calibri" w:hAnsi="Calibri" w:cs="Calibri" w:eastAsiaTheme="minorEastAsia"/>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28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BrnPg05AgAAcwQAAA4AAAAAAAAAAQAgAAAAHwEAAGRycy9lMm9Eb2Mu&#10;eG1sUEsFBgAAAAAGAAYAWQEAAMoFAAAAAA==&#10;">
              <v:fill on="f" focussize="0,0"/>
              <v:stroke on="f" weight="0.5pt"/>
              <v:imagedata o:title=""/>
              <o:lock v:ext="edit" aspectratio="f"/>
              <v:textbox inset="0mm,0mm,0mm,0mm" style="mso-fit-shape-to-text:t;">
                <w:txbxContent>
                  <w:p>
                    <w:pPr>
                      <w:widowControl w:val="0"/>
                      <w:snapToGrid w:val="0"/>
                      <w:jc w:val="left"/>
                      <w:rPr>
                        <w:rFonts w:hint="eastAsia" w:asciiTheme="minorEastAsia" w:hAnsiTheme="minorEastAsia" w:eastAsiaTheme="minorEastAsia" w:cstheme="minorEastAsia"/>
                        <w:kern w:val="0"/>
                        <w:sz w:val="24"/>
                        <w:szCs w:val="24"/>
                        <w:lang w:val="en-US" w:eastAsia="zh-CN" w:bidi="ar-SA"/>
                      </w:rPr>
                    </w:pPr>
                    <w:r>
                      <w:rPr>
                        <w:rFonts w:hint="default" w:ascii="Calibri" w:hAnsi="Calibri" w:cs="Calibri" w:eastAsiaTheme="minorEastAsia"/>
                        <w:kern w:val="0"/>
                        <w:sz w:val="18"/>
                        <w:szCs w:val="18"/>
                        <w:lang w:val="en-US" w:eastAsia="zh-CN" w:bidi="ar-SA"/>
                      </w:rPr>
                      <w:fldChar w:fldCharType="begin"/>
                    </w:r>
                    <w:r>
                      <w:rPr>
                        <w:rFonts w:hint="default" w:ascii="Calibri" w:hAnsi="Calibri" w:cs="Calibri" w:eastAsiaTheme="minorEastAsia"/>
                        <w:kern w:val="0"/>
                        <w:sz w:val="18"/>
                        <w:szCs w:val="18"/>
                        <w:lang w:val="en-US" w:eastAsia="zh-CN" w:bidi="ar-SA"/>
                      </w:rPr>
                      <w:instrText xml:space="preserve"> PAGE  \* MERGEFORMAT </w:instrText>
                    </w:r>
                    <w:r>
                      <w:rPr>
                        <w:rFonts w:hint="default" w:ascii="Calibri" w:hAnsi="Calibri" w:cs="Calibri" w:eastAsiaTheme="minorEastAsia"/>
                        <w:kern w:val="0"/>
                        <w:sz w:val="18"/>
                        <w:szCs w:val="18"/>
                        <w:lang w:val="en-US" w:eastAsia="zh-CN" w:bidi="ar-SA"/>
                      </w:rPr>
                      <w:fldChar w:fldCharType="separate"/>
                    </w:r>
                    <w:r>
                      <w:rPr>
                        <w:rFonts w:hint="default" w:ascii="Calibri" w:hAnsi="Calibri" w:cs="Calibri" w:eastAsiaTheme="minorEastAsia"/>
                        <w:kern w:val="0"/>
                        <w:sz w:val="18"/>
                        <w:szCs w:val="18"/>
                        <w:lang w:val="en-US" w:eastAsia="zh-CN" w:bidi="ar-SA"/>
                      </w:rPr>
                      <w:t>- 2 -</w:t>
                    </w:r>
                    <w:r>
                      <w:rPr>
                        <w:rFonts w:hint="default" w:ascii="Calibri" w:hAnsi="Calibri" w:cs="Calibri" w:eastAsiaTheme="minorEastAsia"/>
                        <w:kern w:val="0"/>
                        <w:sz w:val="18"/>
                        <w:szCs w:val="18"/>
                        <w:lang w:val="en-US" w:eastAsia="zh-CN" w:bidi="ar-SA"/>
                      </w:rPr>
                      <w:fldChar w:fldCharType="end"/>
                    </w:r>
                  </w:p>
                </w:txbxContent>
              </v:textbox>
            </v:shape>
          </w:pict>
        </mc:Fallback>
      </mc:AlternateContent>
    </w:r>
  </w:p>
  <w:p>
    <w:pPr>
      <w:widowControl w:val="0"/>
      <w:snapToGrid w:val="0"/>
      <w:jc w:val="left"/>
      <w:rPr>
        <w:rFonts w:ascii="Calibri" w:hAnsi="Calibri" w:eastAsia="宋体" w:cs="Times New Roman"/>
        <w:kern w:val="0"/>
        <w:sz w:val="18"/>
        <w:szCs w:val="18"/>
        <w:lang w:val="en-US" w:eastAsia="zh-CN" w:bidi="ar-SA"/>
      </w:rPr>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683840" behindDoc="0" locked="0" layoutInCell="1" allowOverlap="1">
              <wp:simplePos x="0" y="0"/>
              <wp:positionH relativeFrom="margin">
                <wp:align>center</wp:align>
              </wp:positionH>
              <wp:positionV relativeFrom="paragraph">
                <wp:posOffset>0</wp:posOffset>
              </wp:positionV>
              <wp:extent cx="237490" cy="192405"/>
              <wp:effectExtent l="0" t="0" r="0" b="0"/>
              <wp:wrapNone/>
              <wp:docPr id="192" name="文本框 192"/>
              <wp:cNvGraphicFramePr/>
              <a:graphic xmlns:a="http://schemas.openxmlformats.org/drawingml/2006/main">
                <a:graphicData uri="http://schemas.microsoft.com/office/word/2010/wordprocessingShape">
                  <wps:wsp>
                    <wps:cNvSpPr txBox="1"/>
                    <wps:spPr>
                      <a:xfrm>
                        <a:off x="0" y="0"/>
                        <a:ext cx="237490" cy="1924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hint="eastAsia" w:asciiTheme="minorEastAsia" w:hAnsiTheme="minorEastAsia" w:eastAsiaTheme="minorEastAsia" w:cstheme="minorEastAsia"/>
                              <w:kern w:val="0"/>
                              <w:sz w:val="18"/>
                              <w:szCs w:val="18"/>
                              <w:lang w:val="en-US" w:eastAsia="zh-CN" w:bidi="ar-SA"/>
                            </w:rPr>
                          </w:pPr>
                          <w:r>
                            <w:rPr>
                              <w:rFonts w:hint="default" w:ascii="Calibri" w:hAnsi="Calibri" w:cs="Calibri" w:eastAsiaTheme="minorEastAsia"/>
                              <w:kern w:val="0"/>
                              <w:sz w:val="18"/>
                              <w:szCs w:val="18"/>
                              <w:lang w:val="en-US" w:eastAsia="zh-CN" w:bidi="ar-SA"/>
                            </w:rPr>
                            <w:fldChar w:fldCharType="begin"/>
                          </w:r>
                          <w:r>
                            <w:rPr>
                              <w:rFonts w:hint="default" w:ascii="Calibri" w:hAnsi="Calibri" w:cs="Calibri" w:eastAsiaTheme="minorEastAsia"/>
                              <w:kern w:val="0"/>
                              <w:sz w:val="18"/>
                              <w:szCs w:val="18"/>
                              <w:lang w:val="en-US" w:eastAsia="zh-CN" w:bidi="ar-SA"/>
                            </w:rPr>
                            <w:instrText xml:space="preserve"> PAGE  \* MERGEFORMAT </w:instrText>
                          </w:r>
                          <w:r>
                            <w:rPr>
                              <w:rFonts w:hint="default" w:ascii="Calibri" w:hAnsi="Calibri" w:cs="Calibri" w:eastAsiaTheme="minorEastAsia"/>
                              <w:kern w:val="0"/>
                              <w:sz w:val="18"/>
                              <w:szCs w:val="18"/>
                              <w:lang w:val="en-US" w:eastAsia="zh-CN" w:bidi="ar-SA"/>
                            </w:rPr>
                            <w:fldChar w:fldCharType="separate"/>
                          </w:r>
                          <w:r>
                            <w:rPr>
                              <w:rFonts w:hint="default" w:ascii="Calibri" w:hAnsi="Calibri" w:cs="Calibri" w:eastAsiaTheme="minorEastAsia"/>
                              <w:kern w:val="0"/>
                              <w:sz w:val="18"/>
                              <w:szCs w:val="18"/>
                              <w:lang w:val="en-US" w:eastAsia="zh-CN" w:bidi="ar-SA"/>
                            </w:rPr>
                            <w:t>- 1 -</w:t>
                          </w:r>
                          <w:r>
                            <w:rPr>
                              <w:rFonts w:hint="default" w:ascii="Calibri" w:hAnsi="Calibri" w:cs="Calibri" w:eastAsiaTheme="minorEastAsia"/>
                              <w:kern w:val="0"/>
                              <w:sz w:val="18"/>
                              <w:szCs w:val="18"/>
                              <w:lang w:val="en-US" w:eastAsia="zh-CN" w:bidi="ar-SA"/>
                            </w:rPr>
                            <w:fldChar w:fldCharType="end"/>
                          </w:r>
                        </w:p>
                      </w:txbxContent>
                    </wps:txbx>
                    <wps:bodyPr rot="0" spcFirstLastPara="0" vertOverflow="overflow" horzOverflow="overflow" vert="horz" wrap="square" lIns="0" tIns="0" rIns="0" bIns="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top:0pt;height:15.15pt;width:18.7pt;mso-position-horizontal:center;mso-position-horizontal-relative:margin;z-index:251683840;mso-width-relative:page;mso-height-relative:page;" filled="f" stroked="f" coordsize="21600,21600" o:gfxdata="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Kl4y0HSAAAAAwEAAA8AAAAAAAAAAQAgAAAAIgAAAGRycy9kb3du&#10;cmV2LnhtbFBLAQIUABQAAAAIAIdO4kBw2OGoPgIAAHMEAAAOAAAAAAAAAAEAIAAAACEBAABkcnMv&#10;ZTJvRG9jLnhtbFBLBQYAAAAABgAGAFkBAADRBQAAAAA=&#10;">
              <v:fill on="f" focussize="0,0"/>
              <v:stroke on="f" weight="0.5pt"/>
              <v:imagedata o:title=""/>
              <o:lock v:ext="edit" aspectratio="f"/>
              <v:textbox inset="0mm,0mm,0mm,0mm">
                <w:txbxContent>
                  <w:p>
                    <w:pPr>
                      <w:widowControl w:val="0"/>
                      <w:snapToGrid w:val="0"/>
                      <w:jc w:val="left"/>
                      <w:rPr>
                        <w:rFonts w:hint="eastAsia" w:asciiTheme="minorEastAsia" w:hAnsiTheme="minorEastAsia" w:eastAsiaTheme="minorEastAsia" w:cstheme="minorEastAsia"/>
                        <w:kern w:val="0"/>
                        <w:sz w:val="18"/>
                        <w:szCs w:val="18"/>
                        <w:lang w:val="en-US" w:eastAsia="zh-CN" w:bidi="ar-SA"/>
                      </w:rPr>
                    </w:pPr>
                    <w:r>
                      <w:rPr>
                        <w:rFonts w:hint="default" w:ascii="Calibri" w:hAnsi="Calibri" w:cs="Calibri" w:eastAsiaTheme="minorEastAsia"/>
                        <w:kern w:val="0"/>
                        <w:sz w:val="18"/>
                        <w:szCs w:val="18"/>
                        <w:lang w:val="en-US" w:eastAsia="zh-CN" w:bidi="ar-SA"/>
                      </w:rPr>
                      <w:fldChar w:fldCharType="begin"/>
                    </w:r>
                    <w:r>
                      <w:rPr>
                        <w:rFonts w:hint="default" w:ascii="Calibri" w:hAnsi="Calibri" w:cs="Calibri" w:eastAsiaTheme="minorEastAsia"/>
                        <w:kern w:val="0"/>
                        <w:sz w:val="18"/>
                        <w:szCs w:val="18"/>
                        <w:lang w:val="en-US" w:eastAsia="zh-CN" w:bidi="ar-SA"/>
                      </w:rPr>
                      <w:instrText xml:space="preserve"> PAGE  \* MERGEFORMAT </w:instrText>
                    </w:r>
                    <w:r>
                      <w:rPr>
                        <w:rFonts w:hint="default" w:ascii="Calibri" w:hAnsi="Calibri" w:cs="Calibri" w:eastAsiaTheme="minorEastAsia"/>
                        <w:kern w:val="0"/>
                        <w:sz w:val="18"/>
                        <w:szCs w:val="18"/>
                        <w:lang w:val="en-US" w:eastAsia="zh-CN" w:bidi="ar-SA"/>
                      </w:rPr>
                      <w:fldChar w:fldCharType="separate"/>
                    </w:r>
                    <w:r>
                      <w:rPr>
                        <w:rFonts w:hint="default" w:ascii="Calibri" w:hAnsi="Calibri" w:cs="Calibri" w:eastAsiaTheme="minorEastAsia"/>
                        <w:kern w:val="0"/>
                        <w:sz w:val="18"/>
                        <w:szCs w:val="18"/>
                        <w:lang w:val="en-US" w:eastAsia="zh-CN" w:bidi="ar-SA"/>
                      </w:rPr>
                      <w:t>- 1 -</w:t>
                    </w:r>
                    <w:r>
                      <w:rPr>
                        <w:rFonts w:hint="default" w:ascii="Calibri" w:hAnsi="Calibri" w:cs="Calibri" w:eastAsiaTheme="minorEastAsia"/>
                        <w:kern w:val="0"/>
                        <w:sz w:val="18"/>
                        <w:szCs w:val="18"/>
                        <w:lang w:val="en-US" w:eastAsia="zh-CN" w:bidi="ar-SA"/>
                      </w:rPr>
                      <w:fldChar w:fldCharType="end"/>
                    </w:r>
                  </w:p>
                </w:txbxContent>
              </v:textbox>
            </v:shape>
          </w:pict>
        </mc:Fallback>
      </mc:AlternateConten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6848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93" name="文本框 19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hint="eastAsia" w:asciiTheme="minorEastAsia" w:hAnsiTheme="minorEastAsia" w:eastAsiaTheme="minorEastAsia" w:cstheme="minorEastAsia"/>
                              <w:kern w:val="0"/>
                              <w:sz w:val="24"/>
                              <w:szCs w:val="24"/>
                              <w:lang w:val="en-US" w:eastAsia="zh-CN" w:bidi="ar-SA"/>
                            </w:rPr>
                          </w:pPr>
                          <w:r>
                            <w:rPr>
                              <w:rFonts w:hint="default" w:ascii="Calibri" w:hAnsi="Calibri" w:cs="Calibri" w:eastAsiaTheme="minorEastAsia"/>
                              <w:kern w:val="0"/>
                              <w:sz w:val="18"/>
                              <w:szCs w:val="18"/>
                              <w:lang w:val="en-US" w:eastAsia="zh-CN" w:bidi="ar-SA"/>
                            </w:rPr>
                            <w:fldChar w:fldCharType="begin"/>
                          </w:r>
                          <w:r>
                            <w:rPr>
                              <w:rFonts w:hint="default" w:ascii="Calibri" w:hAnsi="Calibri" w:cs="Calibri" w:eastAsiaTheme="minorEastAsia"/>
                              <w:kern w:val="0"/>
                              <w:sz w:val="18"/>
                              <w:szCs w:val="18"/>
                              <w:lang w:val="en-US" w:eastAsia="zh-CN" w:bidi="ar-SA"/>
                            </w:rPr>
                            <w:instrText xml:space="preserve"> PAGE  \* MERGEFORMAT </w:instrText>
                          </w:r>
                          <w:r>
                            <w:rPr>
                              <w:rFonts w:hint="default" w:ascii="Calibri" w:hAnsi="Calibri" w:cs="Calibri" w:eastAsiaTheme="minorEastAsia"/>
                              <w:kern w:val="0"/>
                              <w:sz w:val="18"/>
                              <w:szCs w:val="18"/>
                              <w:lang w:val="en-US" w:eastAsia="zh-CN" w:bidi="ar-SA"/>
                            </w:rPr>
                            <w:fldChar w:fldCharType="separate"/>
                          </w:r>
                          <w:r>
                            <w:rPr>
                              <w:rFonts w:hint="default" w:ascii="Calibri" w:hAnsi="Calibri" w:cs="Calibri" w:eastAsiaTheme="minorEastAsia"/>
                              <w:kern w:val="0"/>
                              <w:sz w:val="18"/>
                              <w:szCs w:val="18"/>
                              <w:lang w:val="en-US" w:eastAsia="zh-CN" w:bidi="ar-SA"/>
                            </w:rPr>
                            <w:t>- 2 -</w:t>
                          </w:r>
                          <w:r>
                            <w:rPr>
                              <w:rFonts w:hint="default" w:ascii="Calibri" w:hAnsi="Calibri" w:cs="Calibri" w:eastAsiaTheme="minorEastAsia"/>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48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cOEIc6AgAAcwQAAA4AAABkcnMvZTJvRG9jLnhtbK1UzY7TMBC+I/EO&#10;lu80aVesSt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B3DhCHOgIAAHMEAAAOAAAAAAAAAAEAIAAAAB8BAABkcnMvZTJvRG9j&#10;LnhtbFBLBQYAAAAABgAGAFkBAADLBQAAAAA=&#10;">
              <v:fill on="f" focussize="0,0"/>
              <v:stroke on="f" weight="0.5pt"/>
              <v:imagedata o:title=""/>
              <o:lock v:ext="edit" aspectratio="f"/>
              <v:textbox inset="0mm,0mm,0mm,0mm" style="mso-fit-shape-to-text:t;">
                <w:txbxContent>
                  <w:p>
                    <w:pPr>
                      <w:widowControl w:val="0"/>
                      <w:snapToGrid w:val="0"/>
                      <w:jc w:val="left"/>
                      <w:rPr>
                        <w:rFonts w:hint="eastAsia" w:asciiTheme="minorEastAsia" w:hAnsiTheme="minorEastAsia" w:eastAsiaTheme="minorEastAsia" w:cstheme="minorEastAsia"/>
                        <w:kern w:val="0"/>
                        <w:sz w:val="24"/>
                        <w:szCs w:val="24"/>
                        <w:lang w:val="en-US" w:eastAsia="zh-CN" w:bidi="ar-SA"/>
                      </w:rPr>
                    </w:pPr>
                    <w:r>
                      <w:rPr>
                        <w:rFonts w:hint="default" w:ascii="Calibri" w:hAnsi="Calibri" w:cs="Calibri" w:eastAsiaTheme="minorEastAsia"/>
                        <w:kern w:val="0"/>
                        <w:sz w:val="18"/>
                        <w:szCs w:val="18"/>
                        <w:lang w:val="en-US" w:eastAsia="zh-CN" w:bidi="ar-SA"/>
                      </w:rPr>
                      <w:fldChar w:fldCharType="begin"/>
                    </w:r>
                    <w:r>
                      <w:rPr>
                        <w:rFonts w:hint="default" w:ascii="Calibri" w:hAnsi="Calibri" w:cs="Calibri" w:eastAsiaTheme="minorEastAsia"/>
                        <w:kern w:val="0"/>
                        <w:sz w:val="18"/>
                        <w:szCs w:val="18"/>
                        <w:lang w:val="en-US" w:eastAsia="zh-CN" w:bidi="ar-SA"/>
                      </w:rPr>
                      <w:instrText xml:space="preserve"> PAGE  \* MERGEFORMAT </w:instrText>
                    </w:r>
                    <w:r>
                      <w:rPr>
                        <w:rFonts w:hint="default" w:ascii="Calibri" w:hAnsi="Calibri" w:cs="Calibri" w:eastAsiaTheme="minorEastAsia"/>
                        <w:kern w:val="0"/>
                        <w:sz w:val="18"/>
                        <w:szCs w:val="18"/>
                        <w:lang w:val="en-US" w:eastAsia="zh-CN" w:bidi="ar-SA"/>
                      </w:rPr>
                      <w:fldChar w:fldCharType="separate"/>
                    </w:r>
                    <w:r>
                      <w:rPr>
                        <w:rFonts w:hint="default" w:ascii="Calibri" w:hAnsi="Calibri" w:cs="Calibri" w:eastAsiaTheme="minorEastAsia"/>
                        <w:kern w:val="0"/>
                        <w:sz w:val="18"/>
                        <w:szCs w:val="18"/>
                        <w:lang w:val="en-US" w:eastAsia="zh-CN" w:bidi="ar-SA"/>
                      </w:rPr>
                      <w:t>- 2 -</w:t>
                    </w:r>
                    <w:r>
                      <w:rPr>
                        <w:rFonts w:hint="default" w:ascii="Calibri" w:hAnsi="Calibri" w:cs="Calibri" w:eastAsiaTheme="minorEastAsia"/>
                        <w:kern w:val="0"/>
                        <w:sz w:val="18"/>
                        <w:szCs w:val="18"/>
                        <w:lang w:val="en-US" w:eastAsia="zh-CN" w:bidi="ar-SA"/>
                      </w:rPr>
                      <w:fldChar w:fldCharType="end"/>
                    </w:r>
                  </w:p>
                </w:txbxContent>
              </v:textbox>
            </v:shape>
          </w:pict>
        </mc:Fallback>
      </mc:AlternateContent>
    </w:r>
  </w:p>
  <w:p>
    <w:pPr>
      <w:widowControl w:val="0"/>
      <w:snapToGrid w:val="0"/>
      <w:jc w:val="left"/>
      <w:rPr>
        <w:rFonts w:ascii="Calibri" w:hAnsi="Calibri" w:eastAsia="宋体" w:cs="Times New Roman"/>
        <w:kern w:val="0"/>
        <w:sz w:val="18"/>
        <w:szCs w:val="18"/>
        <w:lang w:val="en-US" w:eastAsia="zh-CN" w:bidi="ar-SA"/>
      </w:rPr>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685888" behindDoc="0" locked="0" layoutInCell="1" allowOverlap="1">
              <wp:simplePos x="0" y="0"/>
              <wp:positionH relativeFrom="margin">
                <wp:align>center</wp:align>
              </wp:positionH>
              <wp:positionV relativeFrom="paragraph">
                <wp:posOffset>0</wp:posOffset>
              </wp:positionV>
              <wp:extent cx="237490" cy="192405"/>
              <wp:effectExtent l="0" t="0" r="0" b="0"/>
              <wp:wrapNone/>
              <wp:docPr id="194" name="文本框 194"/>
              <wp:cNvGraphicFramePr/>
              <a:graphic xmlns:a="http://schemas.openxmlformats.org/drawingml/2006/main">
                <a:graphicData uri="http://schemas.microsoft.com/office/word/2010/wordprocessingShape">
                  <wps:wsp>
                    <wps:cNvSpPr txBox="1"/>
                    <wps:spPr>
                      <a:xfrm>
                        <a:off x="0" y="0"/>
                        <a:ext cx="237490" cy="1924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hint="eastAsia" w:asciiTheme="minorEastAsia" w:hAnsiTheme="minorEastAsia" w:eastAsiaTheme="minorEastAsia" w:cstheme="minorEastAsia"/>
                              <w:kern w:val="0"/>
                              <w:sz w:val="18"/>
                              <w:szCs w:val="18"/>
                              <w:lang w:val="en-US" w:eastAsia="zh-CN" w:bidi="ar-SA"/>
                            </w:rPr>
                          </w:pPr>
                          <w:r>
                            <w:rPr>
                              <w:rFonts w:hint="default" w:ascii="Calibri" w:hAnsi="Calibri" w:cs="Calibri" w:eastAsiaTheme="minorEastAsia"/>
                              <w:kern w:val="0"/>
                              <w:sz w:val="18"/>
                              <w:szCs w:val="18"/>
                              <w:lang w:val="en-US" w:eastAsia="zh-CN" w:bidi="ar-SA"/>
                            </w:rPr>
                            <w:fldChar w:fldCharType="begin"/>
                          </w:r>
                          <w:r>
                            <w:rPr>
                              <w:rFonts w:hint="default" w:ascii="Calibri" w:hAnsi="Calibri" w:cs="Calibri" w:eastAsiaTheme="minorEastAsia"/>
                              <w:kern w:val="0"/>
                              <w:sz w:val="18"/>
                              <w:szCs w:val="18"/>
                              <w:lang w:val="en-US" w:eastAsia="zh-CN" w:bidi="ar-SA"/>
                            </w:rPr>
                            <w:instrText xml:space="preserve"> PAGE  \* MERGEFORMAT </w:instrText>
                          </w:r>
                          <w:r>
                            <w:rPr>
                              <w:rFonts w:hint="default" w:ascii="Calibri" w:hAnsi="Calibri" w:cs="Calibri" w:eastAsiaTheme="minorEastAsia"/>
                              <w:kern w:val="0"/>
                              <w:sz w:val="18"/>
                              <w:szCs w:val="18"/>
                              <w:lang w:val="en-US" w:eastAsia="zh-CN" w:bidi="ar-SA"/>
                            </w:rPr>
                            <w:fldChar w:fldCharType="separate"/>
                          </w:r>
                          <w:r>
                            <w:rPr>
                              <w:rFonts w:hint="default" w:ascii="Calibri" w:hAnsi="Calibri" w:cs="Calibri" w:eastAsiaTheme="minorEastAsia"/>
                              <w:kern w:val="0"/>
                              <w:sz w:val="18"/>
                              <w:szCs w:val="18"/>
                              <w:lang w:val="en-US" w:eastAsia="zh-CN" w:bidi="ar-SA"/>
                            </w:rPr>
                            <w:t>- 1 -</w:t>
                          </w:r>
                          <w:r>
                            <w:rPr>
                              <w:rFonts w:hint="default" w:ascii="Calibri" w:hAnsi="Calibri" w:cs="Calibri" w:eastAsiaTheme="minorEastAsia"/>
                              <w:kern w:val="0"/>
                              <w:sz w:val="18"/>
                              <w:szCs w:val="18"/>
                              <w:lang w:val="en-US" w:eastAsia="zh-CN" w:bidi="ar-SA"/>
                            </w:rPr>
                            <w:fldChar w:fldCharType="end"/>
                          </w:r>
                        </w:p>
                      </w:txbxContent>
                    </wps:txbx>
                    <wps:bodyPr rot="0" spcFirstLastPara="0" vertOverflow="overflow" horzOverflow="overflow" vert="horz" wrap="square" lIns="0" tIns="0" rIns="0" bIns="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top:0pt;height:15.15pt;width:18.7pt;mso-position-horizontal:center;mso-position-horizontal-relative:margin;z-index:251685888;mso-width-relative:page;mso-height-relative:page;" filled="f" stroked="f" coordsize="21600,21600" o:gfxdata="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qXjLQdIAAAADAQAADwAAAAAAAAABACAAAAAiAAAAZHJzL2Rv&#10;d25yZXYueG1sUEsBAhQAFAAAAAgAh07iQIbl4+1AAgAAcwQAAA4AAAAAAAAAAQAgAAAAIQEAAGRy&#10;cy9lMm9Eb2MueG1sUEsFBgAAAAAGAAYAWQEAANMFAAAAAA==&#10;">
              <v:fill on="f" focussize="0,0"/>
              <v:stroke on="f" weight="0.5pt"/>
              <v:imagedata o:title=""/>
              <o:lock v:ext="edit" aspectratio="f"/>
              <v:textbox inset="0mm,0mm,0mm,0mm">
                <w:txbxContent>
                  <w:p>
                    <w:pPr>
                      <w:widowControl w:val="0"/>
                      <w:snapToGrid w:val="0"/>
                      <w:jc w:val="left"/>
                      <w:rPr>
                        <w:rFonts w:hint="eastAsia" w:asciiTheme="minorEastAsia" w:hAnsiTheme="minorEastAsia" w:eastAsiaTheme="minorEastAsia" w:cstheme="minorEastAsia"/>
                        <w:kern w:val="0"/>
                        <w:sz w:val="18"/>
                        <w:szCs w:val="18"/>
                        <w:lang w:val="en-US" w:eastAsia="zh-CN" w:bidi="ar-SA"/>
                      </w:rPr>
                    </w:pPr>
                    <w:r>
                      <w:rPr>
                        <w:rFonts w:hint="default" w:ascii="Calibri" w:hAnsi="Calibri" w:cs="Calibri" w:eastAsiaTheme="minorEastAsia"/>
                        <w:kern w:val="0"/>
                        <w:sz w:val="18"/>
                        <w:szCs w:val="18"/>
                        <w:lang w:val="en-US" w:eastAsia="zh-CN" w:bidi="ar-SA"/>
                      </w:rPr>
                      <w:fldChar w:fldCharType="begin"/>
                    </w:r>
                    <w:r>
                      <w:rPr>
                        <w:rFonts w:hint="default" w:ascii="Calibri" w:hAnsi="Calibri" w:cs="Calibri" w:eastAsiaTheme="minorEastAsia"/>
                        <w:kern w:val="0"/>
                        <w:sz w:val="18"/>
                        <w:szCs w:val="18"/>
                        <w:lang w:val="en-US" w:eastAsia="zh-CN" w:bidi="ar-SA"/>
                      </w:rPr>
                      <w:instrText xml:space="preserve"> PAGE  \* MERGEFORMAT </w:instrText>
                    </w:r>
                    <w:r>
                      <w:rPr>
                        <w:rFonts w:hint="default" w:ascii="Calibri" w:hAnsi="Calibri" w:cs="Calibri" w:eastAsiaTheme="minorEastAsia"/>
                        <w:kern w:val="0"/>
                        <w:sz w:val="18"/>
                        <w:szCs w:val="18"/>
                        <w:lang w:val="en-US" w:eastAsia="zh-CN" w:bidi="ar-SA"/>
                      </w:rPr>
                      <w:fldChar w:fldCharType="separate"/>
                    </w:r>
                    <w:r>
                      <w:rPr>
                        <w:rFonts w:hint="default" w:ascii="Calibri" w:hAnsi="Calibri" w:cs="Calibri" w:eastAsiaTheme="minorEastAsia"/>
                        <w:kern w:val="0"/>
                        <w:sz w:val="18"/>
                        <w:szCs w:val="18"/>
                        <w:lang w:val="en-US" w:eastAsia="zh-CN" w:bidi="ar-SA"/>
                      </w:rPr>
                      <w:t>- 1 -</w:t>
                    </w:r>
                    <w:r>
                      <w:rPr>
                        <w:rFonts w:hint="default" w:ascii="Calibri" w:hAnsi="Calibri" w:cs="Calibri" w:eastAsiaTheme="minorEastAsia"/>
                        <w:kern w:val="0"/>
                        <w:sz w:val="18"/>
                        <w:szCs w:val="18"/>
                        <w:lang w:val="en-US" w:eastAsia="zh-CN" w:bidi="ar-SA"/>
                      </w:rPr>
                      <w:fldChar w:fldCharType="end"/>
                    </w:r>
                  </w:p>
                </w:txbxContent>
              </v:textbox>
            </v:shape>
          </w:pict>
        </mc:Fallback>
      </mc:AlternateConten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6869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97" name="文本框 19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hint="eastAsia" w:asciiTheme="minorEastAsia" w:hAnsiTheme="minorEastAsia" w:eastAsiaTheme="minorEastAsia" w:cstheme="minorEastAsia"/>
                              <w:kern w:val="0"/>
                              <w:sz w:val="24"/>
                              <w:szCs w:val="24"/>
                              <w:lang w:val="en-US" w:eastAsia="zh-CN" w:bidi="ar-SA"/>
                            </w:rPr>
                          </w:pPr>
                          <w:r>
                            <w:rPr>
                              <w:rFonts w:hint="default" w:ascii="Calibri" w:hAnsi="Calibri" w:cs="Calibri" w:eastAsiaTheme="minorEastAsia"/>
                              <w:kern w:val="0"/>
                              <w:sz w:val="18"/>
                              <w:szCs w:val="18"/>
                              <w:lang w:val="en-US" w:eastAsia="zh-CN" w:bidi="ar-SA"/>
                            </w:rPr>
                            <w:fldChar w:fldCharType="begin"/>
                          </w:r>
                          <w:r>
                            <w:rPr>
                              <w:rFonts w:hint="default" w:ascii="Calibri" w:hAnsi="Calibri" w:cs="Calibri" w:eastAsiaTheme="minorEastAsia"/>
                              <w:kern w:val="0"/>
                              <w:sz w:val="18"/>
                              <w:szCs w:val="18"/>
                              <w:lang w:val="en-US" w:eastAsia="zh-CN" w:bidi="ar-SA"/>
                            </w:rPr>
                            <w:instrText xml:space="preserve"> PAGE  \* MERGEFORMAT </w:instrText>
                          </w:r>
                          <w:r>
                            <w:rPr>
                              <w:rFonts w:hint="default" w:ascii="Calibri" w:hAnsi="Calibri" w:cs="Calibri" w:eastAsiaTheme="minorEastAsia"/>
                              <w:kern w:val="0"/>
                              <w:sz w:val="18"/>
                              <w:szCs w:val="18"/>
                              <w:lang w:val="en-US" w:eastAsia="zh-CN" w:bidi="ar-SA"/>
                            </w:rPr>
                            <w:fldChar w:fldCharType="separate"/>
                          </w:r>
                          <w:r>
                            <w:rPr>
                              <w:rFonts w:hint="default" w:ascii="Calibri" w:hAnsi="Calibri" w:cs="Calibri" w:eastAsiaTheme="minorEastAsia"/>
                              <w:kern w:val="0"/>
                              <w:sz w:val="18"/>
                              <w:szCs w:val="18"/>
                              <w:lang w:val="en-US" w:eastAsia="zh-CN" w:bidi="ar-SA"/>
                            </w:rPr>
                            <w:t>- 2 -</w:t>
                          </w:r>
                          <w:r>
                            <w:rPr>
                              <w:rFonts w:hint="default" w:ascii="Calibri" w:hAnsi="Calibri" w:cs="Calibri" w:eastAsiaTheme="minorEastAsia"/>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69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Ds2jxIOgIAAHMEAAAOAAAAAAAAAAEAIAAAAB8BAABkcnMvZTJvRG9j&#10;LnhtbFBLBQYAAAAABgAGAFkBAADLBQAAAAA=&#10;">
              <v:fill on="f" focussize="0,0"/>
              <v:stroke on="f" weight="0.5pt"/>
              <v:imagedata o:title=""/>
              <o:lock v:ext="edit" aspectratio="f"/>
              <v:textbox inset="0mm,0mm,0mm,0mm" style="mso-fit-shape-to-text:t;">
                <w:txbxContent>
                  <w:p>
                    <w:pPr>
                      <w:widowControl w:val="0"/>
                      <w:snapToGrid w:val="0"/>
                      <w:jc w:val="left"/>
                      <w:rPr>
                        <w:rFonts w:hint="eastAsia" w:asciiTheme="minorEastAsia" w:hAnsiTheme="minorEastAsia" w:eastAsiaTheme="minorEastAsia" w:cstheme="minorEastAsia"/>
                        <w:kern w:val="0"/>
                        <w:sz w:val="24"/>
                        <w:szCs w:val="24"/>
                        <w:lang w:val="en-US" w:eastAsia="zh-CN" w:bidi="ar-SA"/>
                      </w:rPr>
                    </w:pPr>
                    <w:r>
                      <w:rPr>
                        <w:rFonts w:hint="default" w:ascii="Calibri" w:hAnsi="Calibri" w:cs="Calibri" w:eastAsiaTheme="minorEastAsia"/>
                        <w:kern w:val="0"/>
                        <w:sz w:val="18"/>
                        <w:szCs w:val="18"/>
                        <w:lang w:val="en-US" w:eastAsia="zh-CN" w:bidi="ar-SA"/>
                      </w:rPr>
                      <w:fldChar w:fldCharType="begin"/>
                    </w:r>
                    <w:r>
                      <w:rPr>
                        <w:rFonts w:hint="default" w:ascii="Calibri" w:hAnsi="Calibri" w:cs="Calibri" w:eastAsiaTheme="minorEastAsia"/>
                        <w:kern w:val="0"/>
                        <w:sz w:val="18"/>
                        <w:szCs w:val="18"/>
                        <w:lang w:val="en-US" w:eastAsia="zh-CN" w:bidi="ar-SA"/>
                      </w:rPr>
                      <w:instrText xml:space="preserve"> PAGE  \* MERGEFORMAT </w:instrText>
                    </w:r>
                    <w:r>
                      <w:rPr>
                        <w:rFonts w:hint="default" w:ascii="Calibri" w:hAnsi="Calibri" w:cs="Calibri" w:eastAsiaTheme="minorEastAsia"/>
                        <w:kern w:val="0"/>
                        <w:sz w:val="18"/>
                        <w:szCs w:val="18"/>
                        <w:lang w:val="en-US" w:eastAsia="zh-CN" w:bidi="ar-SA"/>
                      </w:rPr>
                      <w:fldChar w:fldCharType="separate"/>
                    </w:r>
                    <w:r>
                      <w:rPr>
                        <w:rFonts w:hint="default" w:ascii="Calibri" w:hAnsi="Calibri" w:cs="Calibri" w:eastAsiaTheme="minorEastAsia"/>
                        <w:kern w:val="0"/>
                        <w:sz w:val="18"/>
                        <w:szCs w:val="18"/>
                        <w:lang w:val="en-US" w:eastAsia="zh-CN" w:bidi="ar-SA"/>
                      </w:rPr>
                      <w:t>- 2 -</w:t>
                    </w:r>
                    <w:r>
                      <w:rPr>
                        <w:rFonts w:hint="default" w:ascii="Calibri" w:hAnsi="Calibri" w:cs="Calibri" w:eastAsiaTheme="minorEastAsia"/>
                        <w:kern w:val="0"/>
                        <w:sz w:val="18"/>
                        <w:szCs w:val="18"/>
                        <w:lang w:val="en-US" w:eastAsia="zh-CN" w:bidi="ar-SA"/>
                      </w:rPr>
                      <w:fldChar w:fldCharType="end"/>
                    </w:r>
                  </w:p>
                </w:txbxContent>
              </v:textbox>
            </v:shape>
          </w:pict>
        </mc:Fallback>
      </mc:AlternateContent>
    </w:r>
  </w:p>
  <w:p>
    <w:pPr>
      <w:widowControl w:val="0"/>
      <w:snapToGrid w:val="0"/>
      <w:jc w:val="left"/>
      <w:rPr>
        <w:rFonts w:ascii="Calibri" w:hAnsi="Calibri" w:eastAsia="宋体" w:cs="Times New Roman"/>
        <w:kern w:val="0"/>
        <w:sz w:val="18"/>
        <w:szCs w:val="18"/>
        <w:lang w:val="en-US" w:eastAsia="zh-CN" w:bidi="ar-SA"/>
      </w:rPr>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687936" behindDoc="0" locked="0" layoutInCell="1" allowOverlap="1">
              <wp:simplePos x="0" y="0"/>
              <wp:positionH relativeFrom="margin">
                <wp:align>center</wp:align>
              </wp:positionH>
              <wp:positionV relativeFrom="paragraph">
                <wp:posOffset>0</wp:posOffset>
              </wp:positionV>
              <wp:extent cx="237490" cy="192405"/>
              <wp:effectExtent l="0" t="0" r="0" b="0"/>
              <wp:wrapNone/>
              <wp:docPr id="198" name="文本框 198"/>
              <wp:cNvGraphicFramePr/>
              <a:graphic xmlns:a="http://schemas.openxmlformats.org/drawingml/2006/main">
                <a:graphicData uri="http://schemas.microsoft.com/office/word/2010/wordprocessingShape">
                  <wps:wsp>
                    <wps:cNvSpPr txBox="1"/>
                    <wps:spPr>
                      <a:xfrm>
                        <a:off x="0" y="0"/>
                        <a:ext cx="237490" cy="1924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hint="eastAsia" w:asciiTheme="minorEastAsia" w:hAnsiTheme="minorEastAsia" w:eastAsiaTheme="minorEastAsia" w:cstheme="minorEastAsia"/>
                              <w:kern w:val="0"/>
                              <w:sz w:val="18"/>
                              <w:szCs w:val="18"/>
                              <w:lang w:val="en-US" w:eastAsia="zh-CN" w:bidi="ar-SA"/>
                            </w:rPr>
                          </w:pPr>
                          <w:r>
                            <w:rPr>
                              <w:rFonts w:hint="default" w:ascii="Calibri" w:hAnsi="Calibri" w:cs="Calibri" w:eastAsiaTheme="minorEastAsia"/>
                              <w:kern w:val="0"/>
                              <w:sz w:val="18"/>
                              <w:szCs w:val="18"/>
                              <w:lang w:val="en-US" w:eastAsia="zh-CN" w:bidi="ar-SA"/>
                            </w:rPr>
                            <w:fldChar w:fldCharType="begin"/>
                          </w:r>
                          <w:r>
                            <w:rPr>
                              <w:rFonts w:hint="default" w:ascii="Calibri" w:hAnsi="Calibri" w:cs="Calibri" w:eastAsiaTheme="minorEastAsia"/>
                              <w:kern w:val="0"/>
                              <w:sz w:val="18"/>
                              <w:szCs w:val="18"/>
                              <w:lang w:val="en-US" w:eastAsia="zh-CN" w:bidi="ar-SA"/>
                            </w:rPr>
                            <w:instrText xml:space="preserve"> PAGE  \* MERGEFORMAT </w:instrText>
                          </w:r>
                          <w:r>
                            <w:rPr>
                              <w:rFonts w:hint="default" w:ascii="Calibri" w:hAnsi="Calibri" w:cs="Calibri" w:eastAsiaTheme="minorEastAsia"/>
                              <w:kern w:val="0"/>
                              <w:sz w:val="18"/>
                              <w:szCs w:val="18"/>
                              <w:lang w:val="en-US" w:eastAsia="zh-CN" w:bidi="ar-SA"/>
                            </w:rPr>
                            <w:fldChar w:fldCharType="separate"/>
                          </w:r>
                          <w:r>
                            <w:rPr>
                              <w:rFonts w:hint="default" w:ascii="Calibri" w:hAnsi="Calibri" w:cs="Calibri" w:eastAsiaTheme="minorEastAsia"/>
                              <w:kern w:val="0"/>
                              <w:sz w:val="18"/>
                              <w:szCs w:val="18"/>
                              <w:lang w:val="en-US" w:eastAsia="zh-CN" w:bidi="ar-SA"/>
                            </w:rPr>
                            <w:t>- 1 -</w:t>
                          </w:r>
                          <w:r>
                            <w:rPr>
                              <w:rFonts w:hint="default" w:ascii="Calibri" w:hAnsi="Calibri" w:cs="Calibri" w:eastAsiaTheme="minorEastAsia"/>
                              <w:kern w:val="0"/>
                              <w:sz w:val="18"/>
                              <w:szCs w:val="18"/>
                              <w:lang w:val="en-US" w:eastAsia="zh-CN" w:bidi="ar-SA"/>
                            </w:rPr>
                            <w:fldChar w:fldCharType="end"/>
                          </w:r>
                        </w:p>
                      </w:txbxContent>
                    </wps:txbx>
                    <wps:bodyPr rot="0" spcFirstLastPara="0" vertOverflow="overflow" horzOverflow="overflow" vert="horz" wrap="square" lIns="0" tIns="0" rIns="0" bIns="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top:0pt;height:15.15pt;width:18.7pt;mso-position-horizontal:center;mso-position-horizontal-relative:margin;z-index:251687936;mso-width-relative:page;mso-height-relative:page;" filled="f" stroked="f" coordsize="21600,21600" o:gfxdata="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peMtB0gAAAAMBAAAPAAAAAAAAAAEAIAAAACIAAABkcnMvZG93&#10;bnJldi54bWxQSwECFAAUAAAACACHTuJAap7nZz8CAABzBAAADgAAAAAAAAABACAAAAAhAQAAZHJz&#10;L2Uyb0RvYy54bWxQSwUGAAAAAAYABgBZAQAA0gUAAAAA&#10;">
              <v:fill on="f" focussize="0,0"/>
              <v:stroke on="f" weight="0.5pt"/>
              <v:imagedata o:title=""/>
              <o:lock v:ext="edit" aspectratio="f"/>
              <v:textbox inset="0mm,0mm,0mm,0mm">
                <w:txbxContent>
                  <w:p>
                    <w:pPr>
                      <w:widowControl w:val="0"/>
                      <w:snapToGrid w:val="0"/>
                      <w:jc w:val="left"/>
                      <w:rPr>
                        <w:rFonts w:hint="eastAsia" w:asciiTheme="minorEastAsia" w:hAnsiTheme="minorEastAsia" w:eastAsiaTheme="minorEastAsia" w:cstheme="minorEastAsia"/>
                        <w:kern w:val="0"/>
                        <w:sz w:val="18"/>
                        <w:szCs w:val="18"/>
                        <w:lang w:val="en-US" w:eastAsia="zh-CN" w:bidi="ar-SA"/>
                      </w:rPr>
                    </w:pPr>
                    <w:r>
                      <w:rPr>
                        <w:rFonts w:hint="default" w:ascii="Calibri" w:hAnsi="Calibri" w:cs="Calibri" w:eastAsiaTheme="minorEastAsia"/>
                        <w:kern w:val="0"/>
                        <w:sz w:val="18"/>
                        <w:szCs w:val="18"/>
                        <w:lang w:val="en-US" w:eastAsia="zh-CN" w:bidi="ar-SA"/>
                      </w:rPr>
                      <w:fldChar w:fldCharType="begin"/>
                    </w:r>
                    <w:r>
                      <w:rPr>
                        <w:rFonts w:hint="default" w:ascii="Calibri" w:hAnsi="Calibri" w:cs="Calibri" w:eastAsiaTheme="minorEastAsia"/>
                        <w:kern w:val="0"/>
                        <w:sz w:val="18"/>
                        <w:szCs w:val="18"/>
                        <w:lang w:val="en-US" w:eastAsia="zh-CN" w:bidi="ar-SA"/>
                      </w:rPr>
                      <w:instrText xml:space="preserve"> PAGE  \* MERGEFORMAT </w:instrText>
                    </w:r>
                    <w:r>
                      <w:rPr>
                        <w:rFonts w:hint="default" w:ascii="Calibri" w:hAnsi="Calibri" w:cs="Calibri" w:eastAsiaTheme="minorEastAsia"/>
                        <w:kern w:val="0"/>
                        <w:sz w:val="18"/>
                        <w:szCs w:val="18"/>
                        <w:lang w:val="en-US" w:eastAsia="zh-CN" w:bidi="ar-SA"/>
                      </w:rPr>
                      <w:fldChar w:fldCharType="separate"/>
                    </w:r>
                    <w:r>
                      <w:rPr>
                        <w:rFonts w:hint="default" w:ascii="Calibri" w:hAnsi="Calibri" w:cs="Calibri" w:eastAsiaTheme="minorEastAsia"/>
                        <w:kern w:val="0"/>
                        <w:sz w:val="18"/>
                        <w:szCs w:val="18"/>
                        <w:lang w:val="en-US" w:eastAsia="zh-CN" w:bidi="ar-SA"/>
                      </w:rPr>
                      <w:t>- 1 -</w:t>
                    </w:r>
                    <w:r>
                      <w:rPr>
                        <w:rFonts w:hint="default" w:ascii="Calibri" w:hAnsi="Calibri" w:cs="Calibri" w:eastAsiaTheme="minorEastAsia"/>
                        <w:kern w:val="0"/>
                        <w:sz w:val="18"/>
                        <w:szCs w:val="18"/>
                        <w:lang w:val="en-US" w:eastAsia="zh-CN" w:bidi="ar-SA"/>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rPr>
        <w:sz w:val="18"/>
      </w:rPr>
      <mc:AlternateContent>
        <mc:Choice Requires="wps">
          <w:drawing>
            <wp:anchor distT="0" distB="0" distL="114300" distR="114300" simplePos="0" relativeHeight="251691008" behindDoc="0" locked="0" layoutInCell="1" allowOverlap="1">
              <wp:simplePos x="0" y="0"/>
              <wp:positionH relativeFrom="margin">
                <wp:align>center</wp:align>
              </wp:positionH>
              <wp:positionV relativeFrom="paragraph">
                <wp:posOffset>0</wp:posOffset>
              </wp:positionV>
              <wp:extent cx="1828800" cy="1828800"/>
              <wp:effectExtent l="0" t="0" r="0" b="0"/>
              <wp:wrapNone/>
              <wp:docPr id="64" name="文本框 6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- 2 -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10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0MQeM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oNJYZpVPz04/vp&#10;58Pp1zeCMwjUuDBD3L1DZGzf2RZtM5wHHCbebeV1+oIRgR/yHi/yijYSni5NJ9NpDheHb9gAP3u8&#10;7nyI74XVJBkF9ahfJys7bELsQ4eQlM3YtVSqq6EypAGJ12/z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0MQeMzAgAAYwQAAA4AAAAAAAAAAQAgAAAAHwEAAGRycy9lMm9Eb2MueG1sUEsF&#10;BgAAAAAGAAYAWQEAAMQFA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- 2 -</w:t>
                    </w:r>
                    <w:r>
                      <w:fldChar w:fldCharType="end"/>
                    </w:r>
                  </w:p>
                </w:txbxContent>
              </v:textbox>
            </v:shape>
          </w:pict>
        </mc:Fallback>
      </mc:AlternateContent>
    </w:r>
  </w:p>
  <w:p>
    <w:pPr>
      <w:pStyle w:val="11"/>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sz w:val="18"/>
      </w:rPr>
      <mc:AlternateContent>
        <mc:Choice Requires="wps">
          <w:drawing>
            <wp:anchor distT="0" distB="0" distL="114300" distR="114300" simplePos="0" relativeHeight="251692032" behindDoc="0" locked="0" layoutInCell="1" allowOverlap="1">
              <wp:simplePos x="0" y="0"/>
              <wp:positionH relativeFrom="margin">
                <wp:align>center</wp:align>
              </wp:positionH>
              <wp:positionV relativeFrom="paragraph">
                <wp:posOffset>0</wp:posOffset>
              </wp:positionV>
              <wp:extent cx="1828800" cy="1828800"/>
              <wp:effectExtent l="0" t="0" r="0" b="0"/>
              <wp:wrapNone/>
              <wp:docPr id="78" name="文本框 7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20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dNuWI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dNuWIzAgAAYwQAAA4AAAAAAAAAAQAgAAAAHwEAAGRycy9lMm9Eb2MueG1sUEsF&#10;BgAAAAAGAAYAWQEAAMQFA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rPr>
        <w:sz w:val="18"/>
      </w:rPr>
      <mc:AlternateContent>
        <mc:Choice Requires="wps">
          <w:drawing>
            <wp:anchor distT="0" distB="0" distL="114300" distR="114300" simplePos="0" relativeHeight="251693056" behindDoc="0" locked="0" layoutInCell="1" allowOverlap="1">
              <wp:simplePos x="0" y="0"/>
              <wp:positionH relativeFrom="margin">
                <wp:align>center</wp:align>
              </wp:positionH>
              <wp:positionV relativeFrom="paragraph">
                <wp:posOffset>0</wp:posOffset>
              </wp:positionV>
              <wp:extent cx="1828800" cy="1828800"/>
              <wp:effectExtent l="0" t="0" r="0" b="0"/>
              <wp:wrapNone/>
              <wp:docPr id="79" name="文本框 7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- 2 -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30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XlLo0zAgAAYwQAAA4AAABkcnMvZTJvRG9jLnhtbK1UzY7TMBC+I/EO&#10;lu80aRFLqZ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XlLo0zAgAAYwQAAA4AAAAAAAAAAQAgAAAAHwEAAGRycy9lMm9Eb2MueG1sUEsF&#10;BgAAAAAGAAYAWQEAAMQFA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- 2 -</w:t>
                    </w:r>
                    <w:r>
                      <w:fldChar w:fldCharType="end"/>
                    </w:r>
                  </w:p>
                </w:txbxContent>
              </v:textbox>
            </v:shape>
          </w:pict>
        </mc:Fallback>
      </mc:AlternateContent>
    </w:r>
  </w:p>
  <w:p>
    <w:pPr>
      <w:pStyle w:val="11"/>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sz w:val="18"/>
      </w:rPr>
      <mc:AlternateContent>
        <mc:Choice Requires="wps">
          <w:drawing>
            <wp:anchor distT="0" distB="0" distL="114300" distR="114300" simplePos="0" relativeHeight="251694080" behindDoc="0" locked="0" layoutInCell="1" allowOverlap="1">
              <wp:simplePos x="0" y="0"/>
              <wp:positionH relativeFrom="margin">
                <wp:align>center</wp:align>
              </wp:positionH>
              <wp:positionV relativeFrom="paragraph">
                <wp:posOffset>0</wp:posOffset>
              </wp:positionV>
              <wp:extent cx="1828800" cy="1828800"/>
              <wp:effectExtent l="0" t="0" r="0" b="0"/>
              <wp:wrapNone/>
              <wp:docPr id="80" name="文本框 8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40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uyWR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m7JZFzICAABjBAAADgAAAAAAAAABACAAAAAfAQAAZHJzL2Uyb0RvYy54bWxQSwUG&#10;AAAAAAYABgBZAQAAwwU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81" name="文本框 18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- 2 -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p3wHIyAgAAZQ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nfAcjICAABlBAAADgAAAAAAAAABACAAAAAfAQAAZHJzL2Uyb0RvYy54bWxQSwUG&#10;AAAAAAYABgBZAQAAwwU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- 2 -</w:t>
                    </w:r>
                    <w:r>
                      <w:fldChar w:fldCharType="end"/>
                    </w:r>
                  </w:p>
                </w:txbxContent>
              </v:textbox>
            </v:shape>
          </w:pict>
        </mc:Fallback>
      </mc:AlternateContent>
    </w:r>
  </w:p>
  <w:p>
    <w:pPr>
      <w:pStyle w:val="11"/>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3648E20"/>
    <w:multiLevelType w:val="singleLevel"/>
    <w:tmpl w:val="A3648E20"/>
    <w:lvl w:ilvl="0" w:tentative="0">
      <w:start w:val="4"/>
      <w:numFmt w:val="chineseCounting"/>
      <w:suff w:val="nothing"/>
      <w:lvlText w:val="%1、"/>
      <w:lvlJc w:val="left"/>
      <w:rPr>
        <w:rFonts w:hint="eastAsia"/>
      </w:rPr>
    </w:lvl>
  </w:abstractNum>
  <w:abstractNum w:abstractNumId="1">
    <w:nsid w:val="C8DDB1E7"/>
    <w:multiLevelType w:val="singleLevel"/>
    <w:tmpl w:val="C8DDB1E7"/>
    <w:lvl w:ilvl="0" w:tentative="0">
      <w:start w:val="3"/>
      <w:numFmt w:val="chineseCounting"/>
      <w:suff w:val="nothing"/>
      <w:lvlText w:val="%1、"/>
      <w:lvlJc w:val="left"/>
      <w:pPr>
        <w:ind w:left="30"/>
      </w:pPr>
      <w:rPr>
        <w:rFonts w:hint="eastAsia"/>
      </w:rPr>
    </w:lvl>
  </w:abstractNum>
  <w:abstractNum w:abstractNumId="2">
    <w:nsid w:val="5E781533"/>
    <w:multiLevelType w:val="singleLevel"/>
    <w:tmpl w:val="5E781533"/>
    <w:lvl w:ilvl="0" w:tentative="0">
      <w:start w:val="3"/>
      <w:numFmt w:val="chineseCounting"/>
      <w:suff w:val="nothing"/>
      <w:lvlText w:val="%1、"/>
      <w:lvlJc w:val="left"/>
      <w:rPr>
        <w:rFonts w:hint="eastAsia"/>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222C6"/>
    <w:rsid w:val="0002549F"/>
    <w:rsid w:val="000468DB"/>
    <w:rsid w:val="0006487A"/>
    <w:rsid w:val="00065F8F"/>
    <w:rsid w:val="00070A43"/>
    <w:rsid w:val="000768F2"/>
    <w:rsid w:val="0009184B"/>
    <w:rsid w:val="00094236"/>
    <w:rsid w:val="0009593C"/>
    <w:rsid w:val="00097322"/>
    <w:rsid w:val="000A6A92"/>
    <w:rsid w:val="000B047F"/>
    <w:rsid w:val="000B5923"/>
    <w:rsid w:val="000B5A48"/>
    <w:rsid w:val="000B6FF3"/>
    <w:rsid w:val="000C3467"/>
    <w:rsid w:val="000C3CA6"/>
    <w:rsid w:val="000D1267"/>
    <w:rsid w:val="000D1D50"/>
    <w:rsid w:val="000D5782"/>
    <w:rsid w:val="000E6613"/>
    <w:rsid w:val="000E7119"/>
    <w:rsid w:val="00114E9B"/>
    <w:rsid w:val="00142216"/>
    <w:rsid w:val="00144D6A"/>
    <w:rsid w:val="0014729F"/>
    <w:rsid w:val="00157BAB"/>
    <w:rsid w:val="001654D1"/>
    <w:rsid w:val="00174518"/>
    <w:rsid w:val="0018106D"/>
    <w:rsid w:val="001877A7"/>
    <w:rsid w:val="00191536"/>
    <w:rsid w:val="00196687"/>
    <w:rsid w:val="001C0962"/>
    <w:rsid w:val="001D7531"/>
    <w:rsid w:val="001E737D"/>
    <w:rsid w:val="001F0592"/>
    <w:rsid w:val="001F7506"/>
    <w:rsid w:val="002006CD"/>
    <w:rsid w:val="00202B36"/>
    <w:rsid w:val="00204B7A"/>
    <w:rsid w:val="00204CDE"/>
    <w:rsid w:val="0021101A"/>
    <w:rsid w:val="00220536"/>
    <w:rsid w:val="00235629"/>
    <w:rsid w:val="00260C38"/>
    <w:rsid w:val="002616C0"/>
    <w:rsid w:val="00265372"/>
    <w:rsid w:val="002662AA"/>
    <w:rsid w:val="00280496"/>
    <w:rsid w:val="00294DC9"/>
    <w:rsid w:val="00295495"/>
    <w:rsid w:val="002A31DE"/>
    <w:rsid w:val="002B2613"/>
    <w:rsid w:val="002D6D05"/>
    <w:rsid w:val="002F1818"/>
    <w:rsid w:val="002F567B"/>
    <w:rsid w:val="003216A9"/>
    <w:rsid w:val="00335A74"/>
    <w:rsid w:val="0036561B"/>
    <w:rsid w:val="0037013F"/>
    <w:rsid w:val="00380C92"/>
    <w:rsid w:val="003A484F"/>
    <w:rsid w:val="003A4883"/>
    <w:rsid w:val="003B0BE0"/>
    <w:rsid w:val="003B0C1B"/>
    <w:rsid w:val="003B688C"/>
    <w:rsid w:val="003C0291"/>
    <w:rsid w:val="003C39AE"/>
    <w:rsid w:val="003C7B60"/>
    <w:rsid w:val="003D0C0F"/>
    <w:rsid w:val="003D1FB2"/>
    <w:rsid w:val="003D66DA"/>
    <w:rsid w:val="003E1310"/>
    <w:rsid w:val="003E6F55"/>
    <w:rsid w:val="00406254"/>
    <w:rsid w:val="004223DE"/>
    <w:rsid w:val="00434489"/>
    <w:rsid w:val="00437085"/>
    <w:rsid w:val="00443880"/>
    <w:rsid w:val="004464F4"/>
    <w:rsid w:val="00471401"/>
    <w:rsid w:val="00473F31"/>
    <w:rsid w:val="0048263A"/>
    <w:rsid w:val="00487E5D"/>
    <w:rsid w:val="004A711F"/>
    <w:rsid w:val="004B199D"/>
    <w:rsid w:val="004B4690"/>
    <w:rsid w:val="004E0A2D"/>
    <w:rsid w:val="004E206B"/>
    <w:rsid w:val="004E6DF7"/>
    <w:rsid w:val="004F0FBD"/>
    <w:rsid w:val="00505A47"/>
    <w:rsid w:val="00507004"/>
    <w:rsid w:val="00512FDA"/>
    <w:rsid w:val="00520DA0"/>
    <w:rsid w:val="005664BB"/>
    <w:rsid w:val="00566FFA"/>
    <w:rsid w:val="0057481D"/>
    <w:rsid w:val="0058486E"/>
    <w:rsid w:val="00585B33"/>
    <w:rsid w:val="0059014D"/>
    <w:rsid w:val="005B5C64"/>
    <w:rsid w:val="005C5337"/>
    <w:rsid w:val="005C6BD0"/>
    <w:rsid w:val="005D1C8B"/>
    <w:rsid w:val="005D468D"/>
    <w:rsid w:val="005D5CED"/>
    <w:rsid w:val="005F1A4C"/>
    <w:rsid w:val="00605688"/>
    <w:rsid w:val="006070AF"/>
    <w:rsid w:val="00607E6C"/>
    <w:rsid w:val="006101B1"/>
    <w:rsid w:val="00614E44"/>
    <w:rsid w:val="0062270A"/>
    <w:rsid w:val="00622830"/>
    <w:rsid w:val="00623DA0"/>
    <w:rsid w:val="00630AEF"/>
    <w:rsid w:val="006325F8"/>
    <w:rsid w:val="00633463"/>
    <w:rsid w:val="00634C9A"/>
    <w:rsid w:val="006440E4"/>
    <w:rsid w:val="0066343B"/>
    <w:rsid w:val="00664777"/>
    <w:rsid w:val="006748A4"/>
    <w:rsid w:val="00681A31"/>
    <w:rsid w:val="00683E73"/>
    <w:rsid w:val="006A3141"/>
    <w:rsid w:val="006A5E34"/>
    <w:rsid w:val="006B2422"/>
    <w:rsid w:val="006B2B9A"/>
    <w:rsid w:val="006C1937"/>
    <w:rsid w:val="006F020C"/>
    <w:rsid w:val="007127B7"/>
    <w:rsid w:val="0071798E"/>
    <w:rsid w:val="007416B6"/>
    <w:rsid w:val="00746F48"/>
    <w:rsid w:val="0075404D"/>
    <w:rsid w:val="0076182A"/>
    <w:rsid w:val="00767B7E"/>
    <w:rsid w:val="007770C3"/>
    <w:rsid w:val="00784D24"/>
    <w:rsid w:val="00785FBA"/>
    <w:rsid w:val="00786E4A"/>
    <w:rsid w:val="007875EB"/>
    <w:rsid w:val="0079426B"/>
    <w:rsid w:val="007D1682"/>
    <w:rsid w:val="007D312A"/>
    <w:rsid w:val="007D3F19"/>
    <w:rsid w:val="007E23B0"/>
    <w:rsid w:val="007E23E5"/>
    <w:rsid w:val="007F1991"/>
    <w:rsid w:val="007F2C2F"/>
    <w:rsid w:val="007F55FC"/>
    <w:rsid w:val="007F5665"/>
    <w:rsid w:val="00800112"/>
    <w:rsid w:val="00813348"/>
    <w:rsid w:val="008253BB"/>
    <w:rsid w:val="0083706E"/>
    <w:rsid w:val="0083795B"/>
    <w:rsid w:val="008408F6"/>
    <w:rsid w:val="008423A5"/>
    <w:rsid w:val="00850625"/>
    <w:rsid w:val="00853718"/>
    <w:rsid w:val="00855221"/>
    <w:rsid w:val="00860645"/>
    <w:rsid w:val="00871F71"/>
    <w:rsid w:val="00872FD8"/>
    <w:rsid w:val="00885AF4"/>
    <w:rsid w:val="008939CD"/>
    <w:rsid w:val="008B768C"/>
    <w:rsid w:val="008C4DB1"/>
    <w:rsid w:val="008C4EAF"/>
    <w:rsid w:val="008C5176"/>
    <w:rsid w:val="008C7FD0"/>
    <w:rsid w:val="008E1DE7"/>
    <w:rsid w:val="008E707C"/>
    <w:rsid w:val="00900B08"/>
    <w:rsid w:val="00902155"/>
    <w:rsid w:val="00902FA3"/>
    <w:rsid w:val="00923564"/>
    <w:rsid w:val="0092392E"/>
    <w:rsid w:val="009315F9"/>
    <w:rsid w:val="00933499"/>
    <w:rsid w:val="00935C98"/>
    <w:rsid w:val="00946945"/>
    <w:rsid w:val="00951248"/>
    <w:rsid w:val="0095152F"/>
    <w:rsid w:val="00954C49"/>
    <w:rsid w:val="00955E37"/>
    <w:rsid w:val="0097099F"/>
    <w:rsid w:val="00971997"/>
    <w:rsid w:val="00971FFC"/>
    <w:rsid w:val="0098660A"/>
    <w:rsid w:val="009931C3"/>
    <w:rsid w:val="009B2C43"/>
    <w:rsid w:val="009B4EAE"/>
    <w:rsid w:val="009B7573"/>
    <w:rsid w:val="009C22F4"/>
    <w:rsid w:val="009C2A4B"/>
    <w:rsid w:val="009C2E98"/>
    <w:rsid w:val="009D3447"/>
    <w:rsid w:val="009D4711"/>
    <w:rsid w:val="009F1185"/>
    <w:rsid w:val="009F18CD"/>
    <w:rsid w:val="009F2A13"/>
    <w:rsid w:val="009F7527"/>
    <w:rsid w:val="00A04EB0"/>
    <w:rsid w:val="00A13CC1"/>
    <w:rsid w:val="00A16847"/>
    <w:rsid w:val="00A237D8"/>
    <w:rsid w:val="00A268C4"/>
    <w:rsid w:val="00A307CD"/>
    <w:rsid w:val="00A331C8"/>
    <w:rsid w:val="00A40A00"/>
    <w:rsid w:val="00A4142F"/>
    <w:rsid w:val="00A422EB"/>
    <w:rsid w:val="00A45BB7"/>
    <w:rsid w:val="00A56DF2"/>
    <w:rsid w:val="00A56E6E"/>
    <w:rsid w:val="00A67AB5"/>
    <w:rsid w:val="00A733B2"/>
    <w:rsid w:val="00A741C2"/>
    <w:rsid w:val="00A91760"/>
    <w:rsid w:val="00A93B00"/>
    <w:rsid w:val="00A93C21"/>
    <w:rsid w:val="00AB64C9"/>
    <w:rsid w:val="00AC3C6A"/>
    <w:rsid w:val="00AD5620"/>
    <w:rsid w:val="00AD656B"/>
    <w:rsid w:val="00AD7C1B"/>
    <w:rsid w:val="00AE16BA"/>
    <w:rsid w:val="00AE1EBE"/>
    <w:rsid w:val="00B03C9D"/>
    <w:rsid w:val="00B060AE"/>
    <w:rsid w:val="00B10517"/>
    <w:rsid w:val="00B14E76"/>
    <w:rsid w:val="00B161B8"/>
    <w:rsid w:val="00B2048C"/>
    <w:rsid w:val="00B310B9"/>
    <w:rsid w:val="00B35F3F"/>
    <w:rsid w:val="00B36CBB"/>
    <w:rsid w:val="00B425E0"/>
    <w:rsid w:val="00B440AA"/>
    <w:rsid w:val="00B44B70"/>
    <w:rsid w:val="00B53C56"/>
    <w:rsid w:val="00B57DAF"/>
    <w:rsid w:val="00B77EA6"/>
    <w:rsid w:val="00B81598"/>
    <w:rsid w:val="00B841F1"/>
    <w:rsid w:val="00B922A3"/>
    <w:rsid w:val="00B944D6"/>
    <w:rsid w:val="00BB4DF0"/>
    <w:rsid w:val="00BC289F"/>
    <w:rsid w:val="00BC2D50"/>
    <w:rsid w:val="00BC5361"/>
    <w:rsid w:val="00BC5460"/>
    <w:rsid w:val="00BC6B50"/>
    <w:rsid w:val="00BD0E25"/>
    <w:rsid w:val="00BF5BD6"/>
    <w:rsid w:val="00C03E31"/>
    <w:rsid w:val="00C33E72"/>
    <w:rsid w:val="00C354B2"/>
    <w:rsid w:val="00C35554"/>
    <w:rsid w:val="00C42709"/>
    <w:rsid w:val="00C533CC"/>
    <w:rsid w:val="00C5751C"/>
    <w:rsid w:val="00C61BFC"/>
    <w:rsid w:val="00C62B85"/>
    <w:rsid w:val="00C65438"/>
    <w:rsid w:val="00C87FD8"/>
    <w:rsid w:val="00C91381"/>
    <w:rsid w:val="00C91CBB"/>
    <w:rsid w:val="00CB4E70"/>
    <w:rsid w:val="00CC09B6"/>
    <w:rsid w:val="00CC666F"/>
    <w:rsid w:val="00CD1E3F"/>
    <w:rsid w:val="00CE44F6"/>
    <w:rsid w:val="00CE49DA"/>
    <w:rsid w:val="00CE7B61"/>
    <w:rsid w:val="00D00095"/>
    <w:rsid w:val="00D02FE1"/>
    <w:rsid w:val="00D114F0"/>
    <w:rsid w:val="00D20620"/>
    <w:rsid w:val="00D254F7"/>
    <w:rsid w:val="00D26091"/>
    <w:rsid w:val="00D2685C"/>
    <w:rsid w:val="00D34E7C"/>
    <w:rsid w:val="00D35489"/>
    <w:rsid w:val="00D36AFE"/>
    <w:rsid w:val="00D51276"/>
    <w:rsid w:val="00D5444D"/>
    <w:rsid w:val="00D7035F"/>
    <w:rsid w:val="00DA634F"/>
    <w:rsid w:val="00DA65AC"/>
    <w:rsid w:val="00DB1913"/>
    <w:rsid w:val="00DC2C99"/>
    <w:rsid w:val="00DC410D"/>
    <w:rsid w:val="00DC5A81"/>
    <w:rsid w:val="00DC68CA"/>
    <w:rsid w:val="00DC7CBA"/>
    <w:rsid w:val="00DD73B7"/>
    <w:rsid w:val="00DF28BC"/>
    <w:rsid w:val="00DF34B9"/>
    <w:rsid w:val="00E01053"/>
    <w:rsid w:val="00E07ACF"/>
    <w:rsid w:val="00E331A1"/>
    <w:rsid w:val="00E33202"/>
    <w:rsid w:val="00E336A9"/>
    <w:rsid w:val="00E472B1"/>
    <w:rsid w:val="00E50624"/>
    <w:rsid w:val="00E54633"/>
    <w:rsid w:val="00E568DF"/>
    <w:rsid w:val="00E64269"/>
    <w:rsid w:val="00E82267"/>
    <w:rsid w:val="00E853CE"/>
    <w:rsid w:val="00E867B6"/>
    <w:rsid w:val="00EA010F"/>
    <w:rsid w:val="00ED1B63"/>
    <w:rsid w:val="00ED3C1F"/>
    <w:rsid w:val="00ED4085"/>
    <w:rsid w:val="00ED420E"/>
    <w:rsid w:val="00ED6FBE"/>
    <w:rsid w:val="00EE2F57"/>
    <w:rsid w:val="00EF4C34"/>
    <w:rsid w:val="00EF77C6"/>
    <w:rsid w:val="00F05438"/>
    <w:rsid w:val="00F1361C"/>
    <w:rsid w:val="00F156F0"/>
    <w:rsid w:val="00F160C7"/>
    <w:rsid w:val="00F2408F"/>
    <w:rsid w:val="00F240E9"/>
    <w:rsid w:val="00F36D8F"/>
    <w:rsid w:val="00F417B1"/>
    <w:rsid w:val="00F45853"/>
    <w:rsid w:val="00F602DF"/>
    <w:rsid w:val="00F754A1"/>
    <w:rsid w:val="00F81FD9"/>
    <w:rsid w:val="00F841AA"/>
    <w:rsid w:val="00F84A94"/>
    <w:rsid w:val="00F87E96"/>
    <w:rsid w:val="00FA23E8"/>
    <w:rsid w:val="00FD3CC1"/>
    <w:rsid w:val="00FF1E02"/>
    <w:rsid w:val="00FF30B4"/>
    <w:rsid w:val="012A5EC2"/>
    <w:rsid w:val="015975B8"/>
    <w:rsid w:val="02FEBE30"/>
    <w:rsid w:val="044E7FFD"/>
    <w:rsid w:val="04916F1E"/>
    <w:rsid w:val="04C14767"/>
    <w:rsid w:val="061E35DE"/>
    <w:rsid w:val="066E0107"/>
    <w:rsid w:val="07996F6E"/>
    <w:rsid w:val="07DFD8BA"/>
    <w:rsid w:val="09867E8F"/>
    <w:rsid w:val="0A2032A3"/>
    <w:rsid w:val="0CA8290A"/>
    <w:rsid w:val="0D35B1ED"/>
    <w:rsid w:val="0E254B6B"/>
    <w:rsid w:val="0F98263C"/>
    <w:rsid w:val="101860EC"/>
    <w:rsid w:val="101F47CC"/>
    <w:rsid w:val="10C055FF"/>
    <w:rsid w:val="11694EBD"/>
    <w:rsid w:val="11772AA4"/>
    <w:rsid w:val="118107EC"/>
    <w:rsid w:val="12E24EE2"/>
    <w:rsid w:val="13D50BC4"/>
    <w:rsid w:val="14B17F78"/>
    <w:rsid w:val="165E0673"/>
    <w:rsid w:val="16B831D5"/>
    <w:rsid w:val="16BB723D"/>
    <w:rsid w:val="17E50567"/>
    <w:rsid w:val="186504BB"/>
    <w:rsid w:val="19A445FC"/>
    <w:rsid w:val="1BE8440E"/>
    <w:rsid w:val="1CC6347C"/>
    <w:rsid w:val="1D155CEE"/>
    <w:rsid w:val="1D1638FE"/>
    <w:rsid w:val="1E12367D"/>
    <w:rsid w:val="1E312DEB"/>
    <w:rsid w:val="1E740ACF"/>
    <w:rsid w:val="1FF35744"/>
    <w:rsid w:val="1FF6BC77"/>
    <w:rsid w:val="2186353C"/>
    <w:rsid w:val="21D22B02"/>
    <w:rsid w:val="23860B96"/>
    <w:rsid w:val="240371BF"/>
    <w:rsid w:val="244F3473"/>
    <w:rsid w:val="24C97D99"/>
    <w:rsid w:val="25A718F0"/>
    <w:rsid w:val="25BB59F6"/>
    <w:rsid w:val="260F557C"/>
    <w:rsid w:val="26970054"/>
    <w:rsid w:val="281408E2"/>
    <w:rsid w:val="29FD04D3"/>
    <w:rsid w:val="2A83793D"/>
    <w:rsid w:val="2BFF7BC6"/>
    <w:rsid w:val="2C8A61B5"/>
    <w:rsid w:val="2DF04E50"/>
    <w:rsid w:val="2E586DFA"/>
    <w:rsid w:val="2F040D46"/>
    <w:rsid w:val="2F6B035B"/>
    <w:rsid w:val="2FAE5751"/>
    <w:rsid w:val="2FB1A395"/>
    <w:rsid w:val="2FD9A7D8"/>
    <w:rsid w:val="2FDBF714"/>
    <w:rsid w:val="30AB6865"/>
    <w:rsid w:val="319F7F4E"/>
    <w:rsid w:val="32BD1EF1"/>
    <w:rsid w:val="3304709D"/>
    <w:rsid w:val="33A773CB"/>
    <w:rsid w:val="349D6851"/>
    <w:rsid w:val="35E6413B"/>
    <w:rsid w:val="36AA5135"/>
    <w:rsid w:val="36BE0DA7"/>
    <w:rsid w:val="376B6AA6"/>
    <w:rsid w:val="376D39B2"/>
    <w:rsid w:val="37E16F03"/>
    <w:rsid w:val="37F53A3B"/>
    <w:rsid w:val="389B6C89"/>
    <w:rsid w:val="38D469F0"/>
    <w:rsid w:val="39627CCD"/>
    <w:rsid w:val="397BAF1F"/>
    <w:rsid w:val="3AB79AF3"/>
    <w:rsid w:val="3AE834C0"/>
    <w:rsid w:val="3B7EF35A"/>
    <w:rsid w:val="3B980B5E"/>
    <w:rsid w:val="3B9FDB6C"/>
    <w:rsid w:val="3BF5BC2F"/>
    <w:rsid w:val="3CEBA265"/>
    <w:rsid w:val="3D98207C"/>
    <w:rsid w:val="3DEE7CF3"/>
    <w:rsid w:val="3E4E3EF2"/>
    <w:rsid w:val="3E740A63"/>
    <w:rsid w:val="3E78745D"/>
    <w:rsid w:val="3EE17838"/>
    <w:rsid w:val="3F55381A"/>
    <w:rsid w:val="3F7F7599"/>
    <w:rsid w:val="3FF4CAE0"/>
    <w:rsid w:val="3FF7B227"/>
    <w:rsid w:val="44E268DA"/>
    <w:rsid w:val="450D13D7"/>
    <w:rsid w:val="45506656"/>
    <w:rsid w:val="486A6C7A"/>
    <w:rsid w:val="4A627F82"/>
    <w:rsid w:val="4B0E749A"/>
    <w:rsid w:val="4B2477C4"/>
    <w:rsid w:val="4B4F25DA"/>
    <w:rsid w:val="4BE068DB"/>
    <w:rsid w:val="4D577224"/>
    <w:rsid w:val="4DBF1CEB"/>
    <w:rsid w:val="4DF0007C"/>
    <w:rsid w:val="4EAB630A"/>
    <w:rsid w:val="4ECE2238"/>
    <w:rsid w:val="4F833267"/>
    <w:rsid w:val="4FE9BD67"/>
    <w:rsid w:val="4FFB052F"/>
    <w:rsid w:val="511D07B9"/>
    <w:rsid w:val="537E6D0A"/>
    <w:rsid w:val="53F74C96"/>
    <w:rsid w:val="55170BA8"/>
    <w:rsid w:val="553218C9"/>
    <w:rsid w:val="567E1AA5"/>
    <w:rsid w:val="56E47B74"/>
    <w:rsid w:val="57175D52"/>
    <w:rsid w:val="57BD3DD4"/>
    <w:rsid w:val="593C7716"/>
    <w:rsid w:val="5A463E9D"/>
    <w:rsid w:val="5AF92295"/>
    <w:rsid w:val="5B250254"/>
    <w:rsid w:val="5BDD79E6"/>
    <w:rsid w:val="5BF561CA"/>
    <w:rsid w:val="5BFF5DFC"/>
    <w:rsid w:val="5CD71FC4"/>
    <w:rsid w:val="5D1F11B5"/>
    <w:rsid w:val="5D695134"/>
    <w:rsid w:val="5DAE1B18"/>
    <w:rsid w:val="5DE7D9E5"/>
    <w:rsid w:val="5ECEC941"/>
    <w:rsid w:val="5FBF9FF3"/>
    <w:rsid w:val="5FCD4E2C"/>
    <w:rsid w:val="5FEF394A"/>
    <w:rsid w:val="5FF67715"/>
    <w:rsid w:val="62BF3928"/>
    <w:rsid w:val="63B3701E"/>
    <w:rsid w:val="647F5392"/>
    <w:rsid w:val="65E66580"/>
    <w:rsid w:val="664B1D71"/>
    <w:rsid w:val="664B4E8E"/>
    <w:rsid w:val="67277B67"/>
    <w:rsid w:val="67AA3209"/>
    <w:rsid w:val="698D0931"/>
    <w:rsid w:val="6A7FE5F3"/>
    <w:rsid w:val="6B053271"/>
    <w:rsid w:val="6BDD78B3"/>
    <w:rsid w:val="6C4A05C8"/>
    <w:rsid w:val="6C8742B8"/>
    <w:rsid w:val="6DBF5E93"/>
    <w:rsid w:val="6DFF077E"/>
    <w:rsid w:val="6E714EF0"/>
    <w:rsid w:val="6E7E3605"/>
    <w:rsid w:val="6E7FDCC7"/>
    <w:rsid w:val="6ED6A62E"/>
    <w:rsid w:val="6EE00B15"/>
    <w:rsid w:val="6F6FB3EB"/>
    <w:rsid w:val="6F8731EA"/>
    <w:rsid w:val="6FCE6052"/>
    <w:rsid w:val="6FD57C00"/>
    <w:rsid w:val="6FEFFFD8"/>
    <w:rsid w:val="6FF5CC65"/>
    <w:rsid w:val="6FFB47EC"/>
    <w:rsid w:val="6FFF034A"/>
    <w:rsid w:val="70484440"/>
    <w:rsid w:val="712A28F1"/>
    <w:rsid w:val="715C0E4B"/>
    <w:rsid w:val="71992E7C"/>
    <w:rsid w:val="72233669"/>
    <w:rsid w:val="72734D90"/>
    <w:rsid w:val="73160E6D"/>
    <w:rsid w:val="7332FE48"/>
    <w:rsid w:val="73AB61DA"/>
    <w:rsid w:val="73AD73D5"/>
    <w:rsid w:val="73B6EB34"/>
    <w:rsid w:val="73FA497D"/>
    <w:rsid w:val="744731E5"/>
    <w:rsid w:val="74BBD01D"/>
    <w:rsid w:val="74ED5379"/>
    <w:rsid w:val="75DEEEC2"/>
    <w:rsid w:val="75E32345"/>
    <w:rsid w:val="76E3355F"/>
    <w:rsid w:val="76FF5125"/>
    <w:rsid w:val="776F6FFA"/>
    <w:rsid w:val="778769C8"/>
    <w:rsid w:val="77A75DCA"/>
    <w:rsid w:val="77DC22F5"/>
    <w:rsid w:val="783E271A"/>
    <w:rsid w:val="78616DE9"/>
    <w:rsid w:val="78E875D7"/>
    <w:rsid w:val="79086DAD"/>
    <w:rsid w:val="79D7FD79"/>
    <w:rsid w:val="79EE5BA4"/>
    <w:rsid w:val="7A894339"/>
    <w:rsid w:val="7AD284E8"/>
    <w:rsid w:val="7AFF7572"/>
    <w:rsid w:val="7B6C7DFB"/>
    <w:rsid w:val="7BBFBED0"/>
    <w:rsid w:val="7BC3E394"/>
    <w:rsid w:val="7C1F3737"/>
    <w:rsid w:val="7CBFC87B"/>
    <w:rsid w:val="7CFE0F48"/>
    <w:rsid w:val="7D272ABC"/>
    <w:rsid w:val="7D7EC23E"/>
    <w:rsid w:val="7E8ADEBF"/>
    <w:rsid w:val="7EEF11D3"/>
    <w:rsid w:val="7EFE4840"/>
    <w:rsid w:val="7F0971A6"/>
    <w:rsid w:val="7F1D62E7"/>
    <w:rsid w:val="7F3F679B"/>
    <w:rsid w:val="7F4FC4EF"/>
    <w:rsid w:val="7F5E4D54"/>
    <w:rsid w:val="7F6E0135"/>
    <w:rsid w:val="7F79F205"/>
    <w:rsid w:val="7FA30C79"/>
    <w:rsid w:val="7FA79C44"/>
    <w:rsid w:val="7FAF8ABF"/>
    <w:rsid w:val="7FB7269E"/>
    <w:rsid w:val="7FC96657"/>
    <w:rsid w:val="7FDA9588"/>
    <w:rsid w:val="7FDF220F"/>
    <w:rsid w:val="7FEDC5F7"/>
    <w:rsid w:val="7FEDD9DE"/>
    <w:rsid w:val="7FF5890D"/>
    <w:rsid w:val="7FF93490"/>
    <w:rsid w:val="99FF2014"/>
    <w:rsid w:val="A6DD0D7F"/>
    <w:rsid w:val="ACFF4FBB"/>
    <w:rsid w:val="ADC6F725"/>
    <w:rsid w:val="B7CF06AB"/>
    <w:rsid w:val="B7CFA926"/>
    <w:rsid w:val="B7F8786B"/>
    <w:rsid w:val="BABB6AA1"/>
    <w:rsid w:val="BB2F4199"/>
    <w:rsid w:val="BCFFB442"/>
    <w:rsid w:val="BD079C78"/>
    <w:rsid w:val="BD733540"/>
    <w:rsid w:val="BF3735D5"/>
    <w:rsid w:val="BF7F09AC"/>
    <w:rsid w:val="BFD475C3"/>
    <w:rsid w:val="BFDE5EA6"/>
    <w:rsid w:val="CF6FC6F3"/>
    <w:rsid w:val="CFD3D3D7"/>
    <w:rsid w:val="CFDF1009"/>
    <w:rsid w:val="D7D7B16A"/>
    <w:rsid w:val="D8D6DB89"/>
    <w:rsid w:val="DB6F4CAB"/>
    <w:rsid w:val="DB777682"/>
    <w:rsid w:val="DD1FB521"/>
    <w:rsid w:val="DEFBFEAE"/>
    <w:rsid w:val="DF1F3B80"/>
    <w:rsid w:val="DF6F9789"/>
    <w:rsid w:val="DFE9BE81"/>
    <w:rsid w:val="DFFFA9E8"/>
    <w:rsid w:val="E5F4E9DC"/>
    <w:rsid w:val="E70FE695"/>
    <w:rsid w:val="EB2E368B"/>
    <w:rsid w:val="ECFED1BC"/>
    <w:rsid w:val="ED1D69BB"/>
    <w:rsid w:val="ED7FD312"/>
    <w:rsid w:val="EF2E1AC6"/>
    <w:rsid w:val="EF53993F"/>
    <w:rsid w:val="EF6FD633"/>
    <w:rsid w:val="EFBFB2F4"/>
    <w:rsid w:val="EFBFFA21"/>
    <w:rsid w:val="F2BEBCB8"/>
    <w:rsid w:val="F36FB518"/>
    <w:rsid w:val="F3DE1A04"/>
    <w:rsid w:val="F3F722E5"/>
    <w:rsid w:val="F4FBCD07"/>
    <w:rsid w:val="FA5F1E70"/>
    <w:rsid w:val="FA5FDB97"/>
    <w:rsid w:val="FB7F486A"/>
    <w:rsid w:val="FBFF5B2E"/>
    <w:rsid w:val="FD7FFE2B"/>
    <w:rsid w:val="FDEE196B"/>
    <w:rsid w:val="FDFE6575"/>
    <w:rsid w:val="FEDFDDC2"/>
    <w:rsid w:val="FEED32F6"/>
    <w:rsid w:val="FEF781DD"/>
    <w:rsid w:val="FF3F7E3F"/>
    <w:rsid w:val="FFBA12D7"/>
    <w:rsid w:val="FFCBD314"/>
    <w:rsid w:val="FFDFF91C"/>
    <w:rsid w:val="FFDFFAEE"/>
    <w:rsid w:val="FFEF6777"/>
    <w:rsid w:val="FFF9B57B"/>
    <w:rsid w:val="FFFD61D9"/>
    <w:rsid w:val="FFFD8F59"/>
    <w:rsid w:val="FFFF2BB1"/>
    <w:rsid w:val="FFFFB04D"/>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name="footnote text"/>
    <w:lsdException w:uiPriority="99" w:name="annotation text"/>
    <w:lsdException w:qFormat="1" w:unhideWhenUsed="0" w:uiPriority="99"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99"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30"/>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31"/>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34"/>
    <w:unhideWhenUsed/>
    <w:qFormat/>
    <w:uiPriority w:val="9"/>
    <w:pPr>
      <w:keepNext/>
      <w:keepLines/>
      <w:spacing w:before="260" w:after="260" w:line="416" w:lineRule="auto"/>
      <w:outlineLvl w:val="2"/>
    </w:pPr>
    <w:rPr>
      <w:b/>
      <w:bCs/>
      <w:sz w:val="32"/>
      <w:szCs w:val="32"/>
    </w:rPr>
  </w:style>
  <w:style w:type="character" w:default="1" w:styleId="17">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2">
    <w:name w:val="Title"/>
    <w:next w:val="1"/>
    <w:qFormat/>
    <w:uiPriority w:val="0"/>
    <w:pPr>
      <w:widowControl w:val="0"/>
      <w:spacing w:before="240" w:after="60" w:line="276" w:lineRule="auto"/>
      <w:jc w:val="center"/>
      <w:outlineLvl w:val="0"/>
    </w:pPr>
    <w:rPr>
      <w:rFonts w:ascii="Arial" w:hAnsi="Arial" w:eastAsia="宋体" w:cs="Times New Roman"/>
      <w:b/>
      <w:kern w:val="2"/>
      <w:sz w:val="32"/>
      <w:szCs w:val="24"/>
      <w:lang w:val="en-US" w:eastAsia="zh-CN" w:bidi="ar-SA"/>
    </w:rPr>
  </w:style>
  <w:style w:type="paragraph" w:styleId="6">
    <w:name w:val="Body Text"/>
    <w:basedOn w:val="1"/>
    <w:next w:val="1"/>
    <w:link w:val="27"/>
    <w:qFormat/>
    <w:uiPriority w:val="99"/>
    <w:pPr>
      <w:spacing w:beforeLines="30"/>
    </w:pPr>
    <w:rPr>
      <w:rFonts w:ascii="仿宋_GB2312" w:eastAsia="仿宋_GB2312"/>
      <w:kern w:val="0"/>
      <w:sz w:val="30"/>
    </w:rPr>
  </w:style>
  <w:style w:type="paragraph" w:styleId="7">
    <w:name w:val="Body Text Indent"/>
    <w:basedOn w:val="1"/>
    <w:next w:val="8"/>
    <w:qFormat/>
    <w:uiPriority w:val="0"/>
    <w:pPr>
      <w:spacing w:after="120"/>
      <w:ind w:left="200" w:leftChars="200"/>
    </w:pPr>
    <w:rPr>
      <w:rFonts w:ascii="仿宋_GB2312"/>
      <w:szCs w:val="32"/>
    </w:rPr>
  </w:style>
  <w:style w:type="paragraph" w:styleId="8">
    <w:name w:val="Body Text First Indent 2"/>
    <w:basedOn w:val="7"/>
    <w:unhideWhenUsed/>
    <w:qFormat/>
    <w:uiPriority w:val="99"/>
    <w:pPr>
      <w:ind w:firstLine="420" w:firstLineChars="200"/>
    </w:pPr>
  </w:style>
  <w:style w:type="paragraph" w:styleId="9">
    <w:name w:val="toc 3"/>
    <w:basedOn w:val="1"/>
    <w:next w:val="1"/>
    <w:unhideWhenUsed/>
    <w:qFormat/>
    <w:uiPriority w:val="39"/>
    <w:pPr>
      <w:tabs>
        <w:tab w:val="right" w:leader="dot" w:pos="8296"/>
      </w:tabs>
      <w:ind w:left="840" w:leftChars="400"/>
    </w:pPr>
  </w:style>
  <w:style w:type="paragraph" w:styleId="10">
    <w:name w:val="Balloon Text"/>
    <w:basedOn w:val="1"/>
    <w:link w:val="33"/>
    <w:semiHidden/>
    <w:unhideWhenUsed/>
    <w:qFormat/>
    <w:uiPriority w:val="99"/>
    <w:rPr>
      <w:sz w:val="18"/>
      <w:szCs w:val="18"/>
    </w:rPr>
  </w:style>
  <w:style w:type="paragraph" w:styleId="11">
    <w:name w:val="footer"/>
    <w:basedOn w:val="1"/>
    <w:link w:val="25"/>
    <w:qFormat/>
    <w:uiPriority w:val="99"/>
    <w:pPr>
      <w:tabs>
        <w:tab w:val="center" w:pos="4153"/>
        <w:tab w:val="right" w:pos="8306"/>
      </w:tabs>
      <w:snapToGrid w:val="0"/>
      <w:jc w:val="left"/>
    </w:pPr>
    <w:rPr>
      <w:rFonts w:ascii="Calibri" w:hAnsi="Calibri"/>
      <w:kern w:val="0"/>
      <w:sz w:val="18"/>
      <w:szCs w:val="18"/>
    </w:rPr>
  </w:style>
  <w:style w:type="paragraph" w:styleId="12">
    <w:name w:val="header"/>
    <w:basedOn w:val="1"/>
    <w:link w:val="23"/>
    <w:semiHidden/>
    <w:qFormat/>
    <w:uiPriority w:val="99"/>
    <w:pPr>
      <w:pBdr>
        <w:bottom w:val="single" w:color="auto" w:sz="6" w:space="1"/>
      </w:pBdr>
      <w:tabs>
        <w:tab w:val="center" w:pos="4153"/>
        <w:tab w:val="right" w:pos="8306"/>
      </w:tabs>
      <w:snapToGrid w:val="0"/>
      <w:jc w:val="center"/>
    </w:pPr>
    <w:rPr>
      <w:rFonts w:ascii="Calibri" w:hAnsi="Calibri"/>
      <w:kern w:val="0"/>
      <w:sz w:val="18"/>
      <w:szCs w:val="18"/>
    </w:rPr>
  </w:style>
  <w:style w:type="paragraph" w:styleId="13">
    <w:name w:val="toc 1"/>
    <w:basedOn w:val="1"/>
    <w:next w:val="1"/>
    <w:unhideWhenUsed/>
    <w:qFormat/>
    <w:uiPriority w:val="39"/>
    <w:pPr>
      <w:tabs>
        <w:tab w:val="right" w:leader="dot" w:pos="8296"/>
      </w:tabs>
      <w:spacing w:before="93"/>
      <w:jc w:val="center"/>
    </w:pPr>
    <w:rPr>
      <w:rFonts w:ascii="仿宋" w:hAnsi="仿宋" w:eastAsia="仿宋"/>
      <w:sz w:val="28"/>
      <w:szCs w:val="28"/>
    </w:rPr>
  </w:style>
  <w:style w:type="paragraph" w:styleId="14">
    <w:name w:val="footnote text"/>
    <w:basedOn w:val="1"/>
    <w:next w:val="8"/>
    <w:semiHidden/>
    <w:qFormat/>
    <w:uiPriority w:val="0"/>
    <w:pPr>
      <w:snapToGrid w:val="0"/>
      <w:jc w:val="left"/>
    </w:pPr>
    <w:rPr>
      <w:sz w:val="18"/>
      <w:szCs w:val="18"/>
    </w:rPr>
  </w:style>
  <w:style w:type="paragraph" w:styleId="15">
    <w:name w:val="toc 2"/>
    <w:basedOn w:val="1"/>
    <w:next w:val="1"/>
    <w:unhideWhenUsed/>
    <w:qFormat/>
    <w:uiPriority w:val="39"/>
    <w:pPr>
      <w:tabs>
        <w:tab w:val="right" w:leader="dot" w:pos="8296"/>
      </w:tabs>
      <w:ind w:left="420" w:leftChars="200"/>
    </w:pPr>
  </w:style>
  <w:style w:type="character" w:styleId="18">
    <w:name w:val="Strong"/>
    <w:basedOn w:val="17"/>
    <w:qFormat/>
    <w:uiPriority w:val="99"/>
    <w:rPr>
      <w:b/>
    </w:rPr>
  </w:style>
  <w:style w:type="character" w:styleId="19">
    <w:name w:val="page number"/>
    <w:qFormat/>
    <w:uiPriority w:val="0"/>
  </w:style>
  <w:style w:type="character" w:styleId="20">
    <w:name w:val="Hyperlink"/>
    <w:basedOn w:val="17"/>
    <w:unhideWhenUsed/>
    <w:qFormat/>
    <w:uiPriority w:val="99"/>
    <w:rPr>
      <w:color w:val="0000FF" w:themeColor="hyperlink"/>
      <w:u w:val="single"/>
      <w14:textFill>
        <w14:solidFill>
          <w14:schemeClr w14:val="hlink"/>
        </w14:solidFill>
      </w14:textFill>
    </w:rPr>
  </w:style>
  <w:style w:type="paragraph" w:customStyle="1" w:styleId="21">
    <w:name w:val="标题 5（有编号）（绿盟科技）"/>
    <w:next w:val="1"/>
    <w:qFormat/>
    <w:uiPriority w:val="99"/>
    <w:pPr>
      <w:keepNext/>
      <w:keepLines/>
      <w:widowControl w:val="0"/>
      <w:spacing w:before="280" w:after="156" w:line="377" w:lineRule="auto"/>
      <w:outlineLvl w:val="4"/>
    </w:pPr>
    <w:rPr>
      <w:rFonts w:ascii="Arial" w:hAnsi="Arial" w:eastAsia="黑体" w:cs="Times New Roman"/>
      <w:b/>
      <w:kern w:val="2"/>
      <w:sz w:val="24"/>
      <w:szCs w:val="28"/>
      <w:lang w:val="en-US" w:eastAsia="zh-CN" w:bidi="ar-SA"/>
    </w:rPr>
  </w:style>
  <w:style w:type="character" w:customStyle="1" w:styleId="22">
    <w:name w:val="Header Char"/>
    <w:basedOn w:val="17"/>
    <w:semiHidden/>
    <w:qFormat/>
    <w:uiPriority w:val="99"/>
    <w:rPr>
      <w:rFonts w:ascii="Times New Roman" w:hAnsi="Times New Roman"/>
      <w:sz w:val="18"/>
      <w:szCs w:val="18"/>
    </w:rPr>
  </w:style>
  <w:style w:type="character" w:customStyle="1" w:styleId="23">
    <w:name w:val="页眉 字符"/>
    <w:link w:val="12"/>
    <w:semiHidden/>
    <w:qFormat/>
    <w:locked/>
    <w:uiPriority w:val="99"/>
    <w:rPr>
      <w:sz w:val="18"/>
    </w:rPr>
  </w:style>
  <w:style w:type="character" w:customStyle="1" w:styleId="24">
    <w:name w:val="Footer Char"/>
    <w:basedOn w:val="17"/>
    <w:semiHidden/>
    <w:qFormat/>
    <w:uiPriority w:val="99"/>
    <w:rPr>
      <w:rFonts w:ascii="Times New Roman" w:hAnsi="Times New Roman"/>
      <w:sz w:val="18"/>
      <w:szCs w:val="18"/>
    </w:rPr>
  </w:style>
  <w:style w:type="character" w:customStyle="1" w:styleId="25">
    <w:name w:val="页脚 字符"/>
    <w:link w:val="11"/>
    <w:qFormat/>
    <w:locked/>
    <w:uiPriority w:val="99"/>
    <w:rPr>
      <w:sz w:val="18"/>
    </w:rPr>
  </w:style>
  <w:style w:type="character" w:customStyle="1" w:styleId="26">
    <w:name w:val="Body Text Char"/>
    <w:basedOn w:val="17"/>
    <w:semiHidden/>
    <w:qFormat/>
    <w:uiPriority w:val="99"/>
    <w:rPr>
      <w:rFonts w:ascii="Times New Roman" w:hAnsi="Times New Roman"/>
      <w:szCs w:val="24"/>
    </w:rPr>
  </w:style>
  <w:style w:type="character" w:customStyle="1" w:styleId="27">
    <w:name w:val="正文文本 字符"/>
    <w:link w:val="6"/>
    <w:qFormat/>
    <w:locked/>
    <w:uiPriority w:val="99"/>
    <w:rPr>
      <w:rFonts w:ascii="仿宋_GB2312" w:hAnsi="Times New Roman" w:eastAsia="仿宋_GB2312"/>
      <w:sz w:val="24"/>
    </w:rPr>
  </w:style>
  <w:style w:type="paragraph" w:customStyle="1" w:styleId="28">
    <w:name w:val="Default"/>
    <w:qFormat/>
    <w:uiPriority w:val="99"/>
    <w:pPr>
      <w:widowControl w:val="0"/>
      <w:autoSpaceDE w:val="0"/>
      <w:autoSpaceDN w:val="0"/>
      <w:adjustRightInd w:val="0"/>
    </w:pPr>
    <w:rPr>
      <w:rFonts w:ascii="仿宋" w:hAnsi="Calibri" w:eastAsia="仿宋" w:cs="仿宋"/>
      <w:color w:val="000000"/>
      <w:sz w:val="24"/>
      <w:szCs w:val="24"/>
      <w:lang w:val="en-US" w:eastAsia="zh-CN" w:bidi="ar-SA"/>
    </w:rPr>
  </w:style>
  <w:style w:type="paragraph" w:styleId="29">
    <w:name w:val="List Paragraph"/>
    <w:basedOn w:val="1"/>
    <w:qFormat/>
    <w:uiPriority w:val="34"/>
    <w:pPr>
      <w:ind w:firstLine="420" w:firstLineChars="200"/>
    </w:pPr>
  </w:style>
  <w:style w:type="character" w:customStyle="1" w:styleId="30">
    <w:name w:val="标题 1 字符"/>
    <w:basedOn w:val="17"/>
    <w:link w:val="3"/>
    <w:qFormat/>
    <w:uiPriority w:val="9"/>
    <w:rPr>
      <w:rFonts w:ascii="Times New Roman" w:hAnsi="Times New Roman"/>
      <w:b/>
      <w:bCs/>
      <w:kern w:val="44"/>
      <w:sz w:val="44"/>
      <w:szCs w:val="44"/>
    </w:rPr>
  </w:style>
  <w:style w:type="character" w:customStyle="1" w:styleId="31">
    <w:name w:val="标题 2 字符"/>
    <w:basedOn w:val="17"/>
    <w:link w:val="4"/>
    <w:qFormat/>
    <w:uiPriority w:val="9"/>
    <w:rPr>
      <w:rFonts w:asciiTheme="majorHAnsi" w:hAnsiTheme="majorHAnsi" w:eastAsiaTheme="majorEastAsia" w:cstheme="majorBidi"/>
      <w:b/>
      <w:bCs/>
      <w:kern w:val="2"/>
      <w:sz w:val="32"/>
      <w:szCs w:val="32"/>
    </w:rPr>
  </w:style>
  <w:style w:type="paragraph" w:customStyle="1" w:styleId="32">
    <w:name w:val="TOC 标题1"/>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33">
    <w:name w:val="批注框文本 字符"/>
    <w:basedOn w:val="17"/>
    <w:link w:val="10"/>
    <w:semiHidden/>
    <w:qFormat/>
    <w:uiPriority w:val="99"/>
    <w:rPr>
      <w:rFonts w:ascii="Times New Roman" w:hAnsi="Times New Roman"/>
      <w:kern w:val="2"/>
      <w:sz w:val="18"/>
      <w:szCs w:val="18"/>
    </w:rPr>
  </w:style>
  <w:style w:type="character" w:customStyle="1" w:styleId="34">
    <w:name w:val="标题 3 字符"/>
    <w:basedOn w:val="17"/>
    <w:link w:val="5"/>
    <w:qFormat/>
    <w:uiPriority w:val="9"/>
    <w:rPr>
      <w:rFonts w:ascii="Times New Roman" w:hAnsi="Times New Roman"/>
      <w:b/>
      <w:bCs/>
      <w:kern w:val="2"/>
      <w:sz w:val="32"/>
      <w:szCs w:val="32"/>
    </w:rPr>
  </w:style>
  <w:style w:type="paragraph" w:customStyle="1" w:styleId="35">
    <w:name w:val="TOC 标题2"/>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36">
    <w:name w:val="四号正文"/>
    <w:basedOn w:val="1"/>
    <w:qFormat/>
    <w:uiPriority w:val="0"/>
    <w:pPr>
      <w:spacing w:line="360" w:lineRule="auto"/>
    </w:pPr>
    <w:rPr>
      <w:rFonts w:ascii="??" w:hAnsi="??"/>
      <w:color w:val="000000"/>
      <w:kern w:val="0"/>
      <w:sz w:val="28"/>
      <w:szCs w:val="21"/>
      <w:lang w:val="zh-CN"/>
    </w:rPr>
  </w:style>
</w:styles>
</file>

<file path=word/_rels/document.xml.rels><?xml version="1.0" encoding="UTF-8" standalone="yes"?>
<Relationships xmlns="http://schemas.openxmlformats.org/package/2006/relationships"><Relationship Id="rId99" Type="http://schemas.openxmlformats.org/officeDocument/2006/relationships/image" Target="media/image39.png"/><Relationship Id="rId98" Type="http://schemas.openxmlformats.org/officeDocument/2006/relationships/image" Target="media/image38.png"/><Relationship Id="rId97" Type="http://schemas.openxmlformats.org/officeDocument/2006/relationships/image" Target="media/image37.png"/><Relationship Id="rId96" Type="http://schemas.openxmlformats.org/officeDocument/2006/relationships/image" Target="media/image36.png"/><Relationship Id="rId95" Type="http://schemas.openxmlformats.org/officeDocument/2006/relationships/image" Target="media/image35.png"/><Relationship Id="rId94" Type="http://schemas.openxmlformats.org/officeDocument/2006/relationships/image" Target="media/image34.png"/><Relationship Id="rId93" Type="http://schemas.openxmlformats.org/officeDocument/2006/relationships/image" Target="media/image33.png"/><Relationship Id="rId92" Type="http://schemas.openxmlformats.org/officeDocument/2006/relationships/image" Target="media/image32.png"/><Relationship Id="rId91" Type="http://schemas.openxmlformats.org/officeDocument/2006/relationships/image" Target="media/image31.png"/><Relationship Id="rId90" Type="http://schemas.openxmlformats.org/officeDocument/2006/relationships/image" Target="media/image30.png"/><Relationship Id="rId9" Type="http://schemas.openxmlformats.org/officeDocument/2006/relationships/footer" Target="footer6.xml"/><Relationship Id="rId89" Type="http://schemas.openxmlformats.org/officeDocument/2006/relationships/image" Target="media/image29.png"/><Relationship Id="rId88" Type="http://schemas.openxmlformats.org/officeDocument/2006/relationships/image" Target="media/image28.png"/><Relationship Id="rId87" Type="http://schemas.openxmlformats.org/officeDocument/2006/relationships/image" Target="media/image27.png"/><Relationship Id="rId86" Type="http://schemas.openxmlformats.org/officeDocument/2006/relationships/image" Target="media/image26.png"/><Relationship Id="rId85" Type="http://schemas.openxmlformats.org/officeDocument/2006/relationships/image" Target="media/image25.png"/><Relationship Id="rId84" Type="http://schemas.openxmlformats.org/officeDocument/2006/relationships/image" Target="media/image24.png"/><Relationship Id="rId83" Type="http://schemas.openxmlformats.org/officeDocument/2006/relationships/image" Target="media/image23.png"/><Relationship Id="rId82" Type="http://schemas.openxmlformats.org/officeDocument/2006/relationships/image" Target="media/image22.png"/><Relationship Id="rId81" Type="http://schemas.openxmlformats.org/officeDocument/2006/relationships/image" Target="media/image21.png"/><Relationship Id="rId80" Type="http://schemas.openxmlformats.org/officeDocument/2006/relationships/image" Target="media/image20.png"/><Relationship Id="rId8" Type="http://schemas.openxmlformats.org/officeDocument/2006/relationships/footer" Target="footer5.xml"/><Relationship Id="rId79" Type="http://schemas.openxmlformats.org/officeDocument/2006/relationships/image" Target="media/image19.png"/><Relationship Id="rId78" Type="http://schemas.openxmlformats.org/officeDocument/2006/relationships/image" Target="media/image18.png"/><Relationship Id="rId77" Type="http://schemas.openxmlformats.org/officeDocument/2006/relationships/image" Target="media/image17.png"/><Relationship Id="rId76" Type="http://schemas.openxmlformats.org/officeDocument/2006/relationships/image" Target="media/image16.png"/><Relationship Id="rId75" Type="http://schemas.openxmlformats.org/officeDocument/2006/relationships/image" Target="media/image15.png"/><Relationship Id="rId74" Type="http://schemas.openxmlformats.org/officeDocument/2006/relationships/image" Target="media/image14.png"/><Relationship Id="rId73" Type="http://schemas.openxmlformats.org/officeDocument/2006/relationships/image" Target="media/image13.png"/><Relationship Id="rId72" Type="http://schemas.openxmlformats.org/officeDocument/2006/relationships/image" Target="media/image12.png"/><Relationship Id="rId71" Type="http://schemas.openxmlformats.org/officeDocument/2006/relationships/image" Target="media/image11.png"/><Relationship Id="rId70" Type="http://schemas.openxmlformats.org/officeDocument/2006/relationships/image" Target="media/image10.png"/><Relationship Id="rId7" Type="http://schemas.openxmlformats.org/officeDocument/2006/relationships/footer" Target="footer4.xml"/><Relationship Id="rId69" Type="http://schemas.openxmlformats.org/officeDocument/2006/relationships/image" Target="media/image9.png"/><Relationship Id="rId68" Type="http://schemas.openxmlformats.org/officeDocument/2006/relationships/image" Target="media/image8.png"/><Relationship Id="rId67" Type="http://schemas.openxmlformats.org/officeDocument/2006/relationships/image" Target="media/image7.png"/><Relationship Id="rId66" Type="http://schemas.openxmlformats.org/officeDocument/2006/relationships/image" Target="media/image6.png"/><Relationship Id="rId65" Type="http://schemas.openxmlformats.org/officeDocument/2006/relationships/image" Target="media/image5.png"/><Relationship Id="rId64" Type="http://schemas.openxmlformats.org/officeDocument/2006/relationships/image" Target="media/image4.png"/><Relationship Id="rId63" Type="http://schemas.openxmlformats.org/officeDocument/2006/relationships/image" Target="media/image3.png"/><Relationship Id="rId62" Type="http://schemas.openxmlformats.org/officeDocument/2006/relationships/image" Target="media/image2.png"/><Relationship Id="rId61" Type="http://schemas.openxmlformats.org/officeDocument/2006/relationships/image" Target="media/image1.png"/><Relationship Id="rId60" Type="http://schemas.openxmlformats.org/officeDocument/2006/relationships/chart" Target="charts/chart7.xml"/><Relationship Id="rId6" Type="http://schemas.openxmlformats.org/officeDocument/2006/relationships/footer" Target="footer3.xml"/><Relationship Id="rId59" Type="http://schemas.openxmlformats.org/officeDocument/2006/relationships/chart" Target="charts/chart6.xml"/><Relationship Id="rId58" Type="http://schemas.openxmlformats.org/officeDocument/2006/relationships/chart" Target="charts/chart5.xml"/><Relationship Id="rId57" Type="http://schemas.openxmlformats.org/officeDocument/2006/relationships/chart" Target="charts/chart4.xml"/><Relationship Id="rId56" Type="http://schemas.openxmlformats.org/officeDocument/2006/relationships/chart" Target="charts/chart3.xml"/><Relationship Id="rId55" Type="http://schemas.openxmlformats.org/officeDocument/2006/relationships/chart" Target="charts/chart2.xml"/><Relationship Id="rId54" Type="http://schemas.openxmlformats.org/officeDocument/2006/relationships/chart" Target="charts/chart1.xml"/><Relationship Id="rId53" Type="http://schemas.openxmlformats.org/officeDocument/2006/relationships/theme" Target="theme/theme1.xml"/><Relationship Id="rId52" Type="http://schemas.openxmlformats.org/officeDocument/2006/relationships/footer" Target="footer48.xml"/><Relationship Id="rId51" Type="http://schemas.openxmlformats.org/officeDocument/2006/relationships/footer" Target="footer47.xml"/><Relationship Id="rId50" Type="http://schemas.openxmlformats.org/officeDocument/2006/relationships/footer" Target="footer46.xml"/><Relationship Id="rId5" Type="http://schemas.openxmlformats.org/officeDocument/2006/relationships/footer" Target="footer2.xml"/><Relationship Id="rId49" Type="http://schemas.openxmlformats.org/officeDocument/2006/relationships/footer" Target="footer45.xml"/><Relationship Id="rId48" Type="http://schemas.openxmlformats.org/officeDocument/2006/relationships/footer" Target="footer44.xml"/><Relationship Id="rId47" Type="http://schemas.openxmlformats.org/officeDocument/2006/relationships/footer" Target="footer43.xml"/><Relationship Id="rId46" Type="http://schemas.openxmlformats.org/officeDocument/2006/relationships/footer" Target="footer42.xml"/><Relationship Id="rId45" Type="http://schemas.openxmlformats.org/officeDocument/2006/relationships/footer" Target="footer41.xml"/><Relationship Id="rId44" Type="http://schemas.openxmlformats.org/officeDocument/2006/relationships/footer" Target="footer40.xml"/><Relationship Id="rId43" Type="http://schemas.openxmlformats.org/officeDocument/2006/relationships/footer" Target="footer39.xml"/><Relationship Id="rId42" Type="http://schemas.openxmlformats.org/officeDocument/2006/relationships/footer" Target="footer38.xml"/><Relationship Id="rId41" Type="http://schemas.openxmlformats.org/officeDocument/2006/relationships/footer" Target="footer37.xml"/><Relationship Id="rId40" Type="http://schemas.openxmlformats.org/officeDocument/2006/relationships/footer" Target="footer36.xml"/><Relationship Id="rId4" Type="http://schemas.openxmlformats.org/officeDocument/2006/relationships/footer" Target="footer1.xml"/><Relationship Id="rId39" Type="http://schemas.openxmlformats.org/officeDocument/2006/relationships/footer" Target="footer35.xml"/><Relationship Id="rId38" Type="http://schemas.openxmlformats.org/officeDocument/2006/relationships/header" Target="header2.xml"/><Relationship Id="rId37" Type="http://schemas.openxmlformats.org/officeDocument/2006/relationships/footer" Target="footer34.xml"/><Relationship Id="rId36" Type="http://schemas.openxmlformats.org/officeDocument/2006/relationships/footer" Target="footer33.xml"/><Relationship Id="rId35" Type="http://schemas.openxmlformats.org/officeDocument/2006/relationships/footer" Target="footer32.xml"/><Relationship Id="rId34" Type="http://schemas.openxmlformats.org/officeDocument/2006/relationships/footer" Target="footer31.xml"/><Relationship Id="rId33" Type="http://schemas.openxmlformats.org/officeDocument/2006/relationships/footer" Target="footer30.xml"/><Relationship Id="rId32" Type="http://schemas.openxmlformats.org/officeDocument/2006/relationships/footer" Target="footer29.xml"/><Relationship Id="rId31" Type="http://schemas.openxmlformats.org/officeDocument/2006/relationships/footer" Target="footer28.xml"/><Relationship Id="rId30" Type="http://schemas.openxmlformats.org/officeDocument/2006/relationships/footer" Target="footer27.xml"/><Relationship Id="rId3" Type="http://schemas.openxmlformats.org/officeDocument/2006/relationships/header" Target="header1.xml"/><Relationship Id="rId29" Type="http://schemas.openxmlformats.org/officeDocument/2006/relationships/footer" Target="footer26.xml"/><Relationship Id="rId28" Type="http://schemas.openxmlformats.org/officeDocument/2006/relationships/footer" Target="footer25.xml"/><Relationship Id="rId27" Type="http://schemas.openxmlformats.org/officeDocument/2006/relationships/footer" Target="footer24.xml"/><Relationship Id="rId26" Type="http://schemas.openxmlformats.org/officeDocument/2006/relationships/footer" Target="footer23.xml"/><Relationship Id="rId251" Type="http://schemas.openxmlformats.org/officeDocument/2006/relationships/fontTable" Target="fontTable.xml"/><Relationship Id="rId250" Type="http://schemas.openxmlformats.org/officeDocument/2006/relationships/numbering" Target="numbering.xml"/><Relationship Id="rId25" Type="http://schemas.openxmlformats.org/officeDocument/2006/relationships/footer" Target="footer22.xml"/><Relationship Id="rId249" Type="http://schemas.openxmlformats.org/officeDocument/2006/relationships/customXml" Target="../customXml/item1.xml"/><Relationship Id="rId248" Type="http://schemas.openxmlformats.org/officeDocument/2006/relationships/image" Target="media/image146.png"/><Relationship Id="rId247" Type="http://schemas.openxmlformats.org/officeDocument/2006/relationships/image" Target="media/image145.emf"/><Relationship Id="rId246" Type="http://schemas.openxmlformats.org/officeDocument/2006/relationships/image" Target="media/image144.emf"/><Relationship Id="rId245" Type="http://schemas.openxmlformats.org/officeDocument/2006/relationships/image" Target="media/image143.emf"/><Relationship Id="rId244" Type="http://schemas.openxmlformats.org/officeDocument/2006/relationships/image" Target="media/image142.emf"/><Relationship Id="rId243" Type="http://schemas.openxmlformats.org/officeDocument/2006/relationships/image" Target="media/image141.emf"/><Relationship Id="rId242" Type="http://schemas.openxmlformats.org/officeDocument/2006/relationships/image" Target="media/image140.emf"/><Relationship Id="rId241" Type="http://schemas.openxmlformats.org/officeDocument/2006/relationships/image" Target="media/image139.emf"/><Relationship Id="rId240" Type="http://schemas.openxmlformats.org/officeDocument/2006/relationships/image" Target="media/image138.png"/><Relationship Id="rId24" Type="http://schemas.openxmlformats.org/officeDocument/2006/relationships/footer" Target="footer21.xml"/><Relationship Id="rId239" Type="http://schemas.openxmlformats.org/officeDocument/2006/relationships/image" Target="media/image137.png"/><Relationship Id="rId238" Type="http://schemas.openxmlformats.org/officeDocument/2006/relationships/image" Target="media/image136.png"/><Relationship Id="rId237" Type="http://schemas.openxmlformats.org/officeDocument/2006/relationships/image" Target="media/image135.emf"/><Relationship Id="rId236" Type="http://schemas.openxmlformats.org/officeDocument/2006/relationships/image" Target="media/image134.emf"/><Relationship Id="rId235" Type="http://schemas.openxmlformats.org/officeDocument/2006/relationships/image" Target="media/image133.png"/><Relationship Id="rId234" Type="http://schemas.openxmlformats.org/officeDocument/2006/relationships/image" Target="media/image132.png"/><Relationship Id="rId233" Type="http://schemas.openxmlformats.org/officeDocument/2006/relationships/image" Target="media/image131.png"/><Relationship Id="rId232" Type="http://schemas.openxmlformats.org/officeDocument/2006/relationships/image" Target="media/image130.png"/><Relationship Id="rId231" Type="http://schemas.openxmlformats.org/officeDocument/2006/relationships/image" Target="media/image129.emf"/><Relationship Id="rId230" Type="http://schemas.openxmlformats.org/officeDocument/2006/relationships/image" Target="media/image128.emf"/><Relationship Id="rId23" Type="http://schemas.openxmlformats.org/officeDocument/2006/relationships/footer" Target="footer20.xml"/><Relationship Id="rId229" Type="http://schemas.openxmlformats.org/officeDocument/2006/relationships/image" Target="media/image127.emf"/><Relationship Id="rId228" Type="http://schemas.openxmlformats.org/officeDocument/2006/relationships/image" Target="media/image126.emf"/><Relationship Id="rId227" Type="http://schemas.openxmlformats.org/officeDocument/2006/relationships/image" Target="media/image125.emf"/><Relationship Id="rId226" Type="http://schemas.openxmlformats.org/officeDocument/2006/relationships/image" Target="media/image124.emf"/><Relationship Id="rId225" Type="http://schemas.openxmlformats.org/officeDocument/2006/relationships/image" Target="media/image123.emf"/><Relationship Id="rId224" Type="http://schemas.openxmlformats.org/officeDocument/2006/relationships/image" Target="media/image122.emf"/><Relationship Id="rId223" Type="http://schemas.openxmlformats.org/officeDocument/2006/relationships/image" Target="media/image121.emf"/><Relationship Id="rId222" Type="http://schemas.openxmlformats.org/officeDocument/2006/relationships/image" Target="media/image120.emf"/><Relationship Id="rId221" Type="http://schemas.openxmlformats.org/officeDocument/2006/relationships/image" Target="media/image119.emf"/><Relationship Id="rId220" Type="http://schemas.openxmlformats.org/officeDocument/2006/relationships/image" Target="media/image118.emf"/><Relationship Id="rId22" Type="http://schemas.openxmlformats.org/officeDocument/2006/relationships/footer" Target="footer19.xml"/><Relationship Id="rId219" Type="http://schemas.openxmlformats.org/officeDocument/2006/relationships/image" Target="media/image117.emf"/><Relationship Id="rId218" Type="http://schemas.openxmlformats.org/officeDocument/2006/relationships/image" Target="media/image116.emf"/><Relationship Id="rId217" Type="http://schemas.openxmlformats.org/officeDocument/2006/relationships/image" Target="media/image115.emf"/><Relationship Id="rId216" Type="http://schemas.openxmlformats.org/officeDocument/2006/relationships/image" Target="media/image114.emf"/><Relationship Id="rId215" Type="http://schemas.openxmlformats.org/officeDocument/2006/relationships/image" Target="media/image113.emf"/><Relationship Id="rId214" Type="http://schemas.openxmlformats.org/officeDocument/2006/relationships/image" Target="media/image112.emf"/><Relationship Id="rId213" Type="http://schemas.openxmlformats.org/officeDocument/2006/relationships/image" Target="media/image111.emf"/><Relationship Id="rId212" Type="http://schemas.openxmlformats.org/officeDocument/2006/relationships/image" Target="media/image110.emf"/><Relationship Id="rId211" Type="http://schemas.openxmlformats.org/officeDocument/2006/relationships/image" Target="media/image109.emf"/><Relationship Id="rId210" Type="http://schemas.openxmlformats.org/officeDocument/2006/relationships/image" Target="media/image108.emf"/><Relationship Id="rId21" Type="http://schemas.openxmlformats.org/officeDocument/2006/relationships/footer" Target="footer18.xml"/><Relationship Id="rId209" Type="http://schemas.openxmlformats.org/officeDocument/2006/relationships/image" Target="media/image107.emf"/><Relationship Id="rId208" Type="http://schemas.openxmlformats.org/officeDocument/2006/relationships/image" Target="media/image106.emf"/><Relationship Id="rId207" Type="http://schemas.openxmlformats.org/officeDocument/2006/relationships/oleObject" Target="embeddings/oleObject42.bin"/><Relationship Id="rId206" Type="http://schemas.openxmlformats.org/officeDocument/2006/relationships/image" Target="media/image105.emf"/><Relationship Id="rId205" Type="http://schemas.openxmlformats.org/officeDocument/2006/relationships/oleObject" Target="embeddings/oleObject41.bin"/><Relationship Id="rId204" Type="http://schemas.openxmlformats.org/officeDocument/2006/relationships/image" Target="media/image104.emf"/><Relationship Id="rId203" Type="http://schemas.openxmlformats.org/officeDocument/2006/relationships/oleObject" Target="embeddings/oleObject40.bin"/><Relationship Id="rId202" Type="http://schemas.openxmlformats.org/officeDocument/2006/relationships/image" Target="media/image103.emf"/><Relationship Id="rId201" Type="http://schemas.openxmlformats.org/officeDocument/2006/relationships/oleObject" Target="embeddings/oleObject39.bin"/><Relationship Id="rId200" Type="http://schemas.openxmlformats.org/officeDocument/2006/relationships/image" Target="media/image102.emf"/><Relationship Id="rId20" Type="http://schemas.openxmlformats.org/officeDocument/2006/relationships/footer" Target="footer17.xml"/><Relationship Id="rId2" Type="http://schemas.openxmlformats.org/officeDocument/2006/relationships/settings" Target="settings.xml"/><Relationship Id="rId199" Type="http://schemas.openxmlformats.org/officeDocument/2006/relationships/oleObject" Target="embeddings/oleObject38.bin"/><Relationship Id="rId198" Type="http://schemas.openxmlformats.org/officeDocument/2006/relationships/image" Target="media/image101.emf"/><Relationship Id="rId197" Type="http://schemas.openxmlformats.org/officeDocument/2006/relationships/oleObject" Target="embeddings/oleObject37.bin"/><Relationship Id="rId196" Type="http://schemas.openxmlformats.org/officeDocument/2006/relationships/image" Target="media/image100.emf"/><Relationship Id="rId195" Type="http://schemas.openxmlformats.org/officeDocument/2006/relationships/oleObject" Target="embeddings/oleObject36.bin"/><Relationship Id="rId194" Type="http://schemas.openxmlformats.org/officeDocument/2006/relationships/image" Target="media/image99.emf"/><Relationship Id="rId193" Type="http://schemas.openxmlformats.org/officeDocument/2006/relationships/oleObject" Target="embeddings/oleObject35.bin"/><Relationship Id="rId192" Type="http://schemas.openxmlformats.org/officeDocument/2006/relationships/image" Target="media/image98.emf"/><Relationship Id="rId191" Type="http://schemas.openxmlformats.org/officeDocument/2006/relationships/oleObject" Target="embeddings/oleObject34.bin"/><Relationship Id="rId190" Type="http://schemas.openxmlformats.org/officeDocument/2006/relationships/image" Target="media/image97.emf"/><Relationship Id="rId19" Type="http://schemas.openxmlformats.org/officeDocument/2006/relationships/footer" Target="footer16.xml"/><Relationship Id="rId189" Type="http://schemas.openxmlformats.org/officeDocument/2006/relationships/oleObject" Target="embeddings/oleObject33.bin"/><Relationship Id="rId188" Type="http://schemas.openxmlformats.org/officeDocument/2006/relationships/image" Target="media/image96.emf"/><Relationship Id="rId187" Type="http://schemas.openxmlformats.org/officeDocument/2006/relationships/oleObject" Target="embeddings/oleObject32.bin"/><Relationship Id="rId186" Type="http://schemas.openxmlformats.org/officeDocument/2006/relationships/image" Target="media/image95.emf"/><Relationship Id="rId185" Type="http://schemas.openxmlformats.org/officeDocument/2006/relationships/oleObject" Target="embeddings/oleObject31.bin"/><Relationship Id="rId184" Type="http://schemas.openxmlformats.org/officeDocument/2006/relationships/image" Target="media/image94.emf"/><Relationship Id="rId183" Type="http://schemas.openxmlformats.org/officeDocument/2006/relationships/oleObject" Target="embeddings/oleObject30.bin"/><Relationship Id="rId182" Type="http://schemas.openxmlformats.org/officeDocument/2006/relationships/image" Target="media/image93.emf"/><Relationship Id="rId181" Type="http://schemas.openxmlformats.org/officeDocument/2006/relationships/oleObject" Target="embeddings/oleObject29.bin"/><Relationship Id="rId180" Type="http://schemas.openxmlformats.org/officeDocument/2006/relationships/image" Target="media/image92.emf"/><Relationship Id="rId18" Type="http://schemas.openxmlformats.org/officeDocument/2006/relationships/footer" Target="footer15.xml"/><Relationship Id="rId179" Type="http://schemas.openxmlformats.org/officeDocument/2006/relationships/oleObject" Target="embeddings/oleObject28.bin"/><Relationship Id="rId178" Type="http://schemas.openxmlformats.org/officeDocument/2006/relationships/image" Target="media/image91.emf"/><Relationship Id="rId177" Type="http://schemas.openxmlformats.org/officeDocument/2006/relationships/oleObject" Target="embeddings/oleObject27.bin"/><Relationship Id="rId176" Type="http://schemas.openxmlformats.org/officeDocument/2006/relationships/image" Target="media/image90.emf"/><Relationship Id="rId175" Type="http://schemas.openxmlformats.org/officeDocument/2006/relationships/oleObject" Target="embeddings/oleObject26.bin"/><Relationship Id="rId174" Type="http://schemas.openxmlformats.org/officeDocument/2006/relationships/image" Target="media/image89.emf"/><Relationship Id="rId173" Type="http://schemas.openxmlformats.org/officeDocument/2006/relationships/oleObject" Target="embeddings/oleObject25.bin"/><Relationship Id="rId172" Type="http://schemas.openxmlformats.org/officeDocument/2006/relationships/image" Target="media/image88.emf"/><Relationship Id="rId171" Type="http://schemas.openxmlformats.org/officeDocument/2006/relationships/oleObject" Target="embeddings/oleObject24.bin"/><Relationship Id="rId170" Type="http://schemas.openxmlformats.org/officeDocument/2006/relationships/image" Target="media/image87.emf"/><Relationship Id="rId17" Type="http://schemas.openxmlformats.org/officeDocument/2006/relationships/footer" Target="footer14.xml"/><Relationship Id="rId169" Type="http://schemas.openxmlformats.org/officeDocument/2006/relationships/oleObject" Target="embeddings/oleObject23.bin"/><Relationship Id="rId168" Type="http://schemas.openxmlformats.org/officeDocument/2006/relationships/image" Target="media/image86.emf"/><Relationship Id="rId167" Type="http://schemas.openxmlformats.org/officeDocument/2006/relationships/oleObject" Target="embeddings/oleObject22.bin"/><Relationship Id="rId166" Type="http://schemas.openxmlformats.org/officeDocument/2006/relationships/image" Target="media/image85.emf"/><Relationship Id="rId165" Type="http://schemas.openxmlformats.org/officeDocument/2006/relationships/oleObject" Target="embeddings/oleObject21.bin"/><Relationship Id="rId164" Type="http://schemas.openxmlformats.org/officeDocument/2006/relationships/image" Target="media/image84.emf"/><Relationship Id="rId163" Type="http://schemas.openxmlformats.org/officeDocument/2006/relationships/oleObject" Target="embeddings/oleObject20.bin"/><Relationship Id="rId162" Type="http://schemas.openxmlformats.org/officeDocument/2006/relationships/image" Target="media/image83.emf"/><Relationship Id="rId161" Type="http://schemas.openxmlformats.org/officeDocument/2006/relationships/oleObject" Target="embeddings/oleObject19.bin"/><Relationship Id="rId160" Type="http://schemas.openxmlformats.org/officeDocument/2006/relationships/image" Target="media/image82.emf"/><Relationship Id="rId16" Type="http://schemas.openxmlformats.org/officeDocument/2006/relationships/footer" Target="footer13.xml"/><Relationship Id="rId159" Type="http://schemas.openxmlformats.org/officeDocument/2006/relationships/oleObject" Target="embeddings/oleObject18.bin"/><Relationship Id="rId158" Type="http://schemas.openxmlformats.org/officeDocument/2006/relationships/image" Target="media/image81.emf"/><Relationship Id="rId157" Type="http://schemas.openxmlformats.org/officeDocument/2006/relationships/oleObject" Target="embeddings/oleObject17.bin"/><Relationship Id="rId156" Type="http://schemas.openxmlformats.org/officeDocument/2006/relationships/image" Target="media/image80.emf"/><Relationship Id="rId155" Type="http://schemas.openxmlformats.org/officeDocument/2006/relationships/oleObject" Target="embeddings/oleObject16.bin"/><Relationship Id="rId154" Type="http://schemas.openxmlformats.org/officeDocument/2006/relationships/image" Target="media/image79.emf"/><Relationship Id="rId153" Type="http://schemas.openxmlformats.org/officeDocument/2006/relationships/oleObject" Target="embeddings/oleObject15.bin"/><Relationship Id="rId152" Type="http://schemas.openxmlformats.org/officeDocument/2006/relationships/image" Target="media/image78.emf"/><Relationship Id="rId151" Type="http://schemas.openxmlformats.org/officeDocument/2006/relationships/oleObject" Target="embeddings/oleObject14.bin"/><Relationship Id="rId150" Type="http://schemas.openxmlformats.org/officeDocument/2006/relationships/image" Target="media/image77.emf"/><Relationship Id="rId15" Type="http://schemas.openxmlformats.org/officeDocument/2006/relationships/footer" Target="footer12.xml"/><Relationship Id="rId149" Type="http://schemas.openxmlformats.org/officeDocument/2006/relationships/oleObject" Target="embeddings/oleObject13.bin"/><Relationship Id="rId148" Type="http://schemas.openxmlformats.org/officeDocument/2006/relationships/image" Target="media/image76.emf"/><Relationship Id="rId147" Type="http://schemas.openxmlformats.org/officeDocument/2006/relationships/oleObject" Target="embeddings/oleObject12.bin"/><Relationship Id="rId146" Type="http://schemas.openxmlformats.org/officeDocument/2006/relationships/image" Target="media/image75.emf"/><Relationship Id="rId145" Type="http://schemas.openxmlformats.org/officeDocument/2006/relationships/oleObject" Target="embeddings/oleObject11.bin"/><Relationship Id="rId144" Type="http://schemas.openxmlformats.org/officeDocument/2006/relationships/image" Target="media/image74.emf"/><Relationship Id="rId143" Type="http://schemas.openxmlformats.org/officeDocument/2006/relationships/oleObject" Target="embeddings/oleObject10.bin"/><Relationship Id="rId142" Type="http://schemas.openxmlformats.org/officeDocument/2006/relationships/image" Target="media/image73.emf"/><Relationship Id="rId141" Type="http://schemas.openxmlformats.org/officeDocument/2006/relationships/oleObject" Target="embeddings/oleObject9.bin"/><Relationship Id="rId140" Type="http://schemas.openxmlformats.org/officeDocument/2006/relationships/image" Target="media/image72.emf"/><Relationship Id="rId14" Type="http://schemas.openxmlformats.org/officeDocument/2006/relationships/footer" Target="footer11.xml"/><Relationship Id="rId139" Type="http://schemas.openxmlformats.org/officeDocument/2006/relationships/oleObject" Target="embeddings/oleObject8.bin"/><Relationship Id="rId138" Type="http://schemas.openxmlformats.org/officeDocument/2006/relationships/image" Target="media/image71.emf"/><Relationship Id="rId137" Type="http://schemas.openxmlformats.org/officeDocument/2006/relationships/oleObject" Target="embeddings/oleObject7.bin"/><Relationship Id="rId136" Type="http://schemas.openxmlformats.org/officeDocument/2006/relationships/image" Target="media/image70.emf"/><Relationship Id="rId135" Type="http://schemas.openxmlformats.org/officeDocument/2006/relationships/oleObject" Target="embeddings/oleObject6.bin"/><Relationship Id="rId134" Type="http://schemas.openxmlformats.org/officeDocument/2006/relationships/image" Target="media/image69.emf"/><Relationship Id="rId133" Type="http://schemas.openxmlformats.org/officeDocument/2006/relationships/oleObject" Target="embeddings/oleObject5.bin"/><Relationship Id="rId132" Type="http://schemas.openxmlformats.org/officeDocument/2006/relationships/image" Target="media/image68.emf"/><Relationship Id="rId131" Type="http://schemas.openxmlformats.org/officeDocument/2006/relationships/oleObject" Target="embeddings/oleObject4.bin"/><Relationship Id="rId130" Type="http://schemas.openxmlformats.org/officeDocument/2006/relationships/image" Target="media/image67.emf"/><Relationship Id="rId13" Type="http://schemas.openxmlformats.org/officeDocument/2006/relationships/footer" Target="footer10.xml"/><Relationship Id="rId129" Type="http://schemas.openxmlformats.org/officeDocument/2006/relationships/oleObject" Target="embeddings/oleObject3.bin"/><Relationship Id="rId128" Type="http://schemas.openxmlformats.org/officeDocument/2006/relationships/image" Target="media/image66.emf"/><Relationship Id="rId127" Type="http://schemas.openxmlformats.org/officeDocument/2006/relationships/oleObject" Target="embeddings/oleObject2.bin"/><Relationship Id="rId126" Type="http://schemas.openxmlformats.org/officeDocument/2006/relationships/image" Target="media/image65.emf"/><Relationship Id="rId125" Type="http://schemas.openxmlformats.org/officeDocument/2006/relationships/oleObject" Target="embeddings/oleObject1.bin"/><Relationship Id="rId124" Type="http://schemas.openxmlformats.org/officeDocument/2006/relationships/image" Target="media/image64.png"/><Relationship Id="rId123" Type="http://schemas.openxmlformats.org/officeDocument/2006/relationships/image" Target="media/image63.png"/><Relationship Id="rId122" Type="http://schemas.openxmlformats.org/officeDocument/2006/relationships/image" Target="media/image62.png"/><Relationship Id="rId121" Type="http://schemas.openxmlformats.org/officeDocument/2006/relationships/image" Target="media/image61.png"/><Relationship Id="rId120" Type="http://schemas.openxmlformats.org/officeDocument/2006/relationships/image" Target="media/image60.png"/><Relationship Id="rId12" Type="http://schemas.openxmlformats.org/officeDocument/2006/relationships/footer" Target="footer9.xml"/><Relationship Id="rId119" Type="http://schemas.openxmlformats.org/officeDocument/2006/relationships/image" Target="media/image59.png"/><Relationship Id="rId118" Type="http://schemas.openxmlformats.org/officeDocument/2006/relationships/image" Target="media/image58.png"/><Relationship Id="rId117" Type="http://schemas.openxmlformats.org/officeDocument/2006/relationships/image" Target="media/image57.png"/><Relationship Id="rId116" Type="http://schemas.openxmlformats.org/officeDocument/2006/relationships/image" Target="media/image56.png"/><Relationship Id="rId115" Type="http://schemas.openxmlformats.org/officeDocument/2006/relationships/image" Target="media/image55.png"/><Relationship Id="rId114" Type="http://schemas.openxmlformats.org/officeDocument/2006/relationships/image" Target="media/image54.png"/><Relationship Id="rId113" Type="http://schemas.openxmlformats.org/officeDocument/2006/relationships/image" Target="media/image53.png"/><Relationship Id="rId112" Type="http://schemas.openxmlformats.org/officeDocument/2006/relationships/image" Target="media/image52.png"/><Relationship Id="rId111" Type="http://schemas.openxmlformats.org/officeDocument/2006/relationships/image" Target="media/image51.png"/><Relationship Id="rId110" Type="http://schemas.openxmlformats.org/officeDocument/2006/relationships/image" Target="media/image50.png"/><Relationship Id="rId11" Type="http://schemas.openxmlformats.org/officeDocument/2006/relationships/footer" Target="footer8.xml"/><Relationship Id="rId109" Type="http://schemas.openxmlformats.org/officeDocument/2006/relationships/image" Target="media/image49.png"/><Relationship Id="rId108" Type="http://schemas.openxmlformats.org/officeDocument/2006/relationships/image" Target="media/image48.png"/><Relationship Id="rId107" Type="http://schemas.openxmlformats.org/officeDocument/2006/relationships/image" Target="media/image47.png"/><Relationship Id="rId106" Type="http://schemas.openxmlformats.org/officeDocument/2006/relationships/image" Target="media/image46.png"/><Relationship Id="rId105" Type="http://schemas.openxmlformats.org/officeDocument/2006/relationships/image" Target="media/image45.png"/><Relationship Id="rId104" Type="http://schemas.openxmlformats.org/officeDocument/2006/relationships/image" Target="media/image44.png"/><Relationship Id="rId103" Type="http://schemas.openxmlformats.org/officeDocument/2006/relationships/image" Target="media/image43.png"/><Relationship Id="rId102" Type="http://schemas.openxmlformats.org/officeDocument/2006/relationships/image" Target="media/image42.png"/><Relationship Id="rId101" Type="http://schemas.openxmlformats.org/officeDocument/2006/relationships/image" Target="media/image41.png"/><Relationship Id="rId100" Type="http://schemas.openxmlformats.org/officeDocument/2006/relationships/image" Target="media/image40.png"/><Relationship Id="rId10" Type="http://schemas.openxmlformats.org/officeDocument/2006/relationships/footer" Target="footer7.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admin\Desktop\2024&#24180;&#20915;&#31639;&#20844;&#24320;%20&#27784;&#21033;&#33778;\&#22270;&#34920;&#24037;&#20855;\&#20915;&#31639;&#22270;&#34920;(1)(1).et"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admin\Desktop\2024&#24180;&#20915;&#31639;&#20844;&#24320;%20&#27784;&#21033;&#33778;\&#22270;&#34920;&#24037;&#20855;\&#20915;&#31639;&#22270;&#34920;(1)(1).et"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admin\Desktop\2024&#24180;&#20915;&#31639;&#20844;&#24320;%20&#27784;&#21033;&#33778;\&#22270;&#34920;&#24037;&#20855;\&#20915;&#31639;&#22270;&#34920;(1)(1).et"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admin\Desktop\2024&#24180;&#20915;&#31639;&#20844;&#24320;%20&#27784;&#21033;&#33778;\&#22270;&#34920;&#24037;&#20855;\&#20915;&#31639;&#22270;&#34920;(1)(1).et"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admin\Desktop\2024&#24180;&#20915;&#31639;&#20844;&#24320;%20&#27784;&#21033;&#33778;\&#22270;&#34920;&#24037;&#20855;\&#20915;&#31639;&#22270;&#34920;(1)(1).et"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admin\Desktop\2024&#24180;&#20915;&#31639;&#20844;&#24320;%20&#27784;&#21033;&#33778;\&#22270;&#34920;&#24037;&#20855;\&#20915;&#31639;&#22270;&#34920;(1)(1).et"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admin\Desktop\2024&#24180;&#20915;&#31639;&#20844;&#24320;%20&#27784;&#21033;&#33778;\&#22270;&#34920;&#24037;&#20855;\&#20915;&#31639;&#22270;&#34920;(1)(1).et"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lgn="ctr" defTabSz="914400">
              <a:defRPr lang="zh-CN" sz="1200" b="0" i="0" u="none" strike="noStrike" kern="1200" spc="0" baseline="0">
                <a:solidFill>
                  <a:schemeClr val="tx1">
                    <a:lumMod val="65000"/>
                    <a:lumOff val="35000"/>
                  </a:schemeClr>
                </a:solidFill>
                <a:latin typeface="+mn-lt"/>
                <a:ea typeface="+mn-ea"/>
                <a:cs typeface="+mn-cs"/>
              </a:defRPr>
            </a:pPr>
            <a:r>
              <a:rPr altLang="en-US" sz="1200" b="0" i="0" u="none" strike="noStrike" baseline="0">
                <a:solidFill>
                  <a:srgbClr val="333333"/>
                </a:solidFill>
                <a:latin typeface="宋体" panose="02010600030101010101" charset="-122"/>
                <a:ea typeface="宋体" panose="02010600030101010101" charset="-122"/>
                <a:cs typeface="宋体" panose="02010600030101010101" charset="-122"/>
              </a:rPr>
              <a:t>收、支决算总计变动情况图 </a:t>
            </a:r>
            <a:r>
              <a:rPr lang="en-US" altLang="zh-CN" sz="1200" b="0" i="0" u="none" strike="noStrike" baseline="0">
                <a:solidFill>
                  <a:srgbClr val="333333"/>
                </a:solidFill>
                <a:latin typeface="宋体" panose="02010600030101010101" charset="-122"/>
                <a:ea typeface="宋体" panose="02010600030101010101" charset="-122"/>
                <a:cs typeface="宋体" panose="02010600030101010101" charset="-122"/>
              </a:rPr>
              <a:t>                 </a:t>
            </a:r>
            <a:endParaRPr altLang="en-US" sz="1200" b="0" i="0" u="none" strike="noStrike" baseline="0">
              <a:solidFill>
                <a:srgbClr val="000000"/>
              </a:solidFill>
              <a:effectLst/>
              <a:latin typeface="宋体" panose="02010600030101010101" charset="-122"/>
              <a:ea typeface="宋体" panose="02010600030101010101" charset="-122"/>
              <a:cs typeface="宋体" panose="02010600030101010101" charset="-122"/>
            </a:endParaRPr>
          </a:p>
        </c:rich>
      </c:tx>
      <c:layout>
        <c:manualLayout>
          <c:xMode val="edge"/>
          <c:yMode val="edge"/>
          <c:x val="0.26919332198985"/>
          <c:y val="0.015083213977778"/>
        </c:manualLayout>
      </c:layout>
      <c:overlay val="0"/>
    </c:title>
    <c:autoTitleDeleted val="0"/>
    <c:plotArea>
      <c:layout/>
      <c:barChart>
        <c:barDir val="col"/>
        <c:grouping val="clustered"/>
        <c:varyColors val="0"/>
        <c:ser>
          <c:idx val="0"/>
          <c:order val="0"/>
          <c:tx>
            <c:strRef>
              <c:f>'[决算图表(1)(1).et]Sheet1'!$E$5</c:f>
              <c:strCache>
                <c:ptCount val="1"/>
                <c:pt idx="0">
                  <c:v>2023年</c:v>
                </c:pt>
              </c:strCache>
            </c:strRef>
          </c:tx>
          <c:spPr>
            <a:solidFill>
              <a:schemeClr val="accent1"/>
            </a:solidFill>
            <a:ln>
              <a:noFill/>
            </a:ln>
            <a:effectLst/>
          </c:spPr>
          <c:invertIfNegative val="0"/>
          <c:dLbls>
            <c:numFmt formatCode="General" sourceLinked="1"/>
            <c:spPr>
              <a:noFill/>
              <a:ln>
                <a:noFill/>
              </a:ln>
              <a:effectLst/>
            </c:spPr>
            <c:txPr>
              <a:bodyPr rot="0" spcFirstLastPara="0" vertOverflow="ellipsis" horzOverflow="overflow"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'[决算图表(1)(1).et]Sheet1'!$F$4:$G$4</c:f>
              <c:strCache>
                <c:ptCount val="2"/>
                <c:pt idx="0">
                  <c:v>收入</c:v>
                </c:pt>
                <c:pt idx="1">
                  <c:v>支出</c:v>
                </c:pt>
              </c:strCache>
            </c:strRef>
          </c:cat>
          <c:val>
            <c:numRef>
              <c:f>'[决算图表(1)(1).et]Sheet1'!$F$5:$G$5</c:f>
              <c:numCache>
                <c:formatCode>#,##0.00</c:formatCode>
                <c:ptCount val="2"/>
                <c:pt idx="0">
                  <c:v>91061.39</c:v>
                </c:pt>
                <c:pt idx="1">
                  <c:v>91061.39</c:v>
                </c:pt>
              </c:numCache>
            </c:numRef>
          </c:val>
        </c:ser>
        <c:ser>
          <c:idx val="1"/>
          <c:order val="1"/>
          <c:tx>
            <c:strRef>
              <c:f>'[决算图表(1)(1).et]Sheet1'!$E$6</c:f>
              <c:strCache>
                <c:ptCount val="1"/>
                <c:pt idx="0">
                  <c:v>2024年</c:v>
                </c:pt>
              </c:strCache>
            </c:strRef>
          </c:tx>
          <c:spPr>
            <a:solidFill>
              <a:schemeClr val="accent2"/>
            </a:solidFill>
            <a:ln>
              <a:noFill/>
            </a:ln>
            <a:effectLst/>
          </c:spPr>
          <c:invertIfNegative val="0"/>
          <c:dLbls>
            <c:numFmt formatCode="General" sourceLinked="1"/>
            <c:spPr>
              <a:noFill/>
              <a:ln>
                <a:noFill/>
              </a:ln>
              <a:effectLst/>
            </c:spPr>
            <c:txPr>
              <a:bodyPr rot="0" spcFirstLastPara="0" vertOverflow="ellipsis" horzOverflow="overflow"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'[决算图表(1)(1).et]Sheet1'!$F$4:$G$4</c:f>
              <c:strCache>
                <c:ptCount val="2"/>
                <c:pt idx="0">
                  <c:v>收入</c:v>
                </c:pt>
                <c:pt idx="1">
                  <c:v>支出</c:v>
                </c:pt>
              </c:strCache>
            </c:strRef>
          </c:cat>
          <c:val>
            <c:numRef>
              <c:f>'[决算图表(1)(1).et]Sheet1'!$F$6:$G$6</c:f>
              <c:numCache>
                <c:formatCode>#,##0.00</c:formatCode>
                <c:ptCount val="2"/>
                <c:pt idx="0">
                  <c:v>94641.96</c:v>
                </c:pt>
                <c:pt idx="1">
                  <c:v>94641.96</c:v>
                </c:pt>
              </c:numCache>
            </c:numRef>
          </c:val>
        </c:ser>
        <c:dLbls>
          <c:showLegendKey val="0"/>
          <c:showVal val="0"/>
          <c:showCatName val="0"/>
          <c:showSerName val="0"/>
          <c:showPercent val="0"/>
          <c:showBubbleSize val="0"/>
        </c:dLbls>
        <c:gapWidth val="219"/>
        <c:overlap val="-27"/>
        <c:axId val="664740358"/>
        <c:axId val="795588287"/>
      </c:barChart>
      <c:catAx>
        <c:axId val="664740358"/>
        <c:scaling>
          <c:orientation val="minMax"/>
        </c:scaling>
        <c:delete val="0"/>
        <c:axPos val="b"/>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horzOverflow="overflow"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5588287"/>
        <c:crosses val="autoZero"/>
        <c:auto val="1"/>
        <c:lblAlgn val="ctr"/>
        <c:lblOffset val="100"/>
        <c:noMultiLvlLbl val="0"/>
      </c:catAx>
      <c:valAx>
        <c:axId val="795588287"/>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00" sourceLinked="1"/>
        <c:majorTickMark val="none"/>
        <c:minorTickMark val="none"/>
        <c:tickLblPos val="nextTo"/>
        <c:spPr>
          <a:noFill/>
          <a:ln w="6350" cap="flat" cmpd="sng" algn="ctr">
            <a:noFill/>
            <a:prstDash val="solid"/>
            <a:round/>
          </a:ln>
          <a:effectLst/>
        </c:spPr>
        <c:txPr>
          <a:bodyPr rot="-60000000" spcFirstLastPara="0" vertOverflow="ellipsis" horzOverflow="overflow"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664740358"/>
        <c:crosses val="autoZero"/>
        <c:crossBetween val="between"/>
      </c:valAx>
      <c:spPr>
        <a:noFill/>
        <a:ln>
          <a:noFill/>
        </a:ln>
        <a:effectLst/>
      </c:spPr>
    </c:plotArea>
    <c:legend>
      <c:legendPos val="r"/>
      <c:layout>
        <c:manualLayout>
          <c:xMode val="edge"/>
          <c:yMode val="edge"/>
          <c:x val="0.3875"/>
          <c:y val="0.9"/>
          <c:w val="0.222"/>
          <c:h val="0.07275"/>
        </c:manualLayout>
      </c:layout>
      <c:overlay val="0"/>
      <c:spPr>
        <a:noFill/>
        <a:ln>
          <a:noFill/>
        </a:ln>
        <a:effectLst/>
      </c:spPr>
      <c:txPr>
        <a:bodyPr rot="0" spcFirstLastPara="0" vertOverflow="ellipsis" horzOverflow="overflow"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rgbClr val="F9FBFA"/>
    </a:solidFill>
    <a:ln w="9525" cap="flat" cmpd="sng" algn="ctr">
      <a:solidFill>
        <a:schemeClr val="tx1">
          <a:lumMod val="15000"/>
          <a:lumOff val="85000"/>
        </a:schemeClr>
      </a:solidFill>
      <a:prstDash val="solid"/>
      <a:round/>
    </a:ln>
    <a:effectLst/>
  </c:spPr>
  <c:txPr>
    <a:bodyPr rot="0" spcFirstLastPara="0" vertOverflow="ellipsis" horzOverflow="overflow" vert="horz" wrap="square" anchor="ctr" anchorCtr="1"/>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t>收入决算结构图</a:t>
            </a:r>
            <a:endParaRPr sz="1400" b="0" i="0" u="none" strike="noStrike" baseline="0">
              <a:solidFill>
                <a:srgbClr val="595959">
                  <a:alpha val="100000"/>
                </a:srgbClr>
              </a:solidFill>
              <a:latin typeface="宋体" panose="02010600030101010101" charset="-122"/>
              <a:ea typeface="宋体" panose="02010600030101010101" charset="-122"/>
              <a:cs typeface="宋体" panose="02010600030101010101" charset="-122"/>
            </a:endParaRPr>
          </a:p>
        </c:rich>
      </c:tx>
      <c:layout>
        <c:manualLayout>
          <c:xMode val="edge"/>
          <c:yMode val="edge"/>
          <c:x val="0.415807809551459"/>
          <c:y val="0.0304709141274238"/>
        </c:manualLayout>
      </c:layout>
      <c:overlay val="0"/>
      <c:spPr>
        <a:noFill/>
        <a:ln>
          <a:noFill/>
        </a:ln>
        <a:effectLst/>
      </c:spPr>
    </c:title>
    <c:autoTitleDeleted val="0"/>
    <c:plotArea>
      <c:layout/>
      <c:pieChart>
        <c:varyColors val="1"/>
        <c:ser>
          <c:idx val="0"/>
          <c:order val="0"/>
          <c:explosion val="0"/>
          <c:dPt>
            <c:idx val="0"/>
            <c:bubble3D val="0"/>
            <c:explosion val="0"/>
            <c:spPr>
              <a:solidFill>
                <a:schemeClr val="accent1"/>
              </a:solidFill>
              <a:ln w="19050">
                <a:solidFill>
                  <a:schemeClr val="lt1"/>
                </a:solidFill>
              </a:ln>
              <a:effectLst/>
            </c:spPr>
          </c:dPt>
          <c:dPt>
            <c:idx val="1"/>
            <c:bubble3D val="0"/>
          </c:dPt>
          <c:dPt>
            <c:idx val="2"/>
            <c:bubble3D val="0"/>
          </c:dPt>
          <c:dPt>
            <c:idx val="3"/>
            <c:bubble3D val="0"/>
          </c:dPt>
          <c:dPt>
            <c:idx val="4"/>
            <c:bubble3D val="0"/>
          </c:dPt>
          <c:dPt>
            <c:idx val="5"/>
            <c:bubble3D val="0"/>
          </c:dPt>
          <c:dPt>
            <c:idx val="6"/>
            <c:bubble3D val="0"/>
          </c:dPt>
          <c:dPt>
            <c:idx val="7"/>
            <c:bubble3D val="0"/>
          </c:dPt>
          <c:dLbls>
            <c:dLbl>
              <c:idx val="0"/>
              <c:layout/>
              <c:numFmt formatCode="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bestFit"/>
              <c:showLegendKey val="0"/>
              <c:showVal val="1"/>
              <c:showCatName val="0"/>
              <c:showSerName val="0"/>
              <c:showPercent val="1"/>
              <c:showBubbleSize val="0"/>
              <c:extLst>
                <c:ext xmlns:c15="http://schemas.microsoft.com/office/drawing/2012/chart" uri="{CE6537A1-D6FC-4f65-9D91-7224C49458BB}"/>
              </c:extLst>
            </c:dLbl>
            <c:dLbl>
              <c:idx val="7"/>
              <c:layout>
                <c:manualLayout>
                  <c:x val="-0.185398202107718"/>
                  <c:y val="0.0228917766741783"/>
                </c:manualLayout>
              </c:layout>
              <c:dLblPos val="bestFit"/>
              <c:showLegendKey val="0"/>
              <c:showVal val="0"/>
              <c:showCatName val="0"/>
              <c:showSerName val="0"/>
              <c:showPercent val="1"/>
              <c:showBubbleSize val="0"/>
              <c:extLst>
                <c:ext xmlns:c15="http://schemas.microsoft.com/office/drawing/2012/chart" uri="{CE6537A1-D6FC-4f65-9D91-7224C49458BB}">
                  <c15:layout/>
                </c:ext>
              </c:extLst>
            </c:dLbl>
            <c:numFmt formatCode="0.0%" sourceLinked="0"/>
            <c:spPr>
              <a:noFill/>
              <a:ln w="3175">
                <a:noFill/>
              </a:ln>
              <a:effectLst/>
            </c:spPr>
            <c:txPr>
              <a:bodyPr rot="0" spcFirstLastPara="0" vertOverflow="ellipsis" vert="horz" wrap="square" lIns="38100" tIns="19050" rIns="38100" bIns="19050" anchor="ctr" anchorCtr="1"/>
              <a:lstStyle/>
              <a:p>
                <a:pPr>
                  <a:defRPr lang="zh-CN" sz="10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p>
            </c:txPr>
            <c:dLblPos val="bestFit"/>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rgbClr val="969696">
                          <a:alpha val="100000"/>
                        </a:srgbClr>
                      </a:solidFill>
                      <a:prstDash val="solid"/>
                      <a:round/>
                    </a:ln>
                  </c:spPr>
                </c15:leaderLines>
              </c:ext>
            </c:extLst>
          </c:dLbls>
          <c:cat>
            <c:strRef>
              <c:f>'[决算图表(1)(1).et]Sheet1'!$A$67:$A$74</c:f>
              <c:strCache>
                <c:ptCount val="8"/>
                <c:pt idx="0">
                  <c:v>一般公共预算财政拨款收入</c:v>
                </c:pt>
                <c:pt idx="1">
                  <c:v>政府性基金预算财政拨款收入</c:v>
                </c:pt>
                <c:pt idx="2">
                  <c:v>国有资本经营预算财政拨款收入</c:v>
                </c:pt>
                <c:pt idx="3">
                  <c:v>上级补助收入</c:v>
                </c:pt>
                <c:pt idx="4">
                  <c:v>事业收入</c:v>
                </c:pt>
                <c:pt idx="5">
                  <c:v>经营收入</c:v>
                </c:pt>
                <c:pt idx="6">
                  <c:v>附属单位上缴收入</c:v>
                </c:pt>
                <c:pt idx="7">
                  <c:v>其他收入</c:v>
                </c:pt>
              </c:strCache>
            </c:strRef>
          </c:cat>
          <c:val>
            <c:numRef>
              <c:f>'[决算图表(1)(1).et]Sheet1'!$B$67:$B$74</c:f>
              <c:numCache>
                <c:formatCode>#,##0.00</c:formatCode>
                <c:ptCount val="8"/>
                <c:pt idx="0">
                  <c:v>94440.62</c:v>
                </c:pt>
                <c:pt idx="7" c:formatCode="General">
                  <c:v>47.95</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legendEntry>
        <c:idx val="1"/>
        <c:delete val="1"/>
      </c:legendEntry>
      <c:legendEntry>
        <c:idx val="2"/>
        <c:delete val="1"/>
      </c:legendEntry>
      <c:legendEntry>
        <c:idx val="3"/>
        <c:delete val="1"/>
      </c:legendEntry>
      <c:legendEntry>
        <c:idx val="4"/>
        <c:delete val="1"/>
      </c:legendEntry>
      <c:legendEntry>
        <c:idx val="5"/>
        <c:delete val="1"/>
      </c:legendEntry>
      <c:legendEntry>
        <c:idx val="6"/>
        <c:delete val="1"/>
      </c:legendEntry>
      <c:layout>
        <c:manualLayout>
          <c:xMode val="edge"/>
          <c:yMode val="edge"/>
          <c:x val="0.0485"/>
          <c:y val="0.748"/>
          <c:w val="0.90275"/>
          <c:h val="0.228"/>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rgbClr val="F9FBFA"/>
    </a:solidFill>
    <a:ln w="9525" cap="flat" cmpd="sng" algn="ctr">
      <a:solidFill>
        <a:schemeClr val="tx1">
          <a:lumMod val="15000"/>
          <a:lumOff val="85000"/>
        </a:schemeClr>
      </a:solidFill>
      <a:prstDash val="solid"/>
      <a:round/>
    </a:ln>
    <a:effectLst/>
  </c:spPr>
  <c:txPr>
    <a:bodyPr wrap="square"/>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t>支出决算结构图</a:t>
            </a:r>
            <a:endParaRPr sz="1400" b="0" i="0" u="none" strike="noStrike" baseline="0">
              <a:solidFill>
                <a:srgbClr val="595959">
                  <a:alpha val="100000"/>
                </a:srgbClr>
              </a:solidFill>
              <a:latin typeface="宋体" panose="02010600030101010101" charset="-122"/>
              <a:ea typeface="宋体" panose="02010600030101010101" charset="-122"/>
              <a:cs typeface="宋体" panose="02010600030101010101" charset="-122"/>
            </a:endParaRPr>
          </a:p>
        </c:rich>
      </c:tx>
      <c:layout/>
      <c:overlay val="0"/>
      <c:spPr>
        <a:noFill/>
        <a:ln>
          <a:noFill/>
        </a:ln>
        <a:effectLst/>
      </c:spPr>
    </c:title>
    <c:autoTitleDeleted val="0"/>
    <c:plotArea>
      <c:layout/>
      <c:pieChart>
        <c:varyColors val="1"/>
        <c:ser>
          <c:idx val="0"/>
          <c:order val="0"/>
          <c:explosion val="0"/>
          <c:dPt>
            <c:idx val="0"/>
            <c:bubble3D val="0"/>
            <c:explosion val="0"/>
            <c:spPr>
              <a:solidFill>
                <a:schemeClr val="accent1"/>
              </a:solidFill>
              <a:ln w="19050">
                <a:solidFill>
                  <a:schemeClr val="lt1"/>
                </a:solidFill>
              </a:ln>
              <a:effectLst/>
            </c:spPr>
          </c:dPt>
          <c:dPt>
            <c:idx val="1"/>
            <c:bubble3D val="0"/>
            <c:explosion val="0"/>
            <c:spPr>
              <a:solidFill>
                <a:schemeClr val="accent2"/>
              </a:solidFill>
              <a:ln w="19050">
                <a:solidFill>
                  <a:schemeClr val="lt1"/>
                </a:solidFill>
              </a:ln>
              <a:effectLst/>
            </c:spPr>
          </c:dPt>
          <c:dLbls>
            <c:dLbl>
              <c:idx val="0"/>
              <c:layout>
                <c:manualLayout>
                  <c:x val="0.0250664024715757"/>
                  <c:y val="-0.112089154219107"/>
                </c:manualLayout>
              </c:layout>
              <c:numFmt formatCode="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bestFit"/>
              <c:showLegendKey val="0"/>
              <c:showVal val="1"/>
              <c:showCatName val="0"/>
              <c:showSerName val="0"/>
              <c:showPercent val="1"/>
              <c:showBubbleSize val="0"/>
              <c:extLst>
                <c:ext xmlns:c15="http://schemas.microsoft.com/office/drawing/2012/chart" uri="{CE6537A1-D6FC-4f65-9D91-7224C49458BB}">
                  <c15:layout/>
                </c:ext>
              </c:extLst>
            </c:dLbl>
            <c:dLbl>
              <c:idx val="1"/>
              <c:layout>
                <c:manualLayout>
                  <c:x val="-0.0535835052689752"/>
                  <c:y val="-0.111964614346612"/>
                </c:manualLayout>
              </c:layout>
              <c:numFmt formatCode="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bestFit"/>
              <c:showLegendKey val="0"/>
              <c:showVal val="1"/>
              <c:showCatName val="0"/>
              <c:showSerName val="0"/>
              <c:showPercent val="1"/>
              <c:showBubbleSize val="0"/>
              <c:extLst>
                <c:ext xmlns:c15="http://schemas.microsoft.com/office/drawing/2012/chart" uri="{CE6537A1-D6FC-4f65-9D91-7224C49458BB}">
                  <c15:layout/>
                </c:ext>
              </c:extLst>
            </c:dLbl>
            <c:numFmt formatCode="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rgbClr val="969696">
                          <a:alpha val="100000"/>
                        </a:srgbClr>
                      </a:solidFill>
                      <a:prstDash val="solid"/>
                      <a:round/>
                    </a:ln>
                  </c:spPr>
                </c15:leaderLines>
              </c:ext>
            </c:extLst>
          </c:dLbls>
          <c:cat>
            <c:strRef>
              <c:f>'[决算图表(1)(1).et]Sheet1'!$A$86:$A$87</c:f>
              <c:strCache>
                <c:ptCount val="2"/>
                <c:pt idx="0">
                  <c:v>基本支出</c:v>
                </c:pt>
                <c:pt idx="1">
                  <c:v>项目支出</c:v>
                </c:pt>
              </c:strCache>
            </c:strRef>
          </c:cat>
          <c:val>
            <c:numRef>
              <c:f>'[决算图表(1)(1).et]Sheet1'!$B$86:$B$87</c:f>
              <c:numCache>
                <c:formatCode>#,##0.00</c:formatCode>
                <c:ptCount val="2"/>
                <c:pt idx="0">
                  <c:v>44596.38</c:v>
                </c:pt>
                <c:pt idx="1">
                  <c:v>49883.81</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0583158914728682"/>
          <c:y val="0.847431818181818"/>
          <c:w val="0.91"/>
          <c:h val="0.132"/>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rgbClr val="F9FBFA"/>
    </a:solidFill>
    <a:ln w="9525" cap="flat" cmpd="sng" algn="ctr">
      <a:solidFill>
        <a:schemeClr val="tx1">
          <a:lumMod val="15000"/>
          <a:lumOff val="85000"/>
        </a:schemeClr>
      </a:solidFill>
      <a:prstDash val="solid"/>
      <a:round/>
    </a:ln>
    <a:effectLst/>
  </c:spPr>
  <c:txPr>
    <a:bodyPr wrap="square"/>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rPr sz="1400" b="0" i="0" u="none" strike="noStrike" baseline="0">
                <a:solidFill>
                  <a:srgbClr val="333333"/>
                </a:solidFill>
                <a:latin typeface="宋体" panose="02010600030101010101" charset="-122"/>
                <a:ea typeface="宋体" panose="02010600030101010101" charset="-122"/>
                <a:cs typeface="宋体" panose="02010600030101010101" charset="-122"/>
              </a:rPr>
              <a:t>财政拨款收、支决算总计变动情况图</a:t>
            </a:r>
            <a:endParaRPr sz="1400" b="0" i="0" u="none" strike="noStrike" baseline="0">
              <a:solidFill>
                <a:srgbClr val="333333"/>
              </a:solidFill>
              <a:latin typeface="宋体" panose="02010600030101010101" charset="-122"/>
              <a:ea typeface="宋体" panose="02010600030101010101" charset="-122"/>
              <a:cs typeface="宋体" panose="02010600030101010101" charset="-122"/>
            </a:endParaRPr>
          </a:p>
          <a:p>
            <a:pPr defTabSz="914400">
              <a:defRPr lang="zh-CN" sz="1400" b="0" i="0" u="none" strike="noStrike" kern="1200" spc="0" baseline="0">
                <a:solidFill>
                  <a:schemeClr val="tx1">
                    <a:lumMod val="65000"/>
                    <a:lumOff val="35000"/>
                  </a:schemeClr>
                </a:solidFill>
                <a:latin typeface="+mn-lt"/>
                <a:ea typeface="+mn-ea"/>
                <a:cs typeface="+mn-cs"/>
              </a:defRPr>
            </a:pPr>
            <a:endParaRPr lang="en-US" altLang="zh-CN" sz="1200" b="0" i="0" u="none" strike="noStrike" baseline="0">
              <a:solidFill>
                <a:srgbClr val="000000"/>
              </a:solidFill>
              <a:latin typeface="宋体" panose="02010600030101010101" charset="-122"/>
              <a:ea typeface="宋体" panose="02010600030101010101" charset="-122"/>
              <a:cs typeface="宋体" panose="02010600030101010101" charset="-122"/>
            </a:endParaRPr>
          </a:p>
        </c:rich>
      </c:tx>
      <c:layout/>
      <c:overlay val="0"/>
      <c:spPr>
        <a:noFill/>
        <a:ln>
          <a:noFill/>
        </a:ln>
        <a:effectLst/>
      </c:spPr>
    </c:title>
    <c:autoTitleDeleted val="0"/>
    <c:plotArea>
      <c:layout>
        <c:manualLayout>
          <c:layoutTarget val="inner"/>
          <c:xMode val="edge"/>
          <c:yMode val="edge"/>
          <c:x val="0.0701105045932632"/>
          <c:y val="0.205156950672646"/>
          <c:w val="0.899001464518706"/>
          <c:h val="0.619843049327354"/>
        </c:manualLayout>
      </c:layout>
      <c:barChart>
        <c:barDir val="col"/>
        <c:grouping val="clustered"/>
        <c:varyColors val="0"/>
        <c:ser>
          <c:idx val="0"/>
          <c:order val="0"/>
          <c:tx>
            <c:strRef>
              <c:f>'[决算图表(1)(1).et]Sheet1'!$E$35</c:f>
              <c:strCache>
                <c:ptCount val="1"/>
                <c:pt idx="0">
                  <c:v>收入</c:v>
                </c:pt>
              </c:strCache>
            </c:strRef>
          </c:tx>
          <c:spPr>
            <a:solidFill>
              <a:schemeClr val="accent1"/>
            </a:solidFill>
            <a:ln>
              <a:noFill/>
            </a:ln>
            <a:effectLst/>
          </c:spPr>
          <c:invertIfNegative val="0"/>
          <c:dLbls>
            <c:dLbl>
              <c:idx val="0"/>
              <c:layout>
                <c:manualLayout>
                  <c:x val="-0.0314766239777812"/>
                  <c:y val="0"/>
                </c:manualLayout>
              </c:layout>
              <c:numFmt formatCode="General" sourceLinked="1"/>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extLst>
                <c:ext xmlns:c15="http://schemas.microsoft.com/office/drawing/2012/chart" uri="{CE6537A1-D6FC-4f65-9D91-7224C49458BB}">
                  <c15:layout/>
                </c:ext>
              </c:extLst>
            </c:dLbl>
            <c:numFmt formatCode="General" sourceLinked="1"/>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'[决算图表(1)(1).et]Sheet1'!$D$36:$D$38</c:f>
              <c:strCache>
                <c:ptCount val="3"/>
                <c:pt idx="0">
                  <c:v>2023年</c:v>
                </c:pt>
                <c:pt idx="1">
                  <c:v>2024年</c:v>
                </c:pt>
              </c:strCache>
            </c:strRef>
          </c:cat>
          <c:val>
            <c:numRef>
              <c:f>'[决算图表(1)(1).et]Sheet1'!$E$36:$E$38</c:f>
              <c:numCache>
                <c:formatCode>General</c:formatCode>
                <c:ptCount val="3"/>
                <c:pt idx="0">
                  <c:v>91050.12</c:v>
                </c:pt>
                <c:pt idx="1" c:formatCode="#,##0.00">
                  <c:v>94582.73</c:v>
                </c:pt>
              </c:numCache>
            </c:numRef>
          </c:val>
        </c:ser>
        <c:ser>
          <c:idx val="1"/>
          <c:order val="1"/>
          <c:tx>
            <c:strRef>
              <c:f>'[决算图表(1)(1).et]Sheet1'!$F$35</c:f>
              <c:strCache>
                <c:ptCount val="1"/>
                <c:pt idx="0">
                  <c:v>支出</c:v>
                </c:pt>
              </c:strCache>
            </c:strRef>
          </c:tx>
          <c:spPr>
            <a:solidFill>
              <a:schemeClr val="accent2"/>
            </a:solidFill>
            <a:ln>
              <a:noFill/>
            </a:ln>
            <a:effectLst/>
          </c:spPr>
          <c:invertIfNegative val="0"/>
          <c:dLbls>
            <c:dLbl>
              <c:idx val="0"/>
              <c:layout>
                <c:manualLayout>
                  <c:x val="0.0370313223268014"/>
                  <c:y val="0.00524704853519895"/>
                </c:manualLayout>
              </c:layout>
              <c:numFmt formatCode="General" sourceLinked="1"/>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555469834902021"/>
                  <c:y val="-0.00787057280279843"/>
                </c:manualLayout>
              </c:layout>
              <c:numFmt formatCode="General" sourceLinked="1"/>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extLst>
                <c:ext xmlns:c15="http://schemas.microsoft.com/office/drawing/2012/chart" uri="{CE6537A1-D6FC-4f65-9D91-7224C49458BB}">
                  <c15:layout/>
                </c:ext>
              </c:extLst>
            </c:dLbl>
            <c:numFmt formatCode="General" sourceLinked="1"/>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'[决算图表(1)(1).et]Sheet1'!$D$36:$D$38</c:f>
              <c:strCache>
                <c:ptCount val="3"/>
                <c:pt idx="0">
                  <c:v>2023年</c:v>
                </c:pt>
                <c:pt idx="1">
                  <c:v>2024年</c:v>
                </c:pt>
              </c:strCache>
            </c:strRef>
          </c:cat>
          <c:val>
            <c:numRef>
              <c:f>'[决算图表(1)(1).et]Sheet1'!$F$36:$F$38</c:f>
              <c:numCache>
                <c:formatCode>General</c:formatCode>
                <c:ptCount val="3"/>
                <c:pt idx="0">
                  <c:v>91050.12</c:v>
                </c:pt>
                <c:pt idx="1" c:formatCode="#,##0.00">
                  <c:v>94582.73</c:v>
                </c:pt>
              </c:numCache>
            </c:numRef>
          </c:val>
        </c:ser>
        <c:dLbls>
          <c:showLegendKey val="0"/>
          <c:showVal val="0"/>
          <c:showCatName val="0"/>
          <c:showSerName val="0"/>
          <c:showPercent val="0"/>
          <c:showBubbleSize val="0"/>
        </c:dLbls>
        <c:gapWidth val="219"/>
        <c:overlap val="-27"/>
        <c:axId val="209386718"/>
        <c:axId val="304133532"/>
      </c:barChart>
      <c:catAx>
        <c:axId val="209386718"/>
        <c:scaling>
          <c:orientation val="minMax"/>
        </c:scaling>
        <c:delete val="0"/>
        <c:axPos val="b"/>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04133532"/>
        <c:crosses val="autoZero"/>
        <c:auto val="1"/>
        <c:lblAlgn val="ctr"/>
        <c:lblOffset val="100"/>
        <c:noMultiLvlLbl val="0"/>
      </c:catAx>
      <c:valAx>
        <c:axId val="304133532"/>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6350" cap="flat" cmpd="sng" algn="ctr">
            <a:no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9386718"/>
        <c:crosses val="autoZero"/>
        <c:crossBetween val="between"/>
      </c:valAx>
      <c:spPr>
        <a:noFill/>
        <a:ln>
          <a:noFill/>
        </a:ln>
        <a:effectLst/>
      </c:spPr>
    </c:plotArea>
    <c:legend>
      <c:legendPos val="b"/>
      <c:layout>
        <c:manualLayout>
          <c:xMode val="edge"/>
          <c:yMode val="edge"/>
          <c:x val="0.4035"/>
          <c:y val="0.90075"/>
          <c:w val="0.1925"/>
          <c:h val="0.07275"/>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rgbClr val="F9FBFA"/>
    </a:solidFill>
    <a:ln w="9525" cap="flat" cmpd="sng" algn="ctr">
      <a:noFill/>
      <a:prstDash val="solid"/>
      <a:round/>
    </a:ln>
    <a:effectLst/>
  </c:spPr>
  <c:txPr>
    <a:bodyPr wrap="square"/>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lgn="ctr" defTabSz="914400">
              <a:defRPr lang="zh-CN" sz="1400" b="0" i="0" u="none" strike="noStrike" kern="1200" spc="0" baseline="0">
                <a:solidFill>
                  <a:sysClr val="windowText" lastClr="000000"/>
                </a:solidFill>
                <a:latin typeface="宋体" panose="02010600030101010101" charset="-122"/>
                <a:ea typeface="宋体" panose="02010600030101010101" charset="-122"/>
                <a:cs typeface="宋体" panose="02010600030101010101" charset="-122"/>
                <a:sym typeface="宋体" panose="02010600030101010101" charset="-122"/>
              </a:defRPr>
            </a:pPr>
            <a:r>
              <a:rPr sz="1400" b="0" i="0" u="none" strike="noStrike" baseline="0">
                <a:solidFill>
                  <a:srgbClr val="000000"/>
                </a:solidFill>
                <a:latin typeface="宋体" panose="02010600030101010101" charset="-122"/>
                <a:ea typeface="宋体" panose="02010600030101010101" charset="-122"/>
                <a:cs typeface="宋体" panose="02010600030101010101" charset="-122"/>
                <a:sym typeface="宋体" panose="02010600030101010101" charset="-122"/>
              </a:rPr>
              <a:t>一般公共预算财政拨款支出决算变动情况</a:t>
            </a:r>
            <a:endParaRPr sz="1400" b="0" i="0" u="none" strike="noStrike" baseline="0">
              <a:solidFill>
                <a:srgbClr val="000000"/>
              </a:solidFill>
              <a:latin typeface="宋体" panose="02010600030101010101" charset="-122"/>
              <a:ea typeface="宋体" panose="02010600030101010101" charset="-122"/>
              <a:cs typeface="宋体" panose="02010600030101010101" charset="-122"/>
              <a:sym typeface="宋体" panose="02010600030101010101" charset="-122"/>
            </a:endParaRPr>
          </a:p>
          <a:p>
            <a:pPr algn="ctr" defTabSz="914400">
              <a:defRPr lang="zh-CN" sz="1400" b="0" i="0" u="none" strike="noStrike" kern="1200" spc="0" baseline="0">
                <a:solidFill>
                  <a:sysClr val="windowText" lastClr="000000"/>
                </a:solidFill>
                <a:latin typeface="宋体" panose="02010600030101010101" charset="-122"/>
                <a:ea typeface="宋体" panose="02010600030101010101" charset="-122"/>
                <a:cs typeface="宋体" panose="02010600030101010101" charset="-122"/>
                <a:sym typeface="宋体" panose="02010600030101010101" charset="-122"/>
              </a:defRPr>
            </a:pPr>
            <a:endParaRPr sz="1200" b="0" i="0" u="none" strike="noStrike" baseline="0">
              <a:solidFill>
                <a:srgbClr val="000000"/>
              </a:solidFill>
              <a:effectLst/>
              <a:latin typeface="宋体" panose="02010600030101010101" charset="-122"/>
              <a:ea typeface="宋体" panose="02010600030101010101" charset="-122"/>
              <a:cs typeface="宋体" panose="02010600030101010101" charset="-122"/>
              <a:sym typeface="宋体" panose="02010600030101010101" charset="-122"/>
            </a:endParaRPr>
          </a:p>
        </c:rich>
      </c:tx>
      <c:layout>
        <c:manualLayout>
          <c:xMode val="edge"/>
          <c:yMode val="edge"/>
          <c:x val="0.161259308956127"/>
          <c:y val="0.0436984880782112"/>
        </c:manualLayout>
      </c:layout>
      <c:overlay val="0"/>
    </c:title>
    <c:autoTitleDeleted val="0"/>
    <c:plotArea>
      <c:layout/>
      <c:barChart>
        <c:barDir val="col"/>
        <c:grouping val="clustered"/>
        <c:varyColors val="0"/>
        <c:ser>
          <c:idx val="0"/>
          <c:order val="0"/>
          <c:tx>
            <c:strRef>
              <c:f>'[决算图表(1)(1).et]Sheet1'!$A$111</c:f>
              <c:strCache>
                <c:ptCount val="1"/>
                <c:pt idx="0">
                  <c:v>支出</c:v>
                </c:pt>
              </c:strCache>
            </c:strRef>
          </c:tx>
          <c:spPr>
            <a:solidFill>
              <a:schemeClr val="accent1"/>
            </a:solidFill>
            <a:ln>
              <a:noFill/>
            </a:ln>
            <a:effectLst/>
          </c:spPr>
          <c:invertIfNegative val="0"/>
          <c:dPt>
            <c:idx val="0"/>
            <c:invertIfNegative val="0"/>
            <c:bubble3D val="0"/>
            <c:explosion val="0"/>
            <c:spPr>
              <a:solidFill>
                <a:srgbClr val="C00000"/>
              </a:solidFill>
              <a:ln>
                <a:noFill/>
              </a:ln>
              <a:effectLst/>
            </c:spPr>
          </c:dPt>
          <c:dLbls>
            <c:numFmt formatCode="General" sourceLinked="1"/>
            <c:spPr>
              <a:noFill/>
              <a:ln>
                <a:noFill/>
              </a:ln>
              <a:effectLst/>
            </c:spPr>
            <c:txPr>
              <a:bodyPr rot="0" spcFirstLastPara="0" vertOverflow="ellipsis" horzOverflow="overflow" vert="horz" wrap="square" lIns="38100" tIns="19050" rIns="38100" bIns="19050" anchor="ctr" anchorCtr="1"/>
              <a:lstStyle/>
              <a:p>
                <a:pPr>
                  <a:defRPr lang="zh-CN" sz="900" b="0" i="0" u="none" strike="noStrike" kern="1200" baseline="0">
                    <a:solidFill>
                      <a:sysClr val="windowText" lastClr="000000"/>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'[决算图表(1)(1).et]Sheet1'!$B$110:$C$110</c:f>
              <c:strCache>
                <c:ptCount val="2"/>
                <c:pt idx="0">
                  <c:v>2023年</c:v>
                </c:pt>
                <c:pt idx="1">
                  <c:v>2024年</c:v>
                </c:pt>
              </c:strCache>
            </c:strRef>
          </c:cat>
          <c:val>
            <c:numRef>
              <c:f>'[决算图表(1)(1).et]Sheet1'!$B$111:$C$111</c:f>
              <c:numCache>
                <c:formatCode>#,##0.00</c:formatCode>
                <c:ptCount val="2"/>
                <c:pt idx="0">
                  <c:v>90908.01</c:v>
                </c:pt>
                <c:pt idx="1">
                  <c:v>94452.92</c:v>
                </c:pt>
              </c:numCache>
            </c:numRef>
          </c:val>
        </c:ser>
        <c:dLbls>
          <c:showLegendKey val="0"/>
          <c:showVal val="0"/>
          <c:showCatName val="0"/>
          <c:showSerName val="0"/>
          <c:showPercent val="0"/>
          <c:showBubbleSize val="0"/>
        </c:dLbls>
        <c:gapWidth val="219"/>
        <c:overlap val="-27"/>
        <c:axId val="853039484"/>
        <c:axId val="334046784"/>
      </c:barChart>
      <c:catAx>
        <c:axId val="853039484"/>
        <c:scaling>
          <c:orientation val="minMax"/>
        </c:scaling>
        <c:delete val="0"/>
        <c:axPos val="b"/>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horzOverflow="overflow" vert="horz" wrap="square" anchor="ctr" anchorCtr="1"/>
          <a:lstStyle/>
          <a:p>
            <a:pPr>
              <a:defRPr lang="zh-CN" sz="900" b="0" i="0" u="none" strike="noStrike" kern="1200" baseline="0">
                <a:solidFill>
                  <a:sysClr val="windowText" lastClr="000000"/>
                </a:solidFill>
                <a:latin typeface="+mn-lt"/>
                <a:ea typeface="+mn-ea"/>
                <a:cs typeface="+mn-cs"/>
              </a:defRPr>
            </a:pPr>
          </a:p>
        </c:txPr>
        <c:crossAx val="334046784"/>
        <c:crosses val="autoZero"/>
        <c:auto val="1"/>
        <c:lblAlgn val="ctr"/>
        <c:lblOffset val="100"/>
        <c:noMultiLvlLbl val="0"/>
      </c:catAx>
      <c:valAx>
        <c:axId val="334046784"/>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00" sourceLinked="1"/>
        <c:majorTickMark val="none"/>
        <c:minorTickMark val="none"/>
        <c:tickLblPos val="nextTo"/>
        <c:spPr>
          <a:noFill/>
          <a:ln w="6350" cap="flat" cmpd="sng" algn="ctr">
            <a:noFill/>
            <a:prstDash val="solid"/>
            <a:round/>
          </a:ln>
          <a:effectLst/>
        </c:spPr>
        <c:txPr>
          <a:bodyPr rot="-60000000" spcFirstLastPara="0" vertOverflow="ellipsis" horzOverflow="overflow" vert="horz" wrap="square" anchor="ctr" anchorCtr="1"/>
          <a:lstStyle/>
          <a:p>
            <a:pPr>
              <a:defRPr lang="zh-CN" sz="900" b="0" i="0" u="none" strike="noStrike" kern="1200" baseline="0">
                <a:solidFill>
                  <a:sysClr val="windowText" lastClr="000000"/>
                </a:solidFill>
                <a:latin typeface="+mn-lt"/>
                <a:ea typeface="+mn-ea"/>
                <a:cs typeface="+mn-cs"/>
              </a:defRPr>
            </a:pPr>
          </a:p>
        </c:txPr>
        <c:crossAx val="853039484"/>
        <c:crosses val="autoZero"/>
        <c:crossBetween val="between"/>
      </c:valAx>
      <c:spPr>
        <a:noFill/>
        <a:ln>
          <a:noFill/>
        </a:ln>
        <a:effectLst/>
      </c:spPr>
    </c:plotArea>
    <c:plotVisOnly val="1"/>
    <c:dispBlanksAs val="gap"/>
    <c:showDLblsOverMax val="0"/>
  </c:chart>
  <c:spPr>
    <a:solidFill>
      <a:srgbClr val="F9FBFA"/>
    </a:solidFill>
    <a:ln w="9525" cap="flat" cmpd="sng" algn="ctr">
      <a:solidFill>
        <a:schemeClr val="tx1">
          <a:lumMod val="15000"/>
          <a:lumOff val="85000"/>
        </a:schemeClr>
      </a:solidFill>
      <a:prstDash val="solid"/>
      <a:round/>
    </a:ln>
    <a:effectLst/>
  </c:spPr>
  <c:txPr>
    <a:bodyPr rot="0" spcFirstLastPara="0" vertOverflow="ellipsis" horzOverflow="overflow" vert="horz" wrap="square" anchor="ctr" anchorCtr="1"/>
    <a:lstStyle/>
    <a:p>
      <a:pPr>
        <a:defRPr lang="zh-CN">
          <a:solidFill>
            <a:sysClr val="windowText" lastClr="000000"/>
          </a:solidFill>
        </a:defRPr>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rPr sz="1400" b="0" i="0" u="none" strike="noStrike" baseline="0">
                <a:solidFill>
                  <a:srgbClr val="333333"/>
                </a:solidFill>
                <a:latin typeface="宋体" panose="02010600030101010101" charset="-122"/>
                <a:ea typeface="宋体" panose="02010600030101010101" charset="-122"/>
                <a:cs typeface="宋体" panose="02010600030101010101" charset="-122"/>
              </a:rPr>
              <a:t>一般公共预算财政拨款支出决算结构图</a:t>
            </a:r>
            <a:endParaRPr sz="1200" b="0" i="0" u="none" strike="noStrike" baseline="0">
              <a:solidFill>
                <a:srgbClr val="000000"/>
              </a:solidFill>
              <a:latin typeface="宋体" panose="02010600030101010101" charset="-122"/>
              <a:ea typeface="宋体" panose="02010600030101010101" charset="-122"/>
              <a:cs typeface="宋体" panose="02010600030101010101" charset="-122"/>
            </a:endParaRPr>
          </a:p>
        </c:rich>
      </c:tx>
      <c:layout>
        <c:manualLayout>
          <c:xMode val="edge"/>
          <c:yMode val="edge"/>
          <c:x val="0.197036613471771"/>
          <c:y val="0.0141911069063387"/>
        </c:manualLayout>
      </c:layout>
      <c:overlay val="0"/>
      <c:spPr>
        <a:noFill/>
        <a:ln>
          <a:noFill/>
        </a:ln>
        <a:effectLst/>
      </c:spPr>
    </c:title>
    <c:autoTitleDeleted val="0"/>
    <c:plotArea>
      <c:layout>
        <c:manualLayout>
          <c:layoutTarget val="inner"/>
          <c:xMode val="edge"/>
          <c:yMode val="edge"/>
          <c:x val="0.331718502899315"/>
          <c:y val="0.285950196592398"/>
          <c:w val="0.33260938323669"/>
          <c:h val="0.55129750982962"/>
        </c:manualLayout>
      </c:layout>
      <c:pieChart>
        <c:varyColors val="1"/>
        <c:ser>
          <c:idx val="0"/>
          <c:order val="0"/>
          <c:explosion val="0"/>
          <c:dPt>
            <c:idx val="0"/>
            <c:bubble3D val="0"/>
            <c:explosion val="0"/>
            <c:spPr>
              <a:solidFill>
                <a:schemeClr val="accent1"/>
              </a:solidFill>
              <a:ln w="19050">
                <a:solidFill>
                  <a:schemeClr val="lt1"/>
                </a:solidFill>
              </a:ln>
              <a:effectLst/>
            </c:spPr>
          </c:dPt>
          <c:dPt>
            <c:idx val="1"/>
            <c:bubble3D val="0"/>
            <c:explosion val="0"/>
            <c:spPr>
              <a:solidFill>
                <a:schemeClr val="accent2"/>
              </a:solidFill>
              <a:ln w="19050">
                <a:solidFill>
                  <a:schemeClr val="lt1"/>
                </a:solidFill>
              </a:ln>
              <a:effectLst/>
            </c:spPr>
          </c:dPt>
          <c:dPt>
            <c:idx val="2"/>
            <c:bubble3D val="0"/>
            <c:explosion val="0"/>
            <c:spPr>
              <a:solidFill>
                <a:schemeClr val="accent3"/>
              </a:solidFill>
              <a:ln w="19050">
                <a:solidFill>
                  <a:schemeClr val="lt1"/>
                </a:solidFill>
              </a:ln>
              <a:effectLst/>
            </c:spPr>
          </c:dPt>
          <c:dPt>
            <c:idx val="3"/>
            <c:bubble3D val="0"/>
            <c:explosion val="0"/>
            <c:spPr>
              <a:solidFill>
                <a:schemeClr val="accent4"/>
              </a:solidFill>
              <a:ln w="19050">
                <a:solidFill>
                  <a:schemeClr val="lt1"/>
                </a:solidFill>
              </a:ln>
              <a:effectLst/>
            </c:spPr>
          </c:dPt>
          <c:dPt>
            <c:idx val="4"/>
            <c:bubble3D val="0"/>
          </c:dPt>
          <c:dPt>
            <c:idx val="5"/>
            <c:bubble3D val="0"/>
          </c:dPt>
          <c:dLbls>
            <c:dLbl>
              <c:idx val="0"/>
              <c:layout>
                <c:manualLayout>
                  <c:x val="0.0100165034277495"/>
                  <c:y val="-0.0548662458845492"/>
                </c:manualLayout>
              </c:layout>
              <c:tx>
                <c:rich>
                  <a:bodyPr rot="0" spcFirstLastPara="0" vertOverflow="ellipsis" vert="horz" wrap="square" lIns="38100" tIns="19050" rIns="38100" bIns="19050" anchor="ctr" anchorCtr="1"/>
                  <a:lstStyle/>
                  <a:p>
                    <a:pPr defTabSz="914400">
                      <a:defRPr lang="zh-CN" sz="900" b="0" i="0" u="none" strike="noStrike" kern="1200" baseline="0">
                        <a:solidFill>
                          <a:schemeClr val="tx1">
                            <a:lumMod val="75000"/>
                            <a:lumOff val="25000"/>
                          </a:schemeClr>
                        </a:solidFill>
                        <a:latin typeface="+mn-lt"/>
                        <a:ea typeface="+mn-ea"/>
                        <a:cs typeface="+mn-cs"/>
                      </a:defRPr>
                    </a:pPr>
                    <a:r>
                      <a:t>5,275.9, 5.</a:t>
                    </a:r>
                    <a:r>
                      <a:rPr lang="en-US" altLang="zh-CN"/>
                      <a:t>6</a:t>
                    </a:r>
                    <a:r>
                      <a:t>%</a:t>
                    </a:r>
                  </a:p>
                </c:rich>
              </c:tx>
              <c:numFmt formatCode="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bestFit"/>
              <c:showLegendKey val="0"/>
              <c:showVal val="1"/>
              <c:showCatName val="0"/>
              <c:showSerName val="0"/>
              <c:showPercent val="1"/>
              <c:showBubbleSize val="0"/>
              <c:extLst>
                <c:ext xmlns:c15="http://schemas.microsoft.com/office/drawing/2012/chart" uri="{CE6537A1-D6FC-4f65-9D91-7224C49458BB}">
                  <c15:layout/>
                </c:ext>
              </c:extLst>
            </c:dLbl>
            <c:dLbl>
              <c:idx val="1"/>
              <c:layout>
                <c:manualLayout>
                  <c:x val="0.112031923067344"/>
                  <c:y val="0.00357532508053256"/>
                </c:manualLayout>
              </c:layout>
              <c:numFmt formatCode="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bestFit"/>
              <c:showLegendKey val="0"/>
              <c:showVal val="1"/>
              <c:showCatName val="0"/>
              <c:showSerName val="0"/>
              <c:showPercent val="1"/>
              <c:showBubbleSize val="0"/>
              <c:extLst>
                <c:ext xmlns:c15="http://schemas.microsoft.com/office/drawing/2012/chart" uri="{CE6537A1-D6FC-4f65-9D91-7224C49458BB}">
                  <c15:layout/>
                </c:ext>
              </c:extLst>
            </c:dLbl>
            <c:dLbl>
              <c:idx val="2"/>
              <c:layout>
                <c:manualLayout>
                  <c:x val="0.136277998375317"/>
                  <c:y val="0.0983977074619184"/>
                </c:manualLayout>
              </c:layout>
              <c:tx>
                <c:rich>
                  <a:bodyPr rot="0" spcFirstLastPara="0" vertOverflow="ellipsis" vert="horz" wrap="square" lIns="38100" tIns="19050" rIns="38100" bIns="19050" anchor="ctr" anchorCtr="1"/>
                  <a:lstStyle/>
                  <a:p>
                    <a:pPr defTabSz="914400">
                      <a:defRPr lang="zh-CN" sz="900" b="0" i="0" u="none" strike="noStrike" kern="1200" baseline="0">
                        <a:solidFill>
                          <a:schemeClr val="tx1">
                            <a:lumMod val="75000"/>
                            <a:lumOff val="25000"/>
                          </a:schemeClr>
                        </a:solidFill>
                        <a:latin typeface="+mn-lt"/>
                        <a:ea typeface="+mn-ea"/>
                        <a:cs typeface="+mn-cs"/>
                      </a:defRPr>
                    </a:pPr>
                    <a:r>
                      <a:t>2,793.41, 3%</a:t>
                    </a:r>
                  </a:p>
                </c:rich>
              </c:tx>
              <c:numFmt formatCode="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bestFit"/>
              <c:showLegendKey val="0"/>
              <c:showVal val="1"/>
              <c:showCatName val="0"/>
              <c:showSerName val="0"/>
              <c:showPercent val="1"/>
              <c:showBubbleSize val="0"/>
              <c:extLst>
                <c:ext xmlns:c15="http://schemas.microsoft.com/office/drawing/2012/chart" uri="{CE6537A1-D6FC-4f65-9D91-7224C49458BB}">
                  <c15:layout/>
                </c:ext>
              </c:extLst>
            </c:dLbl>
            <c:dLbl>
              <c:idx val="3"/>
              <c:layout>
                <c:manualLayout>
                  <c:x val="-0.0738164538383448"/>
                  <c:y val="-0.0219029224021733"/>
                </c:manualLayout>
              </c:layout>
              <c:tx>
                <c:rich>
                  <a:bodyPr rot="0" spcFirstLastPara="0" vertOverflow="ellipsis" vert="horz" wrap="square" lIns="38100" tIns="19050" rIns="38100" bIns="19050" anchor="ctr" anchorCtr="1"/>
                  <a:lstStyle/>
                  <a:p>
                    <a:pPr defTabSz="914400">
                      <a:defRPr lang="zh-CN" sz="900" b="0" i="0" u="none" strike="noStrike" kern="1200" baseline="0">
                        <a:solidFill>
                          <a:schemeClr val="tx1">
                            <a:lumMod val="75000"/>
                            <a:lumOff val="25000"/>
                          </a:schemeClr>
                        </a:solidFill>
                        <a:latin typeface="+mn-lt"/>
                        <a:ea typeface="+mn-ea"/>
                        <a:cs typeface="+mn-cs"/>
                      </a:defRPr>
                    </a:pPr>
                    <a:r>
                      <a:t>84,090.62, 89%</a:t>
                    </a:r>
                  </a:p>
                </c:rich>
              </c:tx>
              <c:numFmt formatCode="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bestFit"/>
              <c:showLegendKey val="0"/>
              <c:showVal val="1"/>
              <c:showCatName val="0"/>
              <c:showSerName val="0"/>
              <c:showPercent val="1"/>
              <c:showBubbleSize val="0"/>
              <c:extLst>
                <c:ext xmlns:c15="http://schemas.microsoft.com/office/drawing/2012/chart" uri="{CE6537A1-D6FC-4f65-9D91-7224C49458BB}">
                  <c15:layout/>
                </c:ext>
              </c:extLst>
            </c:dLbl>
            <c:dLbl>
              <c:idx val="5"/>
              <c:layout>
                <c:manualLayout>
                  <c:x val="-0.101426885276514"/>
                  <c:y val="0.00320912374359988"/>
                </c:manualLayout>
              </c:layout>
              <c:tx>
                <c:rich>
                  <a:bodyPr rot="0" spcFirstLastPara="0" vertOverflow="ellipsis" vert="horz" wrap="square" lIns="38100" tIns="19050" rIns="38100" bIns="19050" anchor="ctr" anchorCtr="1"/>
                  <a:lstStyle/>
                  <a:p>
                    <a:pPr defTabSz="914400">
                      <a:defRPr lang="zh-CN" sz="900" b="0" i="0" u="none" strike="noStrike" kern="1200" baseline="0">
                        <a:solidFill>
                          <a:schemeClr val="tx1">
                            <a:lumMod val="75000"/>
                            <a:lumOff val="25000"/>
                          </a:schemeClr>
                        </a:solidFill>
                        <a:latin typeface="+mn-lt"/>
                        <a:ea typeface="+mn-ea"/>
                        <a:cs typeface="+mn-cs"/>
                      </a:defRPr>
                    </a:pPr>
                    <a:r>
                      <a:t>0.5, 0%</a:t>
                    </a:r>
                  </a:p>
                </c:rich>
              </c:tx>
              <c:dLblPos val="bestFit"/>
              <c:showLegendKey val="0"/>
              <c:showVal val="1"/>
              <c:showCatName val="0"/>
              <c:showSerName val="0"/>
              <c:showPercent val="1"/>
              <c:showBubbleSize val="0"/>
              <c:extLst>
                <c:ext xmlns:c15="http://schemas.microsoft.com/office/drawing/2012/chart" uri="{CE6537A1-D6FC-4f65-9D91-7224C49458BB}">
                  <c15:layout/>
                </c:ext>
              </c:extLst>
            </c:dLbl>
            <c:numFmt formatCode="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bestFit"/>
            <c:showLegendKey val="0"/>
            <c:showVal val="1"/>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rgbClr val="969696">
                          <a:alpha val="100000"/>
                        </a:srgbClr>
                      </a:solidFill>
                      <a:prstDash val="solid"/>
                      <a:round/>
                    </a:ln>
                  </c:spPr>
                </c15:leaderLines>
              </c:ext>
            </c:extLst>
          </c:dLbls>
          <c:cat>
            <c:strRef>
              <c:f>'[决算图表(1)(1).et]Sheet1'!$F$63:$F$68</c:f>
              <c:strCache>
                <c:ptCount val="6"/>
                <c:pt idx="0">
                  <c:v>社会保障和就业支出</c:v>
                </c:pt>
                <c:pt idx="1">
                  <c:v>卫生健康支出</c:v>
                </c:pt>
                <c:pt idx="2">
                  <c:v>住房保障支出</c:v>
                </c:pt>
                <c:pt idx="3">
                  <c:v>交通运输支出</c:v>
                </c:pt>
                <c:pt idx="4">
                  <c:v>农林水支出</c:v>
                </c:pt>
                <c:pt idx="5">
                  <c:v>文化旅游体育与传媒支出</c:v>
                </c:pt>
              </c:strCache>
            </c:strRef>
          </c:cat>
          <c:val>
            <c:numRef>
              <c:f>'[决算图表(1)(1).et]Sheet1'!$G$63:$G$68</c:f>
              <c:numCache>
                <c:formatCode>#,##0.00</c:formatCode>
                <c:ptCount val="6"/>
                <c:pt idx="0">
                  <c:v>5275.9</c:v>
                </c:pt>
                <c:pt idx="1">
                  <c:v>2292.49</c:v>
                </c:pt>
                <c:pt idx="2">
                  <c:v>2793.41</c:v>
                </c:pt>
                <c:pt idx="3">
                  <c:v>84090.62</c:v>
                </c:pt>
                <c:pt idx="5" c:formatCode="General">
                  <c:v>0.5</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legendEntry>
        <c:idx val="4"/>
        <c:delete val="1"/>
      </c:legendEntry>
      <c:layout>
        <c:manualLayout>
          <c:xMode val="edge"/>
          <c:yMode val="edge"/>
          <c:x val="0.09775"/>
          <c:y val="0.879"/>
          <c:w val="0.804"/>
          <c:h val="0.10075"/>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rgbClr val="F9FBFA"/>
    </a:solidFill>
    <a:ln w="9525" cap="flat" cmpd="sng" algn="ctr">
      <a:solidFill>
        <a:schemeClr val="tx1">
          <a:lumMod val="15000"/>
          <a:lumOff val="85000"/>
        </a:schemeClr>
      </a:solidFill>
      <a:prstDash val="solid"/>
      <a:round/>
    </a:ln>
    <a:effectLst/>
  </c:spPr>
  <c:txPr>
    <a:bodyPr wrap="square"/>
    <a:lstStyle/>
    <a:p>
      <a:pPr>
        <a:defRPr lang="zh-CN"/>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lgn="ctr" defTabSz="914400">
              <a:defRPr lang="zh-CN" sz="1400" b="0" i="0" u="none" strike="noStrike" kern="1200" spc="0" baseline="0">
                <a:solidFill>
                  <a:schemeClr val="tx1">
                    <a:lumMod val="65000"/>
                    <a:lumOff val="35000"/>
                  </a:schemeClr>
                </a:solidFill>
                <a:latin typeface="+mn-lt"/>
                <a:ea typeface="+mn-ea"/>
                <a:cs typeface="+mn-cs"/>
              </a:defRPr>
            </a:pPr>
            <a:r>
              <a:rPr sz="1400" b="0" i="0" u="none" strike="noStrike" kern="1200" cap="none" spc="0" normalizeH="0" baseline="0">
                <a:solidFill>
                  <a:schemeClr val="tx1">
                    <a:lumMod val="65000"/>
                    <a:lumOff val="35000"/>
                  </a:schemeClr>
                </a:solidFill>
                <a:effectLst/>
                <a:latin typeface="+mn-lt"/>
                <a:ea typeface="+mn-ea"/>
                <a:cs typeface="+mn-cs"/>
              </a:rPr>
              <a:t>“三公”经费财政拨款支出结构图</a:t>
            </a:r>
            <a:endParaRPr sz="1400" b="0" i="0" u="none" strike="noStrike" kern="1200" cap="none" spc="0" normalizeH="0" baseline="0">
              <a:solidFill>
                <a:schemeClr val="tx1">
                  <a:lumMod val="65000"/>
                  <a:lumOff val="35000"/>
                </a:schemeClr>
              </a:solidFill>
              <a:effectLst/>
              <a:latin typeface="+mn-lt"/>
              <a:ea typeface="+mn-ea"/>
              <a:cs typeface="+mn-cs"/>
            </a:endParaRPr>
          </a:p>
        </c:rich>
      </c:tx>
      <c:layout/>
      <c:overlay val="0"/>
    </c:title>
    <c:autoTitleDeleted val="0"/>
    <c:plotArea>
      <c:layout/>
      <c:pieChart>
        <c:varyColors val="1"/>
        <c:ser>
          <c:idx val="0"/>
          <c:order val="0"/>
          <c:spPr>
            <a:solidFill>
              <a:schemeClr val="accent1"/>
            </a:solidFill>
            <a:ln w="19050">
              <a:solidFill>
                <a:srgbClr val="FFFFFF">
                  <a:alpha val="100000"/>
                </a:srgbClr>
              </a:solidFill>
              <a:prstDash val="solid"/>
            </a:ln>
            <a:effectLst/>
          </c:spPr>
          <c:explosion val="0"/>
          <c:dPt>
            <c:idx val="0"/>
            <c:bubble3D val="0"/>
            <c:explosion val="0"/>
            <c:spPr>
              <a:solidFill>
                <a:schemeClr val="accent1"/>
              </a:solidFill>
              <a:ln w="19050">
                <a:solidFill>
                  <a:schemeClr val="lt1"/>
                </a:solidFill>
              </a:ln>
              <a:effectLst/>
            </c:spPr>
          </c:dPt>
          <c:dPt>
            <c:idx val="1"/>
            <c:bubble3D val="0"/>
            <c:explosion val="0"/>
            <c:spPr>
              <a:solidFill>
                <a:schemeClr val="accent2"/>
              </a:solidFill>
              <a:ln w="19050">
                <a:solidFill>
                  <a:schemeClr val="lt1"/>
                </a:solidFill>
              </a:ln>
              <a:effectLst/>
            </c:spPr>
          </c:dPt>
          <c:dPt>
            <c:idx val="2"/>
            <c:bubble3D val="0"/>
            <c:explosion val="0"/>
            <c:spPr>
              <a:solidFill>
                <a:schemeClr val="accent3"/>
              </a:solidFill>
              <a:ln w="19050">
                <a:solidFill>
                  <a:schemeClr val="lt1"/>
                </a:solidFill>
              </a:ln>
              <a:effectLst/>
            </c:spPr>
          </c:dPt>
          <c:dLbls>
            <c:dLbl>
              <c:idx val="0"/>
              <c:layout>
                <c:manualLayout>
                  <c:x val="0.0210130553902449"/>
                  <c:y val="-0.16674126951269"/>
                </c:manualLayout>
              </c:layout>
              <c:numFmt formatCode="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solidFill>
                      <a:latin typeface="+mn-lt"/>
                      <a:ea typeface="+mn-ea"/>
                      <a:cs typeface="+mn-cs"/>
                    </a:defRPr>
                  </a:pPr>
                </a:p>
              </c:txPr>
              <c:dLblPos val="bestFit"/>
              <c:showLegendKey val="0"/>
              <c:showVal val="1"/>
              <c:showCatName val="0"/>
              <c:showSerName val="0"/>
              <c:showPercent val="1"/>
              <c:showBubbleSize val="0"/>
              <c:extLst>
                <c:ext xmlns:c15="http://schemas.microsoft.com/office/drawing/2012/chart" uri="{CE6537A1-D6FC-4f65-9D91-7224C49458BB}">
                  <c15:layout/>
                </c:ext>
              </c:extLst>
            </c:dLbl>
            <c:dLbl>
              <c:idx val="1"/>
              <c:layout>
                <c:manualLayout>
                  <c:x val="-0.153408161328301"/>
                  <c:y val="0.0166173539680053"/>
                </c:manualLayout>
              </c:layout>
              <c:numFmt formatCode="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solidFill>
                      <a:latin typeface="+mn-lt"/>
                      <a:ea typeface="+mn-ea"/>
                      <a:cs typeface="+mn-cs"/>
                    </a:defRPr>
                  </a:pPr>
                </a:p>
              </c:txPr>
              <c:dLblPos val="bestFit"/>
              <c:showLegendKey val="0"/>
              <c:showVal val="1"/>
              <c:showCatName val="0"/>
              <c:showSerName val="0"/>
              <c:showPercent val="1"/>
              <c:showBubbleSize val="0"/>
              <c:extLst>
                <c:ext xmlns:c15="http://schemas.microsoft.com/office/drawing/2012/chart" uri="{CE6537A1-D6FC-4f65-9D91-7224C49458BB}">
                  <c15:layout/>
                </c:ext>
              </c:extLst>
            </c:dLbl>
            <c:numFmt formatCode="0.0%" sourceLinked="0"/>
            <c:spPr>
              <a:noFill/>
              <a:ln>
                <a:noFill/>
              </a:ln>
              <a:effectLst/>
            </c:spPr>
            <c:txPr>
              <a:bodyPr rot="0" spcFirstLastPara="0" vertOverflow="ellipsis" horzOverflow="overflow"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bestFit"/>
            <c:showLegendKey val="0"/>
            <c:showVal val="1"/>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rgbClr val="000000">
                          <a:alpha val="100000"/>
                        </a:srgbClr>
                      </a:solidFill>
                      <a:prstDash val="solid"/>
                      <a:round/>
                    </a:ln>
                  </c:spPr>
                </c15:leaderLines>
              </c:ext>
            </c:extLst>
          </c:dLbls>
          <c:cat>
            <c:strRef>
              <c:f>'[决算图表(1)(1).et]Sheet1'!$A$128:$A$130</c:f>
              <c:strCache>
                <c:ptCount val="3"/>
                <c:pt idx="0">
                  <c:v>公务用车购置及运行维护费</c:v>
                </c:pt>
                <c:pt idx="1">
                  <c:v>公务接待费</c:v>
                </c:pt>
                <c:pt idx="2">
                  <c:v>因公出国（境）费支出决算</c:v>
                </c:pt>
              </c:strCache>
            </c:strRef>
          </c:cat>
          <c:val>
            <c:numRef>
              <c:f>'[决算图表(1)(1).et]Sheet1'!$B$128:$B$130</c:f>
              <c:numCache>
                <c:formatCode>General</c:formatCode>
                <c:ptCount val="3"/>
                <c:pt idx="0">
                  <c:v>824.91</c:v>
                </c:pt>
                <c:pt idx="1">
                  <c:v>2.46</c:v>
                </c:pt>
                <c:pt idx="2">
                  <c:v>0</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1035"/>
          <c:y val="0.834"/>
          <c:w val="0.79275"/>
          <c:h val="0.13825"/>
        </c:manualLayout>
      </c:layout>
      <c:overlay val="0"/>
      <c:spPr>
        <a:noFill/>
        <a:ln>
          <a:noFill/>
        </a:ln>
        <a:effectLst/>
      </c:spPr>
      <c:txPr>
        <a:bodyPr rot="0" spcFirstLastPara="0" vertOverflow="ellipsis" horzOverflow="overflow"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rgbClr val="F9FBFA"/>
    </a:solidFill>
    <a:ln w="9525" cap="flat" cmpd="sng" algn="ctr">
      <a:solidFill>
        <a:srgbClr val="F9FBFA"/>
      </a:solidFill>
      <a:prstDash val="solid"/>
      <a:round/>
    </a:ln>
    <a:effectLst/>
  </c:spPr>
  <c:txPr>
    <a:bodyPr rot="0" spcFirstLastPara="0" vertOverflow="ellipsis" horzOverflow="overflow" vert="horz" wrap="square" anchor="ctr" anchorCtr="1"/>
    <a:lstStyle/>
    <a:p>
      <a:pPr>
        <a:defRPr lang="zh-CN" sz="900" kern="1200">
          <a:solidFill>
            <a:schemeClr val="tx1"/>
          </a:solidFill>
          <a:latin typeface="+mn-lt"/>
          <a:ea typeface="+mn-ea"/>
          <a:cs typeface="+mn-cs"/>
        </a:defRPr>
      </a:pPr>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四川省财政厅</Company>
  <Pages>144</Pages>
  <Words>13517</Words>
  <Characters>15228</Characters>
  <Lines>60</Lines>
  <Paragraphs>17</Paragraphs>
  <TotalTime>11</TotalTime>
  <ScaleCrop>false</ScaleCrop>
  <LinksUpToDate>false</LinksUpToDate>
  <CharactersWithSpaces>15343</CharactersWithSpaces>
  <Application>WPS Office_11.8.2.11473_F1E327BC-269C-435d-A152-05C5408002CA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2020-08-09T09:49:00Z</dcterms:created>
  <dc:creator>曹颖</dc:creator>
  <cp:lastModifiedBy>Dell</cp:lastModifiedBy>
  <cp:lastPrinted>2025-08-06T17:34:00Z</cp:lastPrinted>
  <dcterms:modified xsi:type="dcterms:W3CDTF">2025-09-19T00:50:29Z</dcterms:modified>
  <dc:title>四川省***</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2052-11.8.2.11473</vt:lpwstr>
  </property>
  <property fmtid="{D5CDD505-2E9C-101B-9397-08002B2CF9AE}" pid="3" name="ICV">
    <vt:lpwstr>5D21CAC2FD7F48FEBAC5D23B9B681736</vt:lpwstr>
  </property>
  <property fmtid="{D5CDD505-2E9C-101B-9397-08002B2CF9AE}" pid="4" name="KSOTemplateDocerSaveRecord">
    <vt:lpwstr>eyJoZGlkIjoiZjNlZDEwZjgzZTZmMmI5ZTE1ODYzMjM4YzgyM2UyYTEiLCJ1c2VySWQiOiI0MTc2NTcyMTMifQ==</vt:lpwstr>
  </property>
</Properties>
</file>