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93"/>
        <w:rPr>
          <w:rFonts w:ascii="Times New Roman" w:eastAsia="方正小标宋简体"/>
          <w:kern w:val="2"/>
          <w:sz w:val="72"/>
          <w:szCs w:val="72"/>
        </w:rPr>
      </w:pPr>
      <w:bookmarkStart w:id="0" w:name="_Toc15377193"/>
      <w:bookmarkStart w:id="1" w:name="_Toc15306267"/>
      <w:bookmarkStart w:id="2" w:name="_Toc15396597"/>
      <w:bookmarkStart w:id="3" w:name="_Toc15396475"/>
      <w:bookmarkStart w:id="4" w:name="_Toc15377425"/>
      <w:bookmarkStart w:id="5" w:name="_Toc15378441"/>
    </w:p>
    <w:p>
      <w:pPr>
        <w:pStyle w:val="8"/>
        <w:spacing w:before="93"/>
        <w:rPr>
          <w:rFonts w:ascii="Times New Roman" w:eastAsia="方正小标宋简体"/>
          <w:kern w:val="2"/>
          <w:sz w:val="72"/>
          <w:szCs w:val="72"/>
        </w:rPr>
      </w:pPr>
    </w:p>
    <w:p>
      <w:pPr>
        <w:bidi w:val="0"/>
      </w:pPr>
    </w:p>
    <w:p>
      <w:pPr>
        <w:pStyle w:val="5"/>
        <w:keepNext/>
        <w:keepLines/>
        <w:pageBreakBefore w:val="0"/>
        <w:widowControl w:val="0"/>
        <w:kinsoku/>
        <w:wordWrap/>
        <w:overflowPunct/>
        <w:topLinePunct w:val="0"/>
        <w:autoSpaceDE/>
        <w:autoSpaceDN/>
        <w:bidi w:val="0"/>
        <w:adjustRightInd/>
        <w:snapToGrid/>
        <w:spacing w:line="579" w:lineRule="auto"/>
        <w:jc w:val="center"/>
        <w:textAlignment w:val="auto"/>
        <w:rPr>
          <w:rFonts w:hint="eastAsia"/>
          <w:lang w:val="en-US" w:eastAsia="zh-CN"/>
        </w:rPr>
      </w:pPr>
      <w:r>
        <w:rPr>
          <w:rFonts w:hint="eastAsia"/>
          <w:lang w:val="en-US" w:eastAsia="zh-CN"/>
        </w:rPr>
        <w:t>2024年度阿坝藏族羌族自治州公路管理局都江堰干休所决算公开</w:t>
      </w:r>
      <w:bookmarkStart w:id="91" w:name="_GoBack"/>
      <w:bookmarkEnd w:id="91"/>
    </w:p>
    <w:p>
      <w:pPr>
        <w:spacing w:line="600" w:lineRule="exact"/>
        <w:jc w:val="center"/>
        <w:outlineLvl w:val="0"/>
        <w:rPr>
          <w:rFonts w:eastAsia="方正小标宋简体"/>
          <w:sz w:val="72"/>
          <w:szCs w:val="72"/>
        </w:rPr>
      </w:pP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bookmarkEnd w:id="0"/>
    <w:bookmarkEnd w:id="1"/>
    <w:bookmarkEnd w:id="2"/>
    <w:bookmarkEnd w:id="3"/>
    <w:bookmarkEnd w:id="4"/>
    <w:bookmarkEnd w:id="5"/>
    <w:p>
      <w:pPr>
        <w:widowControl/>
        <w:jc w:val="center"/>
        <w:rPr>
          <w:rFonts w:hint="eastAsia" w:ascii="黑体" w:hAnsi="黑体" w:eastAsia="黑体" w:cs="黑体"/>
          <w:b/>
          <w:bCs/>
          <w:sz w:val="48"/>
          <w:szCs w:val="48"/>
        </w:rPr>
      </w:pPr>
      <w:r>
        <w:rPr>
          <w:rFonts w:hint="eastAsia" w:ascii="黑体" w:hAnsi="黑体" w:eastAsia="黑体" w:cs="黑体"/>
          <w:b/>
          <w:bCs/>
          <w:sz w:val="48"/>
          <w:szCs w:val="48"/>
        </w:rPr>
        <w:t>目录</w:t>
      </w:r>
    </w:p>
    <w:p>
      <w:pPr>
        <w:widowControl/>
        <w:jc w:val="center"/>
        <w:rPr>
          <w:rFonts w:eastAsia="黑体" w:cstheme="minorBidi"/>
          <w:sz w:val="28"/>
          <w:szCs w:val="28"/>
        </w:rPr>
      </w:pPr>
    </w:p>
    <w:p>
      <w:pPr>
        <w:pStyle w:val="13"/>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77788"/>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6" w:name="_Toc15396599"/>
          <w:bookmarkStart w:id="7" w:name="_Toc15377196"/>
        </w:p>
        <w:p>
          <w:pPr>
            <w:pStyle w:val="13"/>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_Toc10684 </w:instrText>
          </w:r>
          <w:r>
            <w:fldChar w:fldCharType="separate"/>
          </w:r>
          <w:r>
            <w:rPr>
              <w:rFonts w:hint="eastAsia" w:eastAsia="方正小标宋简体" w:cs="方正小标宋简体"/>
            </w:rPr>
            <w:t xml:space="preserve">第一部分  </w:t>
          </w:r>
          <w:r>
            <w:rPr>
              <w:rFonts w:hint="eastAsia" w:eastAsia="方正小标宋简体" w:cs="方正小标宋简体"/>
              <w:bCs w:val="0"/>
              <w:lang w:val="en-US" w:eastAsia="zh-CN"/>
            </w:rPr>
            <w:t>单位</w:t>
          </w:r>
          <w:r>
            <w:rPr>
              <w:rFonts w:hint="eastAsia" w:eastAsia="方正小标宋简体" w:cs="方正小标宋简体"/>
              <w:bCs w:val="0"/>
            </w:rPr>
            <w:t>概况</w:t>
          </w:r>
          <w:r>
            <w:tab/>
          </w:r>
          <w:r>
            <w:fldChar w:fldCharType="begin"/>
          </w:r>
          <w:r>
            <w:instrText xml:space="preserve"> PAGEREF _Toc10684 \h </w:instrText>
          </w:r>
          <w:r>
            <w:fldChar w:fldCharType="separate"/>
          </w:r>
          <w:r>
            <w:t>4</w:t>
          </w:r>
          <w:r>
            <w:fldChar w:fldCharType="end"/>
          </w:r>
          <w: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_Toc7373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一、主要</w:t>
          </w:r>
          <w:r>
            <w:rPr>
              <w:rFonts w:hint="eastAsia" w:ascii="仿宋_GB2312" w:hAnsi="仿宋_GB2312" w:eastAsia="仿宋_GB2312" w:cs="仿宋_GB2312"/>
              <w:sz w:val="28"/>
              <w:szCs w:val="28"/>
            </w:rPr>
            <w:t>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_Toc7373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_Toc10602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二、机</w:t>
          </w:r>
          <w:r>
            <w:rPr>
              <w:rFonts w:hint="eastAsia" w:ascii="仿宋_GB2312" w:hAnsi="仿宋_GB2312" w:eastAsia="仿宋_GB2312" w:cs="仿宋_GB2312"/>
              <w:bCs w:val="0"/>
              <w:sz w:val="28"/>
              <w:szCs w:val="28"/>
            </w:rPr>
            <w:t>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_Toc10602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3"/>
            <w:tabs>
              <w:tab w:val="right" w:leader="dot" w:pos="8306"/>
              <w:tab w:val="clear" w:pos="8296"/>
            </w:tabs>
          </w:pPr>
          <w:r>
            <w:fldChar w:fldCharType="begin"/>
          </w:r>
          <w:r>
            <w:instrText xml:space="preserve"> HYPERLINK \l _Toc16663 </w:instrText>
          </w:r>
          <w:r>
            <w:fldChar w:fldCharType="separate"/>
          </w:r>
          <w:r>
            <w:rPr>
              <w:rFonts w:hint="eastAsia" w:eastAsia="方正小标宋简体" w:cs="方正小标宋简体"/>
            </w:rPr>
            <w:t xml:space="preserve">第二部分  </w:t>
          </w:r>
          <w:r>
            <w:rPr>
              <w:rFonts w:hint="eastAsia" w:ascii="方正小标宋简体" w:hAnsi="方正小标宋简体" w:eastAsia="方正小标宋简体" w:cs="方正小标宋简体"/>
            </w:rPr>
            <w:t>2024</w:t>
          </w:r>
          <w:r>
            <w:rPr>
              <w:rFonts w:hint="eastAsia" w:eastAsia="方正小标宋简体" w:cs="方正小标宋简体"/>
            </w:rPr>
            <w:t>年度部门决算情况说明</w:t>
          </w:r>
          <w:r>
            <w:tab/>
          </w:r>
          <w:r>
            <w:fldChar w:fldCharType="begin"/>
          </w:r>
          <w:r>
            <w:instrText xml:space="preserve"> PAGEREF _Toc16663 \h </w:instrText>
          </w:r>
          <w:r>
            <w:fldChar w:fldCharType="separate"/>
          </w:r>
          <w:r>
            <w:t>5</w:t>
          </w:r>
          <w:r>
            <w:fldChar w:fldCharType="end"/>
          </w:r>
          <w: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_Toc13494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一、收入支出决算总体情况说明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_Toc13494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_Toc4181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二、收入决算情况说明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_Toc4181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_Toc26293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三、支出决算情况说明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_Toc26293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_Toc16845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_Toc16845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_Toc2065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_Toc2065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_Toc6162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_Toc6162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_Toc17239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七、财政拨款“三公”经费支出决算情况说明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_Toc17239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_Toc25756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_Toc25756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_Toc14522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九、国有资本经营预算支出决算情况说明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_Toc14522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_Toc28940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十、其他重要事项的情况说明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_Toc28940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3"/>
            <w:tabs>
              <w:tab w:val="right" w:leader="dot" w:pos="8306"/>
              <w:tab w:val="clear" w:pos="8296"/>
            </w:tabs>
          </w:pPr>
          <w:r>
            <w:fldChar w:fldCharType="begin"/>
          </w:r>
          <w:r>
            <w:instrText xml:space="preserve"> HYPERLINK \l _Toc21700 </w:instrText>
          </w:r>
          <w:r>
            <w:fldChar w:fldCharType="separate"/>
          </w:r>
          <w:r>
            <w:rPr>
              <w:rFonts w:hint="eastAsia" w:eastAsia="方正小标宋简体" w:cs="方正小标宋简体"/>
            </w:rPr>
            <w:t>第三部分  名词解释</w:t>
          </w:r>
          <w:r>
            <w:tab/>
          </w:r>
          <w:r>
            <w:fldChar w:fldCharType="begin"/>
          </w:r>
          <w:r>
            <w:instrText xml:space="preserve"> PAGEREF _Toc21700 \h </w:instrText>
          </w:r>
          <w:r>
            <w:fldChar w:fldCharType="separate"/>
          </w:r>
          <w:r>
            <w:t>14</w:t>
          </w:r>
          <w:r>
            <w:fldChar w:fldCharType="end"/>
          </w:r>
          <w:r>
            <w:fldChar w:fldCharType="end"/>
          </w:r>
        </w:p>
        <w:p>
          <w:pPr>
            <w:pStyle w:val="13"/>
            <w:tabs>
              <w:tab w:val="right" w:leader="dot" w:pos="8306"/>
              <w:tab w:val="clear" w:pos="8296"/>
            </w:tabs>
          </w:pPr>
          <w:r>
            <w:fldChar w:fldCharType="begin"/>
          </w:r>
          <w:r>
            <w:instrText xml:space="preserve"> HYPERLINK \l _Toc17279 </w:instrText>
          </w:r>
          <w:r>
            <w:fldChar w:fldCharType="separate"/>
          </w:r>
          <w:r>
            <w:rPr>
              <w:rFonts w:hint="eastAsia" w:eastAsia="方正小标宋简体" w:cs="方正小标宋简体"/>
            </w:rPr>
            <w:t>第四部分  附件</w:t>
          </w:r>
          <w:r>
            <w:tab/>
          </w:r>
          <w:r>
            <w:fldChar w:fldCharType="begin"/>
          </w:r>
          <w:r>
            <w:instrText xml:space="preserve"> PAGEREF _Toc17279 \h </w:instrText>
          </w:r>
          <w:r>
            <w:fldChar w:fldCharType="separate"/>
          </w:r>
          <w:r>
            <w:t>16</w:t>
          </w:r>
          <w:r>
            <w:fldChar w:fldCharType="end"/>
          </w:r>
          <w:r>
            <w:fldChar w:fldCharType="end"/>
          </w:r>
        </w:p>
        <w:p>
          <w:pPr>
            <w:pStyle w:val="13"/>
            <w:tabs>
              <w:tab w:val="right" w:leader="dot" w:pos="8306"/>
              <w:tab w:val="clear" w:pos="8296"/>
            </w:tabs>
          </w:pPr>
          <w:r>
            <w:fldChar w:fldCharType="begin"/>
          </w:r>
          <w:r>
            <w:instrText xml:space="preserve"> HYPERLINK \l _Toc10710 </w:instrText>
          </w:r>
          <w:r>
            <w:fldChar w:fldCharType="separate"/>
          </w:r>
          <w:r>
            <w:rPr>
              <w:rFonts w:hint="eastAsia" w:eastAsia="方正小标宋简体" w:cs="方正小标宋简体"/>
            </w:rPr>
            <w:t>第五部分 附表</w:t>
          </w:r>
          <w:r>
            <w:tab/>
          </w:r>
          <w:r>
            <w:fldChar w:fldCharType="begin"/>
          </w:r>
          <w:r>
            <w:instrText xml:space="preserve"> PAGEREF _Toc10710 \h </w:instrText>
          </w:r>
          <w:r>
            <w:fldChar w:fldCharType="separate"/>
          </w:r>
          <w:r>
            <w:t>17</w:t>
          </w:r>
          <w:r>
            <w:fldChar w:fldCharType="end"/>
          </w:r>
          <w: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_Toc7847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一、收入支出决算总表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_Toc7847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_Toc19047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二、收入决算表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_Toc19047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_Toc25472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三、支出决算表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_Toc25472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_Toc21079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四、财政拨款收入支出决算总表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_Toc21079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_Toc27101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五、财政拨款支出决算明细表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_Toc27101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_Toc32731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六、一般公共预算财政拨款支出决算表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_Toc32731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_Toc19998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七、一般公共预算财政拨款支出决算明细表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_Toc19998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_Toc205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八、一般公共预算财政拨款基本支出决算表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_Toc26059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九、一般公共预算财政拨款项目支出决算表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_Toc26059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_Toc32606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十、政府性基金预算财政拨款收入支出决算表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_Toc32606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_Toc23025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十一、国有资本经营预算财政拨款收入支出决算表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_Toc23025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_Toc4479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十二、国有资本经营预算财政拨款支出决算表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_Toc4479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_Toc7535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sz w:val="28"/>
              <w:szCs w:val="28"/>
            </w:rPr>
            <w:t>十三、财政拨款“三公”经费支出决算表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_Toc7535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r>
            <w:fldChar w:fldCharType="end"/>
          </w:r>
        </w:p>
      </w:sdtContent>
    </w:sdt>
    <w:p/>
    <w:p>
      <w:pPr>
        <w:widowControl/>
        <w:spacing w:line="560" w:lineRule="exact"/>
        <w:jc w:val="left"/>
        <w:rPr>
          <w:rFonts w:eastAsia="仿宋_GB2312" w:cs="仿宋_GB2312"/>
          <w:bCs/>
          <w:kern w:val="44"/>
          <w:sz w:val="32"/>
          <w:szCs w:val="32"/>
        </w:rPr>
      </w:pPr>
      <w:r>
        <w:rPr>
          <w:rFonts w:hint="eastAsia" w:eastAsia="仿宋_GB2312" w:cs="仿宋_GB2312"/>
          <w:b/>
          <w:sz w:val="32"/>
          <w:szCs w:val="32"/>
        </w:rPr>
        <w:br w:type="page"/>
      </w:r>
    </w:p>
    <w:p>
      <w:pPr>
        <w:pStyle w:val="5"/>
        <w:jc w:val="center"/>
        <w:rPr>
          <w:rStyle w:val="28"/>
          <w:rFonts w:eastAsia="方正小标宋简体" w:cs="方正小标宋简体"/>
          <w:b/>
          <w:bCs w:val="0"/>
        </w:rPr>
      </w:pPr>
      <w:bookmarkStart w:id="8" w:name="_Toc10684"/>
      <w:r>
        <w:rPr>
          <w:rFonts w:hint="eastAsia" w:eastAsia="方正小标宋简体" w:cs="方正小标宋简体"/>
          <w:b w:val="0"/>
        </w:rPr>
        <w:t xml:space="preserve">第一部分  </w:t>
      </w:r>
      <w:r>
        <w:rPr>
          <w:rStyle w:val="28"/>
          <w:rFonts w:hint="eastAsia" w:eastAsia="方正小标宋简体" w:cs="方正小标宋简体"/>
          <w:b w:val="0"/>
          <w:bCs w:val="0"/>
          <w:lang w:val="en-US" w:eastAsia="zh-CN"/>
        </w:rPr>
        <w:t>单位</w:t>
      </w:r>
      <w:r>
        <w:rPr>
          <w:rStyle w:val="28"/>
          <w:rFonts w:hint="eastAsia" w:eastAsia="方正小标宋简体" w:cs="方正小标宋简体"/>
          <w:b w:val="0"/>
          <w:bCs w:val="0"/>
        </w:rPr>
        <w:t>概况</w:t>
      </w:r>
      <w:bookmarkEnd w:id="6"/>
      <w:bookmarkEnd w:id="7"/>
      <w:bookmarkEnd w:id="8"/>
    </w:p>
    <w:p>
      <w:pPr>
        <w:pStyle w:val="6"/>
        <w:numPr>
          <w:ilvl w:val="0"/>
          <w:numId w:val="0"/>
        </w:numPr>
        <w:rPr>
          <w:rFonts w:hint="eastAsia" w:ascii="Times New Roman" w:hAnsi="Times New Roman" w:eastAsia="黑体"/>
          <w:b w:val="0"/>
        </w:rPr>
      </w:pPr>
      <w:bookmarkStart w:id="9" w:name="_Toc7373"/>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ind w:firstLine="800" w:firstLineChars="250"/>
      </w:pPr>
      <w:r>
        <w:rPr>
          <w:rFonts w:hint="eastAsia" w:ascii="Times New Roman" w:hAnsi="Times New Roman" w:eastAsia="仿宋_GB2312" w:cs="仿宋_GB2312"/>
          <w:sz w:val="32"/>
          <w:szCs w:val="32"/>
        </w:rPr>
        <w:t>根据阿坝州编委阿编发[1994]21号文批准成立阿坝藏族羌族自治州公路管理局都江堰干休所，其性质为事业性的生产单位和具有一定行政管理职能的经济技术实体；主要职能职责是：为（离）退休同志提供服务、负责党和国家老干部工作方针、政策的宣传；完成州公路局交办的其他任务。</w:t>
      </w:r>
    </w:p>
    <w:p>
      <w:pPr>
        <w:pStyle w:val="6"/>
        <w:rPr>
          <w:rStyle w:val="29"/>
          <w:rFonts w:ascii="Times New Roman" w:hAnsi="Times New Roman"/>
          <w:b w:val="0"/>
          <w:bCs w:val="0"/>
        </w:rPr>
      </w:pPr>
      <w:bookmarkStart w:id="10" w:name="_Toc15377200"/>
      <w:bookmarkStart w:id="11" w:name="_Toc15396601"/>
      <w:bookmarkStart w:id="12" w:name="_Toc10602"/>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widowControl/>
        <w:ind w:firstLine="640" w:firstLineChars="200"/>
        <w:jc w:val="left"/>
        <w:rPr>
          <w:rFonts w:eastAsia="仿宋"/>
          <w:kern w:val="0"/>
          <w:sz w:val="32"/>
          <w:szCs w:val="32"/>
        </w:rPr>
      </w:pPr>
      <w:r>
        <w:rPr>
          <w:rFonts w:hint="eastAsia" w:ascii="Times New Roman" w:hAnsi="Times New Roman" w:eastAsia="仿宋_GB2312" w:cs="仿宋_GB2312"/>
          <w:sz w:val="32"/>
          <w:szCs w:val="32"/>
        </w:rPr>
        <w:t>根据阿坝藏族羌族自治州机构编制委员会阿编发〔1994〕22号、阿编发〔2015〕32号文件和阿编发〔2019〕202号批准。下设行政办公室、劳动人事股、财务股3个股室。</w:t>
      </w:r>
      <w:r>
        <w:rPr>
          <w:rFonts w:eastAsia="仿宋"/>
          <w:sz w:val="32"/>
          <w:szCs w:val="32"/>
        </w:rPr>
        <w:br w:type="page"/>
      </w:r>
    </w:p>
    <w:p>
      <w:pPr>
        <w:pStyle w:val="5"/>
        <w:jc w:val="center"/>
        <w:rPr>
          <w:rFonts w:eastAsia="方正小标宋简体" w:cs="方正小标宋简体"/>
          <w:b w:val="0"/>
        </w:rPr>
      </w:pPr>
      <w:bookmarkStart w:id="13" w:name="_Toc16663"/>
      <w:bookmarkStart w:id="14" w:name="_Toc15396602"/>
      <w:bookmarkStart w:id="15" w:name="_Toc15377204"/>
      <w:r>
        <w:rPr>
          <w:rFonts w:hint="eastAsia" w:eastAsia="方正小标宋简体" w:cs="方正小标宋简体"/>
          <w:b w:val="0"/>
        </w:rPr>
        <w:t xml:space="preserve">第二部分  </w:t>
      </w:r>
      <w:r>
        <w:rPr>
          <w:rFonts w:hint="eastAsia" w:ascii="方正小标宋简体" w:hAnsi="方正小标宋简体" w:eastAsia="方正小标宋简体" w:cs="方正小标宋简体"/>
          <w:b w:val="0"/>
        </w:rPr>
        <w:t>2024</w:t>
      </w:r>
      <w:r>
        <w:rPr>
          <w:rFonts w:hint="eastAsia" w:eastAsia="方正小标宋简体" w:cs="方正小标宋简体"/>
          <w:b w:val="0"/>
        </w:rPr>
        <w:t>年度部门决算情况说明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96603"/>
      <w:bookmarkStart w:id="17" w:name="_Toc15377205"/>
      <w:bookmarkStart w:id="18" w:name="_Toc13494"/>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ind w:firstLine="640" w:firstLineChars="200"/>
        <w:rPr>
          <w:rFonts w:hint="eastAsia"/>
          <w:lang w:eastAsia="zh-CN"/>
        </w:rPr>
      </w:pPr>
      <w:r>
        <w:rPr>
          <w:rFonts w:hint="eastAsia" w:eastAsia="仿宋_GB2312" w:cs="仿宋_GB2312"/>
          <w:sz w:val="32"/>
          <w:szCs w:val="32"/>
        </w:rPr>
        <w:t>2024年度收入、支出总计均为351.08万元。与2023年度相比，收入、支出总计各减少42.78万元，下降10.86%。主要变动原因是人员有变动、财政拨款减少</w:t>
      </w:r>
      <w:r>
        <w:rPr>
          <w:rFonts w:hint="eastAsia" w:eastAsia="仿宋_GB2312" w:cs="仿宋_GB2312"/>
          <w:sz w:val="32"/>
          <w:szCs w:val="32"/>
          <w:lang w:eastAsia="zh-CN"/>
        </w:rPr>
        <w:t>。</w:t>
      </w:r>
    </w:p>
    <w:p>
      <w:pPr>
        <w:pStyle w:val="3"/>
        <w:rPr>
          <w:rFonts w:hint="eastAsia"/>
          <w:lang w:eastAsia="zh-CN"/>
        </w:rPr>
      </w:pPr>
      <w:r>
        <w:drawing>
          <wp:inline distT="0" distB="0" distL="114300" distR="114300">
            <wp:extent cx="4832350" cy="3194050"/>
            <wp:effectExtent l="4445" t="4445" r="20955" b="20955"/>
            <wp:docPr id="2513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640" w:firstLineChars="200"/>
        <w:jc w:val="center"/>
        <w:rPr>
          <w:rFonts w:eastAsia="仿宋_GB2312" w:cs="仿宋_GB2312"/>
          <w:sz w:val="32"/>
          <w:szCs w:val="32"/>
        </w:rP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15396604"/>
      <w:bookmarkStart w:id="20" w:name="_Toc4181"/>
      <w:bookmarkStart w:id="21" w:name="_Toc15377206"/>
      <w:r>
        <w:rPr>
          <w:rFonts w:hint="eastAsia" w:eastAsia="黑体"/>
          <w:sz w:val="32"/>
          <w:szCs w:val="32"/>
        </w:rPr>
        <w:t>二、收入决算情况说明</w:t>
      </w:r>
      <w:bookmarkEnd w:id="19"/>
      <w:bookmarkEnd w:id="20"/>
      <w:bookmarkEnd w:id="21"/>
    </w:p>
    <w:p>
      <w:pPr>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2024年度本年收入合计351.08万元，其中：一般公共预算财政拨款收入351.08万元，占100%。</w:t>
      </w:r>
    </w:p>
    <w:p>
      <w:pPr>
        <w:pStyle w:val="8"/>
        <w:bidi w:val="0"/>
        <w:rPr>
          <w:rFonts w:hint="eastAsia"/>
        </w:rPr>
      </w:pPr>
    </w:p>
    <w:p>
      <w:pPr>
        <w:pStyle w:val="8"/>
        <w:bidi w:val="0"/>
        <w:rPr>
          <w:rFonts w:hint="eastAsia"/>
        </w:rPr>
      </w:pPr>
    </w:p>
    <w:p>
      <w:pPr>
        <w:pStyle w:val="8"/>
        <w:bidi w:val="0"/>
        <w:rPr>
          <w:rFonts w:hint="eastAsia"/>
        </w:rPr>
      </w:pPr>
      <w:r>
        <w:drawing>
          <wp:anchor distT="0" distB="0" distL="114300" distR="114300" simplePos="0" relativeHeight="251659264" behindDoc="0" locked="0" layoutInCell="1" allowOverlap="1">
            <wp:simplePos x="0" y="0"/>
            <wp:positionH relativeFrom="column">
              <wp:posOffset>204470</wp:posOffset>
            </wp:positionH>
            <wp:positionV relativeFrom="paragraph">
              <wp:posOffset>-205105</wp:posOffset>
            </wp:positionV>
            <wp:extent cx="4716145" cy="3192780"/>
            <wp:effectExtent l="4445" t="4445" r="22860" b="22225"/>
            <wp:wrapNone/>
            <wp:docPr id="2513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26293"/>
      <w:bookmarkStart w:id="23" w:name="_Toc15377207"/>
      <w:bookmarkStart w:id="24" w:name="_Toc15396605"/>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8"/>
        <w:bidi w:val="0"/>
        <w:ind w:firstLine="640" w:firstLineChars="2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2024年度本年支出合计351.08万元，其中：基本支出309.59万元，占88.2%；项目支出41.48万元，占11.8%。</w:t>
      </w:r>
    </w:p>
    <w:p>
      <w:pPr>
        <w:pStyle w:val="8"/>
        <w:bidi w:val="0"/>
        <w:rPr>
          <w:rFonts w:hint="eastAsia"/>
        </w:rPr>
      </w:pPr>
      <w:r>
        <w:drawing>
          <wp:anchor distT="0" distB="0" distL="114300" distR="114300" simplePos="0" relativeHeight="251660288" behindDoc="0" locked="0" layoutInCell="1" allowOverlap="1">
            <wp:simplePos x="0" y="0"/>
            <wp:positionH relativeFrom="column">
              <wp:posOffset>158115</wp:posOffset>
            </wp:positionH>
            <wp:positionV relativeFrom="paragraph">
              <wp:posOffset>71120</wp:posOffset>
            </wp:positionV>
            <wp:extent cx="4763770" cy="3028950"/>
            <wp:effectExtent l="4445" t="5080" r="13335" b="13970"/>
            <wp:wrapNone/>
            <wp:docPr id="2514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ind w:firstLine="800" w:firstLineChars="250"/>
        <w:jc w:val="center"/>
        <w:rPr>
          <w:rFonts w:eastAsia="仿宋_GB2312" w:cs="仿宋_GB2312"/>
          <w:sz w:val="32"/>
          <w:szCs w:val="32"/>
        </w:rPr>
      </w:pPr>
      <w:r>
        <w:rPr>
          <w:rFonts w:hint="eastAsia" w:eastAsia="仿宋_GB2312" w:cs="仿宋_GB2312"/>
          <w:sz w:val="32"/>
          <w:szCs w:val="32"/>
        </w:rPr>
        <w:t>（图3：支出决算结构图）</w:t>
      </w:r>
    </w:p>
    <w:p>
      <w:pPr>
        <w:pStyle w:val="8"/>
        <w:bidi w:val="0"/>
        <w:rPr>
          <w:rFonts w:hint="eastAsia"/>
        </w:rPr>
      </w:pPr>
      <w:bookmarkStart w:id="25" w:name="_Toc15377208"/>
      <w:bookmarkStart w:id="26" w:name="_Toc15396606"/>
    </w:p>
    <w:p>
      <w:pPr>
        <w:spacing w:line="600" w:lineRule="exact"/>
        <w:ind w:firstLine="640" w:firstLineChars="200"/>
        <w:outlineLvl w:val="1"/>
        <w:rPr>
          <w:rStyle w:val="29"/>
          <w:rFonts w:ascii="Times New Roman" w:hAnsi="Times New Roman" w:eastAsia="黑体"/>
          <w:b w:val="0"/>
        </w:rPr>
      </w:pPr>
      <w:bookmarkStart w:id="27" w:name="_Toc16845"/>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ascii="Times New Roman" w:hAnsi="Times New Roman" w:eastAsia="仿宋_GB2312" w:cs="仿宋_GB2312"/>
          <w:sz w:val="32"/>
          <w:szCs w:val="32"/>
        </w:rPr>
      </w:pPr>
      <w:r>
        <w:rPr>
          <w:rFonts w:hint="eastAsia" w:eastAsia="仿宋_GB2312" w:cs="仿宋_GB2312"/>
          <w:sz w:val="32"/>
          <w:szCs w:val="32"/>
        </w:rPr>
        <w:t>2024年度财政拨款收入、支出总计均为</w:t>
      </w:r>
      <w:r>
        <w:rPr>
          <w:rFonts w:hint="eastAsia" w:ascii="Times New Roman" w:hAnsi="Times New Roman" w:eastAsia="仿宋_GB2312" w:cs="仿宋_GB2312"/>
          <w:kern w:val="2"/>
          <w:sz w:val="32"/>
          <w:szCs w:val="32"/>
          <w:lang w:val="en-US" w:eastAsia="zh-CN" w:bidi="ar-SA"/>
        </w:rPr>
        <w:t>351.08</w:t>
      </w:r>
      <w:r>
        <w:rPr>
          <w:rFonts w:hint="eastAsia" w:eastAsia="仿宋_GB2312" w:cs="仿宋_GB2312"/>
          <w:sz w:val="32"/>
          <w:szCs w:val="32"/>
        </w:rPr>
        <w:t>万元。与2023年度相比，财政拨款收入总计、支出总计减少42.78万元，下降10.86%。</w:t>
      </w:r>
      <w:r>
        <w:rPr>
          <w:rFonts w:hint="eastAsia" w:ascii="Times New Roman" w:hAnsi="Times New Roman" w:eastAsia="仿宋_GB2312" w:cs="仿宋_GB2312"/>
          <w:sz w:val="32"/>
          <w:szCs w:val="32"/>
        </w:rPr>
        <w:t>主要变动原因是人员有变动、财政拨款减少。</w:t>
      </w:r>
    </w:p>
    <w:p>
      <w:pPr>
        <w:pStyle w:val="3"/>
        <w:jc w:val="center"/>
        <w:rPr>
          <w:rFonts w:hint="eastAsia" w:ascii="Times New Roman" w:hAnsi="Times New Roman" w:eastAsia="仿宋_GB2312" w:cs="仿宋_GB2312"/>
          <w:sz w:val="32"/>
          <w:szCs w:val="32"/>
        </w:rPr>
      </w:pPr>
      <w:r>
        <w:drawing>
          <wp:inline distT="0" distB="0" distL="114300" distR="114300">
            <wp:extent cx="4565015" cy="2772410"/>
            <wp:effectExtent l="0" t="0" r="6985" b="8890"/>
            <wp:docPr id="2514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15377209"/>
      <w:bookmarkStart w:id="29" w:name="_Toc2065"/>
      <w:bookmarkStart w:id="30" w:name="_Toc15396607"/>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年度一般公共预算财政拨款支出</w:t>
      </w:r>
      <w:r>
        <w:rPr>
          <w:rFonts w:hint="eastAsia" w:ascii="Times New Roman" w:hAnsi="Times New Roman" w:eastAsia="仿宋_GB2312" w:cs="仿宋_GB2312"/>
          <w:kern w:val="2"/>
          <w:sz w:val="32"/>
          <w:szCs w:val="32"/>
          <w:lang w:val="en-US" w:eastAsia="zh-CN" w:bidi="ar-SA"/>
        </w:rPr>
        <w:t>351.08</w:t>
      </w:r>
      <w:r>
        <w:rPr>
          <w:rFonts w:hint="eastAsia" w:ascii="仿宋_GB2312" w:hAnsi="仿宋_GB2312" w:eastAsia="仿宋_GB2312" w:cs="仿宋_GB2312"/>
          <w:sz w:val="32"/>
          <w:szCs w:val="32"/>
        </w:rPr>
        <w:t>万元，占本年支出合计的</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rPr>
        <w:t>。与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年度相比，一般公共预算财政拨款支出减少</w:t>
      </w:r>
      <w:r>
        <w:rPr>
          <w:rFonts w:hint="eastAsia" w:eastAsia="仿宋_GB2312" w:cs="仿宋_GB2312"/>
          <w:sz w:val="32"/>
          <w:szCs w:val="32"/>
        </w:rPr>
        <w:t>42.78</w:t>
      </w:r>
      <w:r>
        <w:rPr>
          <w:rFonts w:hint="eastAsia" w:ascii="仿宋_GB2312" w:hAnsi="仿宋_GB2312" w:eastAsia="仿宋_GB2312" w:cs="仿宋_GB2312"/>
          <w:sz w:val="32"/>
          <w:szCs w:val="32"/>
        </w:rPr>
        <w:t>万元，下降</w:t>
      </w:r>
      <w:r>
        <w:rPr>
          <w:rFonts w:hint="eastAsia" w:eastAsia="仿宋_GB2312" w:cs="仿宋_GB2312"/>
          <w:sz w:val="32"/>
          <w:szCs w:val="32"/>
        </w:rPr>
        <w:t>10.86%</w:t>
      </w:r>
      <w:r>
        <w:rPr>
          <w:rFonts w:hint="eastAsia" w:ascii="仿宋_GB2312" w:hAnsi="仿宋_GB2312" w:eastAsia="仿宋_GB2312" w:cs="仿宋_GB2312"/>
          <w:sz w:val="32"/>
          <w:szCs w:val="32"/>
        </w:rPr>
        <w:t>。主要变动原因是人员有变动、财政拨款减少。</w:t>
      </w:r>
    </w:p>
    <w:p>
      <w:pPr>
        <w:pStyle w:val="2"/>
        <w:rPr>
          <w:rFonts w:hint="eastAsia" w:ascii="仿宋_GB2312" w:hAnsi="仿宋_GB2312" w:eastAsia="仿宋_GB2312" w:cs="仿宋_GB2312"/>
          <w:sz w:val="32"/>
          <w:szCs w:val="32"/>
        </w:rPr>
      </w:pPr>
    </w:p>
    <w:p>
      <w:pPr>
        <w:pStyle w:val="3"/>
        <w:rPr>
          <w:rFonts w:hint="eastAsia" w:ascii="仿宋_GB2312" w:hAnsi="仿宋_GB2312" w:eastAsia="仿宋_GB2312" w:cs="仿宋_GB2312"/>
          <w:sz w:val="32"/>
          <w:szCs w:val="32"/>
        </w:rPr>
      </w:pPr>
    </w:p>
    <w:p>
      <w:pPr>
        <w:pStyle w:val="3"/>
        <w:ind w:left="0" w:leftChars="0" w:firstLine="0" w:firstLineChars="0"/>
        <w:rPr>
          <w:rFonts w:hint="eastAsia" w:ascii="仿宋_GB2312" w:hAnsi="仿宋_GB2312" w:eastAsia="仿宋_GB2312" w:cs="仿宋_GB2312"/>
          <w:sz w:val="32"/>
          <w:szCs w:val="32"/>
        </w:rPr>
      </w:pPr>
    </w:p>
    <w:p>
      <w:pPr>
        <w:pStyle w:val="3"/>
        <w:rPr>
          <w:rFonts w:hint="eastAsia" w:ascii="仿宋_GB2312" w:hAnsi="仿宋_GB2312" w:eastAsia="仿宋_GB2312" w:cs="仿宋_GB2312"/>
          <w:sz w:val="32"/>
          <w:szCs w:val="32"/>
        </w:rPr>
      </w:pPr>
      <w:r>
        <w:drawing>
          <wp:inline distT="0" distB="0" distL="114300" distR="114300">
            <wp:extent cx="4839335" cy="2677160"/>
            <wp:effectExtent l="4445" t="5080" r="13970" b="22860"/>
            <wp:docPr id="2513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eastAsia="仿宋_GB2312" w:cs="仿宋_GB2312"/>
          <w:sz w:val="32"/>
          <w:szCs w:val="32"/>
        </w:rPr>
      </w:pPr>
      <w:r>
        <w:rPr>
          <w:rFonts w:hint="eastAsia" w:eastAsia="仿宋_GB2312" w:cs="仿宋_GB2312"/>
          <w:sz w:val="32"/>
          <w:szCs w:val="32"/>
        </w:rPr>
        <w:t>（图5：一般公共预算财政拨款支出决算变动情况）</w:t>
      </w:r>
    </w:p>
    <w:p>
      <w:pPr>
        <w:spacing w:line="600" w:lineRule="exact"/>
        <w:ind w:firstLine="643" w:firstLineChars="200"/>
        <w:outlineLvl w:val="2"/>
        <w:rPr>
          <w:rFonts w:eastAsia="楷体_GB2312" w:cs="楷体_GB2312"/>
          <w:b/>
          <w:sz w:val="32"/>
          <w:szCs w:val="32"/>
        </w:rPr>
      </w:pPr>
      <w:bookmarkStart w:id="32" w:name="_Toc15377211"/>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hAnsi="Times New Roman" w:eastAsia="仿宋_GB2312" w:cs="仿宋_GB2312"/>
          <w:kern w:val="2"/>
          <w:sz w:val="32"/>
          <w:szCs w:val="32"/>
          <w:lang w:val="en-US" w:eastAsia="zh-CN" w:bidi="ar-SA"/>
        </w:rPr>
        <w:t>351.08</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，主要用于以下方面：社会保障和就业支出21.26万元，占</w:t>
      </w:r>
      <w:r>
        <w:rPr>
          <w:rFonts w:hint="eastAsia" w:eastAsia="仿宋_GB2312" w:cs="仿宋_GB2312"/>
          <w:sz w:val="32"/>
          <w:szCs w:val="32"/>
          <w:lang w:val="en-US" w:eastAsia="zh-CN"/>
        </w:rPr>
        <w:t>6.1</w:t>
      </w:r>
      <w:r>
        <w:rPr>
          <w:rFonts w:hint="eastAsia" w:eastAsia="仿宋_GB2312" w:cs="仿宋_GB2312"/>
          <w:sz w:val="32"/>
          <w:szCs w:val="32"/>
        </w:rPr>
        <w:t>%；卫生健康支出15.12万元，占</w:t>
      </w:r>
      <w:r>
        <w:rPr>
          <w:rFonts w:hint="eastAsia" w:eastAsia="仿宋_GB2312" w:cs="仿宋_GB2312"/>
          <w:sz w:val="32"/>
          <w:szCs w:val="32"/>
          <w:lang w:val="en-US" w:eastAsia="zh-CN"/>
        </w:rPr>
        <w:t>4.3</w:t>
      </w:r>
      <w:r>
        <w:rPr>
          <w:rFonts w:hint="eastAsia" w:eastAsia="仿宋_GB2312" w:cs="仿宋_GB2312"/>
          <w:sz w:val="32"/>
          <w:szCs w:val="32"/>
        </w:rPr>
        <w:t>%；交通运输</w:t>
      </w:r>
      <w:r>
        <w:rPr>
          <w:rFonts w:hint="eastAsia" w:eastAsia="仿宋_GB2312" w:cs="仿宋_GB2312"/>
          <w:sz w:val="32"/>
          <w:szCs w:val="32"/>
          <w:lang w:val="en-US" w:eastAsia="zh-CN"/>
        </w:rPr>
        <w:t>支出307.8万元，占87.7%；</w:t>
      </w:r>
      <w:r>
        <w:rPr>
          <w:rFonts w:hint="eastAsia" w:eastAsia="仿宋_GB2312" w:cs="仿宋_GB2312"/>
          <w:sz w:val="32"/>
          <w:szCs w:val="32"/>
        </w:rPr>
        <w:t>住房保障支出6.9万元，占</w:t>
      </w:r>
      <w:r>
        <w:rPr>
          <w:rFonts w:hint="eastAsia" w:eastAsia="仿宋_GB2312" w:cs="仿宋_GB2312"/>
          <w:sz w:val="32"/>
          <w:szCs w:val="32"/>
          <w:lang w:val="en-US" w:eastAsia="zh-CN"/>
        </w:rPr>
        <w:t>2</w:t>
      </w:r>
      <w:r>
        <w:rPr>
          <w:rFonts w:hint="eastAsia" w:eastAsia="仿宋_GB2312" w:cs="仿宋_GB2312"/>
          <w:sz w:val="32"/>
          <w:szCs w:val="32"/>
        </w:rPr>
        <w:t>%</w:t>
      </w:r>
      <w:r>
        <w:rPr>
          <w:rFonts w:hint="eastAsia" w:eastAsia="仿宋_GB2312" w:cs="仿宋_GB2312"/>
          <w:sz w:val="32"/>
          <w:szCs w:val="32"/>
          <w:lang w:eastAsia="zh-CN"/>
        </w:rPr>
        <w:t>。</w:t>
      </w:r>
    </w:p>
    <w:p>
      <w:pPr>
        <w:pStyle w:val="3"/>
        <w:rPr>
          <w:rFonts w:hint="eastAsia" w:eastAsia="仿宋_GB2312" w:cs="仿宋_GB2312"/>
          <w:sz w:val="32"/>
          <w:szCs w:val="32"/>
          <w:lang w:eastAsia="zh-CN"/>
        </w:rPr>
      </w:pPr>
      <w:r>
        <w:drawing>
          <wp:inline distT="0" distB="0" distL="114300" distR="114300">
            <wp:extent cx="4769485" cy="3011170"/>
            <wp:effectExtent l="4445" t="5080" r="7620" b="12700"/>
            <wp:docPr id="2514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jc w:val="center"/>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7213"/>
      <w:bookmarkStart w:id="35" w:name="_Toc15378460"/>
      <w:bookmarkStart w:id="36" w:name="_Toc15377444"/>
      <w:r>
        <w:rPr>
          <w:rFonts w:hint="eastAsia" w:eastAsia="仿宋_GB2312" w:cs="仿宋_GB2312"/>
          <w:sz w:val="32"/>
          <w:szCs w:val="32"/>
        </w:rPr>
        <w:t>2024年度一般公共预算财政拨款支出决算数为</w:t>
      </w:r>
      <w:r>
        <w:rPr>
          <w:rFonts w:hint="eastAsia" w:ascii="Times New Roman" w:hAnsi="Times New Roman" w:eastAsia="仿宋_GB2312" w:cs="仿宋_GB2312"/>
          <w:kern w:val="2"/>
          <w:sz w:val="32"/>
          <w:szCs w:val="32"/>
          <w:lang w:val="en-US" w:eastAsia="zh-CN" w:bidi="ar-SA"/>
        </w:rPr>
        <w:t>351.08万元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200"/>
        <w:rPr>
          <w:rFonts w:hint="eastAsia" w:eastAsia="仿宋_GB2312" w:cs="仿宋_GB2312"/>
          <w:sz w:val="32"/>
          <w:szCs w:val="32"/>
          <w:lang w:eastAsia="zh-CN"/>
        </w:rPr>
      </w:pPr>
      <w:r>
        <w:rPr>
          <w:rFonts w:hint="eastAsia" w:eastAsia="仿宋_GB2312" w:cs="仿宋_GB2312"/>
          <w:sz w:val="32"/>
          <w:szCs w:val="32"/>
          <w:lang w:val="en-US" w:eastAsia="zh-CN"/>
        </w:rPr>
        <w:t>1.</w:t>
      </w:r>
      <w:r>
        <w:rPr>
          <w:rFonts w:hint="eastAsia" w:eastAsia="仿宋_GB2312" w:cs="仿宋_GB2312"/>
          <w:sz w:val="32"/>
          <w:szCs w:val="32"/>
        </w:rPr>
        <w:t>社会保障和就业（类）行政事业单位养老支出（款）事业单位离退休（项）：支出决算为8.87万元，完成预算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社会保障和就业（类）行政事业单位养老支出（款）机关事业单位基本养老保险缴费支出（项）：支出决算为8.26万元，完成预算</w:t>
      </w:r>
      <w:r>
        <w:rPr>
          <w:rFonts w:hint="eastAsia" w:ascii="Times New Roman" w:hAnsi="Times New Roman" w:eastAsia="仿宋_GB2312" w:cs="仿宋_GB2312"/>
          <w:sz w:val="32"/>
          <w:szCs w:val="32"/>
          <w:lang w:val="en-US" w:eastAsia="zh-CN"/>
        </w:rPr>
        <w:t>100</w:t>
      </w:r>
      <w:r>
        <w:rPr>
          <w:rFonts w:hint="eastAsia" w:ascii="Times New Roman" w:hAnsi="Times New Roman" w:eastAsia="仿宋_GB2312" w:cs="仿宋_GB2312"/>
          <w:sz w:val="32"/>
          <w:szCs w:val="32"/>
        </w:rPr>
        <w:t>%，决算数等于预算数</w:t>
      </w:r>
      <w:r>
        <w:rPr>
          <w:rFonts w:hint="eastAsia" w:ascii="Times New Roman" w:hAnsi="Times New Roman" w:eastAsia="仿宋_GB2312" w:cs="仿宋_GB2312"/>
          <w:sz w:val="32"/>
          <w:szCs w:val="32"/>
          <w:lang w:eastAsia="zh-CN"/>
        </w:rPr>
        <w:t>。</w:t>
      </w:r>
    </w:p>
    <w:p>
      <w:pPr>
        <w:numPr>
          <w:ilvl w:val="0"/>
          <w:numId w:val="0"/>
        </w:numPr>
        <w:spacing w:line="60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社会保障和就业（类）行政事业单位养老支出（款）机关事业单位职业年金缴费支出（项）：支出决算为4.13万元，完成预算</w:t>
      </w:r>
      <w:r>
        <w:rPr>
          <w:rFonts w:hint="eastAsia" w:ascii="Times New Roman" w:hAnsi="Times New Roman" w:eastAsia="仿宋_GB2312" w:cs="仿宋_GB2312"/>
          <w:sz w:val="32"/>
          <w:szCs w:val="32"/>
          <w:lang w:val="en-US" w:eastAsia="zh-CN"/>
        </w:rPr>
        <w:t>100</w:t>
      </w:r>
      <w:r>
        <w:rPr>
          <w:rFonts w:hint="eastAsia" w:ascii="Times New Roman" w:hAnsi="Times New Roman" w:eastAsia="仿宋_GB2312" w:cs="仿宋_GB2312"/>
          <w:sz w:val="32"/>
          <w:szCs w:val="32"/>
        </w:rPr>
        <w:t>%，决算数等于预算数</w:t>
      </w:r>
      <w:r>
        <w:rPr>
          <w:rFonts w:hint="eastAsia" w:ascii="Times New Roman" w:hAnsi="Times New Roman" w:eastAsia="仿宋_GB2312" w:cs="仿宋_GB2312"/>
          <w:sz w:val="32"/>
          <w:szCs w:val="32"/>
          <w:lang w:eastAsia="zh-CN"/>
        </w:rPr>
        <w:t>。</w:t>
      </w:r>
    </w:p>
    <w:p>
      <w:pPr>
        <w:numPr>
          <w:ilvl w:val="0"/>
          <w:numId w:val="0"/>
        </w:numPr>
        <w:spacing w:line="600" w:lineRule="exact"/>
        <w:ind w:firstLine="640" w:firstLineChars="200"/>
        <w:rPr>
          <w:rFonts w:hint="eastAsia"/>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卫生健康（类）行政事业单位医疗（款）事业单位医疗（项）：支出决算为5.72万元，完成预算100%，决算数等于预算数。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卫生健康（类）行政事业单位医疗（款）其他行政事业单位医疗支出（项）：支出决算为9.4万元，完成预算100%，决算数等于预算数。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交通运输（类）公路水路运输（款）公路养护（项）：支出决算为307.8万元，完成预算100%，决算数等于预算数。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住房保障（类）住房改革支出（款）住房公积金（项）：支出决算为6.9万元，完成预算100%，决算数等于预算数。</w:t>
      </w:r>
    </w:p>
    <w:p>
      <w:pPr>
        <w:spacing w:line="600" w:lineRule="exact"/>
        <w:rPr>
          <w:rFonts w:eastAsia="仿宋_GB2312" w:cs="仿宋_GB2312"/>
          <w:sz w:val="32"/>
          <w:szCs w:val="32"/>
        </w:rPr>
      </w:pPr>
    </w:p>
    <w:p>
      <w:pPr>
        <w:tabs>
          <w:tab w:val="right" w:pos="8306"/>
        </w:tabs>
        <w:spacing w:line="600" w:lineRule="exact"/>
        <w:ind w:firstLine="640"/>
        <w:outlineLvl w:val="1"/>
        <w:rPr>
          <w:rStyle w:val="29"/>
          <w:rFonts w:ascii="Times New Roman" w:hAnsi="Times New Roman"/>
        </w:rPr>
      </w:pPr>
      <w:bookmarkStart w:id="37" w:name="_Toc6162"/>
      <w:bookmarkStart w:id="38" w:name="_Toc15377214"/>
      <w:bookmarkStart w:id="39" w:name="_Toc15396608"/>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r>
        <w:rPr>
          <w:rStyle w:val="29"/>
          <w:rFonts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2024年度一般公共预算财政拨款基本支出309.59</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人员经费269.95</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元，主要包括：基本工资、津贴补贴、奖金、绩效工资、机关事业单位基本养老保险缴费、职业年金缴费、其他社会保障缴费、离休费、退休费、生活补助、住房公积金。</w:t>
      </w:r>
      <w:r>
        <w:rPr>
          <w:rFonts w:hint="eastAsia" w:eastAsia="仿宋_GB2312" w:cs="仿宋_GB2312"/>
          <w:sz w:val="32"/>
          <w:szCs w:val="32"/>
        </w:rPr>
        <w:br w:type="textWrapping"/>
      </w:r>
      <w:r>
        <w:rPr>
          <w:rFonts w:hint="eastAsia" w:eastAsia="仿宋_GB2312" w:cs="仿宋_GB2312"/>
          <w:sz w:val="32"/>
          <w:szCs w:val="32"/>
        </w:rPr>
        <w:t>　　公用经费39.64</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eastAsia="zh-CN"/>
        </w:rPr>
        <w:t>、</w:t>
      </w:r>
      <w:r>
        <w:rPr>
          <w:rFonts w:hint="eastAsia" w:eastAsia="仿宋_GB2312" w:cs="仿宋_GB2312"/>
          <w:sz w:val="32"/>
          <w:szCs w:val="32"/>
        </w:rPr>
        <w:t>水费、电费、邮电费、差旅费、维修（护）费</w:t>
      </w:r>
      <w:r>
        <w:rPr>
          <w:rFonts w:hint="eastAsia" w:eastAsia="仿宋_GB2312" w:cs="仿宋_GB2312"/>
          <w:sz w:val="32"/>
          <w:szCs w:val="32"/>
          <w:lang w:eastAsia="zh-CN"/>
        </w:rPr>
        <w:t>、</w:t>
      </w:r>
      <w:r>
        <w:rPr>
          <w:rFonts w:hint="eastAsia" w:eastAsia="仿宋_GB2312" w:cs="仿宋_GB2312"/>
          <w:sz w:val="32"/>
          <w:szCs w:val="32"/>
        </w:rPr>
        <w:t>劳务费、福利费、公务用车运行维护费、其他商品和服务支出。</w:t>
      </w:r>
    </w:p>
    <w:p>
      <w:pPr>
        <w:spacing w:line="600" w:lineRule="exact"/>
        <w:ind w:firstLine="640"/>
        <w:outlineLvl w:val="1"/>
        <w:rPr>
          <w:rStyle w:val="29"/>
          <w:rFonts w:ascii="Times New Roman" w:hAnsi="Times New Roman" w:eastAsia="黑体"/>
          <w:b w:val="0"/>
        </w:rPr>
      </w:pPr>
      <w:bookmarkStart w:id="40" w:name="_Toc15377215"/>
      <w:bookmarkStart w:id="41" w:name="_Toc15396609"/>
      <w:bookmarkStart w:id="42" w:name="_Toc17239"/>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2024年度“三公”经费财政拨款支出决算为2.42</w:t>
      </w:r>
      <w:r>
        <w:rPr>
          <w:rFonts w:hint="eastAsia" w:ascii="仿宋_GB2312" w:hAnsi="仿宋_GB2312" w:eastAsia="仿宋_GB2312" w:cs="仿宋_GB2312"/>
          <w:sz w:val="32"/>
          <w:szCs w:val="32"/>
        </w:rPr>
        <w:t>万元，完成预算</w:t>
      </w:r>
      <w:r>
        <w:rPr>
          <w:rFonts w:hint="eastAsia" w:ascii="Times New Roman" w:hAnsi="Times New Roman" w:eastAsia="仿宋_GB2312" w:cs="仿宋_GB2312"/>
          <w:sz w:val="32"/>
          <w:szCs w:val="32"/>
          <w:lang w:val="en-US" w:eastAsia="zh-CN"/>
        </w:rPr>
        <w:t>100</w:t>
      </w:r>
      <w:r>
        <w:rPr>
          <w:rFonts w:hint="eastAsia" w:ascii="Times New Roman" w:hAnsi="Times New Roman"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较上年度减少</w:t>
      </w:r>
      <w:r>
        <w:rPr>
          <w:rFonts w:hint="eastAsia" w:eastAsia="仿宋_GB2312" w:cs="仿宋_GB2312"/>
          <w:sz w:val="32"/>
          <w:szCs w:val="32"/>
          <w:lang w:val="en-US" w:eastAsia="zh-CN"/>
        </w:rPr>
        <w:t>0.42</w:t>
      </w:r>
      <w:r>
        <w:rPr>
          <w:rFonts w:hint="eastAsia" w:eastAsia="仿宋_GB2312" w:cs="仿宋_GB2312"/>
          <w:sz w:val="32"/>
          <w:szCs w:val="32"/>
        </w:rPr>
        <w:t>万元，下降14.81%。决算数与预算数持平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sz w:val="32"/>
          <w:szCs w:val="32"/>
        </w:rPr>
        <w:t>2024</w:t>
      </w:r>
      <w:r>
        <w:rPr>
          <w:rFonts w:hint="eastAsia" w:ascii="仿宋_GB2312" w:hAnsi="仿宋_GB2312" w:eastAsia="仿宋_GB2312" w:cs="仿宋_GB2312"/>
          <w:sz w:val="32"/>
          <w:szCs w:val="32"/>
        </w:rPr>
        <w:t>年度“三公”经费财政拨款支出决算中，因公出国（境）费支出决算</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ascii="Times New Roman" w:hAnsi="Times New Roman" w:eastAsia="仿宋_GB2312" w:cs="仿宋_GB2312"/>
          <w:sz w:val="32"/>
          <w:szCs w:val="32"/>
          <w:lang w:val="en-US" w:eastAsia="zh-CN"/>
        </w:rPr>
        <w:t>2.42</w:t>
      </w:r>
      <w:r>
        <w:rPr>
          <w:rFonts w:hint="eastAsia" w:ascii="仿宋_GB2312" w:hAnsi="仿宋_GB2312" w:eastAsia="仿宋_GB2312" w:cs="仿宋_GB2312"/>
          <w:sz w:val="32"/>
          <w:szCs w:val="32"/>
        </w:rPr>
        <w:t>万元，占</w:t>
      </w:r>
      <w:r>
        <w:rPr>
          <w:rFonts w:hint="eastAsia" w:ascii="Times New Roman" w:hAnsi="Times New Roman" w:eastAsia="仿宋_GB2312" w:cs="仿宋_GB2312"/>
          <w:sz w:val="32"/>
          <w:szCs w:val="32"/>
          <w:lang w:val="en-US" w:eastAsia="zh-CN"/>
        </w:rPr>
        <w:t>100%</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%。具体情况如下：</w:t>
      </w:r>
    </w:p>
    <w:p>
      <w:pPr>
        <w:pStyle w:val="8"/>
        <w:bidi w:val="0"/>
        <w:rPr>
          <w:rFonts w:hint="eastAsia"/>
        </w:rPr>
      </w:pPr>
    </w:p>
    <w:p>
      <w:pPr>
        <w:pStyle w:val="8"/>
        <w:bidi w:val="0"/>
        <w:rPr>
          <w:rFonts w:hint="eastAsia"/>
        </w:rPr>
      </w:pPr>
    </w:p>
    <w:p>
      <w:pPr>
        <w:pStyle w:val="8"/>
        <w:bidi w:val="0"/>
        <w:rPr>
          <w:rFonts w:hint="eastAsia"/>
        </w:rPr>
      </w:pPr>
      <w:r>
        <w:drawing>
          <wp:inline distT="0" distB="0" distL="114300" distR="114300">
            <wp:extent cx="4890770" cy="2906395"/>
            <wp:effectExtent l="4445" t="4445" r="19685" b="22860"/>
            <wp:docPr id="2513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eastAsia="仿宋_GB2312" w:cs="仿宋_GB2312"/>
          <w:sz w:val="32"/>
          <w:szCs w:val="32"/>
        </w:rPr>
      </w:pPr>
      <w:r>
        <w:rPr>
          <w:rFonts w:hint="eastAsia" w:eastAsia="仿宋_GB2312" w:cs="仿宋_GB2312"/>
          <w:sz w:val="32"/>
          <w:szCs w:val="32"/>
        </w:rPr>
        <w:t>（图7：“三公”经费财政拨款支出结构）</w:t>
      </w:r>
    </w:p>
    <w:p>
      <w:pPr>
        <w:numPr>
          <w:ilvl w:val="0"/>
          <w:numId w:val="0"/>
        </w:numPr>
        <w:spacing w:line="600" w:lineRule="exact"/>
        <w:ind w:firstLine="643" w:firstLineChars="200"/>
        <w:rPr>
          <w:rFonts w:hint="eastAsia" w:eastAsia="仿宋_GB2312" w:cs="仿宋_GB2312"/>
          <w:sz w:val="32"/>
          <w:szCs w:val="32"/>
          <w:lang w:val="en-US" w:eastAsia="zh-CN"/>
        </w:rPr>
      </w:pPr>
      <w:r>
        <w:rPr>
          <w:rFonts w:hint="eastAsia" w:eastAsia="仿宋_GB2312" w:cs="仿宋_GB2312"/>
          <w:b/>
          <w:bCs/>
          <w:sz w:val="32"/>
          <w:szCs w:val="32"/>
          <w:lang w:val="en-US" w:eastAsia="zh-CN"/>
        </w:rPr>
        <w:t>1.</w:t>
      </w:r>
      <w:r>
        <w:rPr>
          <w:rFonts w:hint="eastAsia" w:eastAsia="仿宋_GB2312" w:cs="仿宋_GB2312"/>
          <w:b/>
          <w:bCs/>
          <w:sz w:val="32"/>
          <w:szCs w:val="32"/>
        </w:rPr>
        <w:t>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ascii="Times New Roman" w:hAnsi="Times New Roman" w:eastAsia="仿宋_GB2312" w:cs="仿宋_GB2312"/>
          <w:sz w:val="32"/>
          <w:szCs w:val="32"/>
          <w:lang w:val="en-US" w:eastAsia="zh-CN"/>
        </w:rPr>
        <w:t>0</w:t>
      </w:r>
      <w:r>
        <w:rPr>
          <w:rFonts w:hint="eastAsia" w:eastAsia="仿宋_GB2312" w:cs="仿宋_GB2312"/>
          <w:sz w:val="32"/>
          <w:szCs w:val="32"/>
        </w:rPr>
        <w:t>次，出国（境）</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w:t>
      </w:r>
      <w:r>
        <w:rPr>
          <w:rFonts w:hint="eastAsia" w:eastAsia="仿宋_GB2312" w:cs="仿宋_GB2312"/>
          <w:sz w:val="32"/>
          <w:szCs w:val="32"/>
        </w:rPr>
        <w:t>2023年</w:t>
      </w:r>
      <w:r>
        <w:rPr>
          <w:rFonts w:hint="eastAsia" w:eastAsia="仿宋_GB2312" w:cs="仿宋_GB2312"/>
          <w:sz w:val="32"/>
          <w:szCs w:val="32"/>
          <w:lang w:val="en-US" w:eastAsia="zh-CN"/>
        </w:rPr>
        <w:t>一致。</w:t>
      </w:r>
    </w:p>
    <w:p>
      <w:pPr>
        <w:numPr>
          <w:ilvl w:val="0"/>
          <w:numId w:val="0"/>
        </w:numPr>
        <w:spacing w:line="600" w:lineRule="exact"/>
        <w:ind w:firstLine="643" w:firstLineChars="200"/>
        <w:rPr>
          <w:rFonts w:hint="default" w:eastAsia="仿宋_GB2312" w:cs="仿宋_GB2312"/>
          <w:sz w:val="32"/>
          <w:szCs w:val="32"/>
          <w:lang w:val="en-US" w:eastAsia="zh-CN"/>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lang w:val="en-US" w:eastAsia="zh-CN"/>
        </w:rPr>
        <w:t>2.42</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公务用车购置及运行维护费支出决算比2023年度增加/减少0.42万元，下降14.81%。主要原因是</w:t>
      </w:r>
      <w:r>
        <w:rPr>
          <w:rFonts w:hint="eastAsia" w:eastAsia="仿宋_GB2312" w:cs="仿宋_GB2312"/>
          <w:sz w:val="32"/>
          <w:szCs w:val="32"/>
          <w:lang w:val="en-US" w:eastAsia="zh-CN"/>
        </w:rPr>
        <w:t>厉行节约原则，减少三公经费开支。</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Times New Roman" w:hAnsi="Times New Roman" w:eastAsia="仿宋_GB2312" w:cs="仿宋_GB2312"/>
          <w:sz w:val="32"/>
          <w:szCs w:val="32"/>
        </w:rPr>
        <w:t>出</w:t>
      </w:r>
      <w:r>
        <w:rPr>
          <w:rFonts w:hint="eastAsia" w:ascii="Times New Roman" w:hAnsi="Times New Roman"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ascii="Times New Roman" w:hAnsi="Times New Roman" w:eastAsia="仿宋_GB2312" w:cs="仿宋_GB2312"/>
          <w:sz w:val="32"/>
          <w:szCs w:val="32"/>
          <w:lang w:val="en-US" w:eastAsia="zh-CN"/>
        </w:rPr>
        <w:t>0</w:t>
      </w:r>
      <w:r>
        <w:rPr>
          <w:rFonts w:hint="eastAsia" w:eastAsia="仿宋_GB2312" w:cs="仿宋_GB2312"/>
          <w:sz w:val="32"/>
          <w:szCs w:val="32"/>
        </w:rPr>
        <w:t>辆，其中：轿车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万元，越野车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万元，载客汽车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万元。截至2024年12月31日，单位共有公务用车</w:t>
      </w:r>
      <w:r>
        <w:rPr>
          <w:rFonts w:hint="eastAsia" w:eastAsia="仿宋_GB2312" w:cs="仿宋_GB2312"/>
          <w:sz w:val="32"/>
          <w:szCs w:val="32"/>
          <w:lang w:val="en-US" w:eastAsia="zh-CN"/>
        </w:rPr>
        <w:t>1</w:t>
      </w:r>
      <w:r>
        <w:rPr>
          <w:rFonts w:hint="eastAsia" w:eastAsia="仿宋_GB2312" w:cs="仿宋_GB2312"/>
          <w:sz w:val="32"/>
          <w:szCs w:val="32"/>
        </w:rPr>
        <w:t>辆，其中：轿车</w:t>
      </w:r>
      <w:r>
        <w:rPr>
          <w:rFonts w:hint="eastAsia" w:eastAsia="仿宋_GB2312" w:cs="仿宋_GB2312"/>
          <w:sz w:val="32"/>
          <w:szCs w:val="32"/>
          <w:lang w:val="en-US" w:eastAsia="zh-CN"/>
        </w:rPr>
        <w:t>1</w:t>
      </w:r>
      <w:r>
        <w:rPr>
          <w:rFonts w:hint="eastAsia" w:eastAsia="仿宋_GB2312" w:cs="仿宋_GB2312"/>
          <w:sz w:val="32"/>
          <w:szCs w:val="32"/>
        </w:rPr>
        <w:t>辆、越野车</w:t>
      </w:r>
      <w:r>
        <w:rPr>
          <w:rFonts w:hint="eastAsia" w:eastAsia="仿宋_GB2312" w:cs="仿宋_GB2312"/>
          <w:sz w:val="32"/>
          <w:szCs w:val="32"/>
          <w:lang w:val="en-US" w:eastAsia="zh-CN"/>
        </w:rPr>
        <w:t>0</w:t>
      </w:r>
      <w:r>
        <w:rPr>
          <w:rFonts w:hint="eastAsia" w:eastAsia="仿宋_GB2312" w:cs="仿宋_GB2312"/>
          <w:sz w:val="32"/>
          <w:szCs w:val="32"/>
        </w:rPr>
        <w:t>辆、载客汽车</w:t>
      </w:r>
      <w:r>
        <w:rPr>
          <w:rFonts w:hint="eastAsia" w:eastAsia="仿宋_GB2312" w:cs="仿宋_GB2312"/>
          <w:sz w:val="32"/>
          <w:szCs w:val="32"/>
          <w:lang w:val="en-US" w:eastAsia="zh-CN"/>
        </w:rPr>
        <w:t>0</w:t>
      </w:r>
      <w:r>
        <w:rPr>
          <w:rFonts w:hint="eastAsia" w:eastAsia="仿宋_GB2312" w:cs="仿宋_GB2312"/>
          <w:sz w:val="32"/>
          <w:szCs w:val="32"/>
        </w:rPr>
        <w:t>辆。</w:t>
      </w:r>
    </w:p>
    <w:p>
      <w:pPr>
        <w:spacing w:line="600" w:lineRule="exact"/>
        <w:ind w:firstLine="640"/>
        <w:rPr>
          <w:rFonts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ascii="Times New Roman" w:hAnsi="Times New Roman" w:eastAsia="仿宋_GB2312" w:cs="仿宋_GB2312"/>
          <w:sz w:val="32"/>
          <w:szCs w:val="32"/>
          <w:lang w:val="en-US" w:eastAsia="zh-CN"/>
        </w:rPr>
        <w:t>2.42</w:t>
      </w:r>
      <w:r>
        <w:rPr>
          <w:rFonts w:hint="eastAsia" w:eastAsia="仿宋_GB2312" w:cs="仿宋_GB2312"/>
          <w:sz w:val="32"/>
          <w:szCs w:val="32"/>
        </w:rPr>
        <w:t>万元。主要用于</w:t>
      </w:r>
      <w:r>
        <w:rPr>
          <w:rFonts w:hint="eastAsia" w:eastAsia="仿宋_GB2312" w:cs="仿宋_GB2312"/>
          <w:sz w:val="32"/>
          <w:szCs w:val="32"/>
          <w:lang w:val="en-US" w:eastAsia="zh-CN"/>
        </w:rPr>
        <w:t>公路养护</w:t>
      </w:r>
      <w:r>
        <w:rPr>
          <w:rFonts w:hint="eastAsia" w:eastAsia="仿宋_GB2312" w:cs="仿宋_GB2312"/>
          <w:sz w:val="32"/>
          <w:szCs w:val="32"/>
        </w:rPr>
        <w:t>等所需的公务用车燃料费、维修费、过路过桥费、保险费等支出。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公务接待费支出决算</w:t>
      </w:r>
      <w:r>
        <w:rPr>
          <w:rFonts w:hint="eastAsia" w:eastAsia="仿宋_GB2312" w:cs="仿宋_GB2312"/>
          <w:sz w:val="32"/>
          <w:szCs w:val="32"/>
          <w:lang w:val="en-US" w:eastAsia="zh-CN"/>
        </w:rPr>
        <w:t>与</w:t>
      </w:r>
      <w:r>
        <w:rPr>
          <w:rFonts w:hint="eastAsia" w:ascii="Times New Roman" w:hAnsi="Times New Roman" w:eastAsia="仿宋_GB2312" w:cs="仿宋_GB2312"/>
          <w:sz w:val="32"/>
          <w:szCs w:val="32"/>
          <w:lang w:val="en-US" w:eastAsia="zh-CN"/>
        </w:rPr>
        <w:t>2023</w:t>
      </w:r>
      <w:r>
        <w:rPr>
          <w:rFonts w:hint="eastAsia" w:eastAsia="仿宋_GB2312" w:cs="仿宋_GB2312"/>
          <w:sz w:val="32"/>
          <w:szCs w:val="32"/>
        </w:rPr>
        <w:t>年度</w:t>
      </w:r>
      <w:r>
        <w:rPr>
          <w:rFonts w:hint="eastAsia" w:eastAsia="仿宋_GB2312" w:cs="仿宋_GB2312"/>
          <w:sz w:val="32"/>
          <w:szCs w:val="32"/>
          <w:lang w:val="en-US" w:eastAsia="zh-CN"/>
        </w:rPr>
        <w:t>一致</w:t>
      </w:r>
      <w:r>
        <w:rPr>
          <w:rFonts w:hint="eastAsia" w:eastAsia="仿宋_GB2312" w:cs="仿宋_GB2312"/>
          <w:sz w:val="32"/>
          <w:szCs w:val="32"/>
        </w:rPr>
        <w:t>。其中：</w:t>
      </w:r>
    </w:p>
    <w:p>
      <w:pPr>
        <w:spacing w:line="600" w:lineRule="exact"/>
        <w:ind w:firstLine="640"/>
        <w:rPr>
          <w:rFonts w:eastAsia="仿宋_GB2312" w:cs="仿宋_GB2312"/>
          <w:sz w:val="32"/>
          <w:szCs w:val="32"/>
        </w:rPr>
      </w:pPr>
      <w:r>
        <w:rPr>
          <w:rFonts w:hint="eastAsia" w:eastAsia="仿宋_GB2312" w:cs="仿宋_GB2312"/>
          <w:sz w:val="32"/>
          <w:szCs w:val="32"/>
        </w:rPr>
        <w:t>国内公务接待支</w:t>
      </w:r>
      <w:r>
        <w:rPr>
          <w:rFonts w:hint="eastAsia" w:ascii="仿宋_GB2312" w:hAnsi="仿宋_GB2312" w:eastAsia="仿宋_GB2312" w:cs="仿宋_GB2312"/>
          <w:sz w:val="32"/>
          <w:szCs w:val="32"/>
        </w:rPr>
        <w:t>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元。国内公务接</w:t>
      </w:r>
      <w:r>
        <w:rPr>
          <w:rFonts w:hint="eastAsia" w:ascii="仿宋_GB2312" w:hAnsi="仿宋_GB2312" w:eastAsia="仿宋_GB2312" w:cs="仿宋_GB2312"/>
          <w:sz w:val="32"/>
          <w:szCs w:val="32"/>
        </w:rPr>
        <w:t>待</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批次，</w:t>
      </w:r>
      <w:r>
        <w:rPr>
          <w:rFonts w:hint="eastAsia" w:ascii="Times New Roman" w:hAnsi="Times New Roman" w:eastAsia="仿宋_GB2312" w:cs="仿宋_GB2312"/>
          <w:sz w:val="32"/>
          <w:szCs w:val="32"/>
          <w:lang w:val="en-US" w:eastAsia="zh-CN"/>
        </w:rPr>
        <w:t>0</w:t>
      </w:r>
      <w:r>
        <w:rPr>
          <w:rFonts w:hint="eastAsia" w:eastAsia="仿宋_GB2312" w:cs="仿宋_GB2312"/>
          <w:sz w:val="32"/>
          <w:szCs w:val="32"/>
        </w:rPr>
        <w:t>人次（不包括陪同人员），共计支出</w:t>
      </w:r>
      <w:r>
        <w:rPr>
          <w:rFonts w:hint="eastAsia" w:ascii="Times New Roman" w:hAnsi="Times New Roman" w:eastAsia="仿宋_GB2312" w:cs="仿宋_GB2312"/>
          <w:sz w:val="32"/>
          <w:szCs w:val="32"/>
          <w:lang w:val="en-US" w:eastAsia="zh-CN"/>
        </w:rPr>
        <w:t>0</w:t>
      </w:r>
      <w:r>
        <w:rPr>
          <w:rFonts w:hint="eastAsia" w:eastAsia="仿宋_GB2312" w:cs="仿宋_GB2312"/>
          <w:sz w:val="32"/>
          <w:szCs w:val="32"/>
        </w:rPr>
        <w:t>万元。</w:t>
      </w:r>
    </w:p>
    <w:p>
      <w:pPr>
        <w:spacing w:line="600" w:lineRule="exact"/>
        <w:ind w:firstLine="640"/>
        <w:rPr>
          <w:rFonts w:eastAsia="仿宋_GB2312" w:cs="仿宋_GB2312"/>
          <w:sz w:val="32"/>
          <w:szCs w:val="32"/>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万元。外事接待</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批次</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人次（不包括陪同人员），共计支出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w:t>
      </w:r>
      <w:bookmarkStart w:id="45" w:name="_Toc15396610"/>
      <w:bookmarkStart w:id="46" w:name="_Toc15377218"/>
    </w:p>
    <w:p>
      <w:pPr>
        <w:spacing w:line="600" w:lineRule="exact"/>
        <w:ind w:firstLine="640"/>
        <w:outlineLvl w:val="1"/>
        <w:rPr>
          <w:rStyle w:val="29"/>
          <w:rFonts w:ascii="Times New Roman" w:hAnsi="Times New Roman" w:eastAsia="黑体"/>
        </w:rPr>
      </w:pPr>
      <w:bookmarkStart w:id="47" w:name="_Toc25756"/>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pPr>
      <w:r>
        <w:rPr>
          <w:rFonts w:hint="eastAsia" w:ascii="Times New Roman" w:hAnsi="Times New Roman" w:eastAsia="仿宋_GB2312" w:cs="仿宋_GB2312"/>
          <w:sz w:val="32"/>
          <w:szCs w:val="32"/>
          <w:lang w:val="en-US" w:eastAsia="zh-CN"/>
        </w:rPr>
        <w:t>2024</w:t>
      </w:r>
      <w:r>
        <w:rPr>
          <w:rFonts w:hint="eastAsia" w:ascii="仿宋_GB2312" w:hAnsi="仿宋_GB2312" w:eastAsia="仿宋_GB2312" w:cs="仿宋_GB2312"/>
          <w:sz w:val="32"/>
          <w:szCs w:val="32"/>
        </w:rPr>
        <w:t>年度政府性基金预算财政拨款支出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p>
    <w:p>
      <w:pPr>
        <w:spacing w:line="600" w:lineRule="exact"/>
        <w:ind w:left="630"/>
        <w:outlineLvl w:val="1"/>
        <w:rPr>
          <w:rStyle w:val="29"/>
          <w:rFonts w:ascii="Times New Roman" w:hAnsi="Times New Roman" w:eastAsia="黑体"/>
          <w:b w:val="0"/>
        </w:rPr>
      </w:pPr>
      <w:bookmarkStart w:id="48" w:name="_Toc15396611"/>
      <w:bookmarkStart w:id="49" w:name="_Toc15377219"/>
      <w:bookmarkStart w:id="50" w:name="_Toc14522"/>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eastAsia="仿宋_GB2312" w:cs="仿宋_GB2312"/>
          <w:sz w:val="32"/>
          <w:szCs w:val="32"/>
        </w:rPr>
      </w:pPr>
      <w:r>
        <w:rPr>
          <w:rFonts w:hint="eastAsia" w:eastAsia="仿宋_GB2312" w:cs="仿宋_GB2312"/>
          <w:sz w:val="32"/>
          <w:szCs w:val="32"/>
        </w:rPr>
        <w:t>2024年度国有资本经营预算财政拨款支出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p>
    <w:p>
      <w:pPr>
        <w:spacing w:line="600" w:lineRule="exact"/>
        <w:ind w:left="630"/>
        <w:outlineLvl w:val="1"/>
        <w:rPr>
          <w:rStyle w:val="29"/>
          <w:rFonts w:ascii="Times New Roman" w:hAnsi="Times New Roman" w:eastAsia="黑体"/>
          <w:b w:val="0"/>
        </w:rPr>
      </w:pPr>
      <w:bookmarkStart w:id="51" w:name="_Toc15396612"/>
      <w:bookmarkStart w:id="52" w:name="_Toc15377221"/>
      <w:bookmarkStart w:id="53" w:name="_Toc28940"/>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，阿坝藏族羌族自治州公路管理局都江堰干休所机关运行经费支出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w:t>
      </w:r>
      <w:r>
        <w:rPr>
          <w:rFonts w:hint="eastAsia" w:eastAsia="仿宋_GB2312" w:cs="仿宋_GB2312"/>
          <w:sz w:val="32"/>
          <w:szCs w:val="32"/>
          <w:lang w:val="en-US" w:eastAsia="zh-CN"/>
        </w:rPr>
        <w:t>与</w:t>
      </w:r>
      <w:r>
        <w:rPr>
          <w:rFonts w:hint="eastAsia" w:eastAsia="仿宋_GB2312" w:cs="仿宋_GB2312"/>
          <w:sz w:val="32"/>
          <w:szCs w:val="32"/>
        </w:rPr>
        <w:t>2023年度增</w:t>
      </w:r>
      <w:r>
        <w:rPr>
          <w:rFonts w:hint="eastAsia" w:eastAsia="仿宋_GB2312" w:cs="仿宋_GB2312"/>
          <w:sz w:val="32"/>
          <w:szCs w:val="32"/>
          <w:lang w:val="en-US" w:eastAsia="zh-CN"/>
        </w:rPr>
        <w:t>一致。</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eastAsia="仿宋_GB2312" w:cs="仿宋_GB2312"/>
          <w:sz w:val="32"/>
          <w:szCs w:val="32"/>
        </w:rPr>
      </w:pPr>
      <w:r>
        <w:rPr>
          <w:rFonts w:hint="eastAsia" w:ascii="Times New Roman" w:hAnsi="Times New Roman" w:eastAsia="仿宋_GB2312" w:cs="仿宋_GB2312"/>
          <w:sz w:val="32"/>
          <w:szCs w:val="32"/>
          <w:lang w:val="en-US" w:eastAsia="zh-CN"/>
        </w:rPr>
        <w:t>2024</w:t>
      </w:r>
      <w:r>
        <w:rPr>
          <w:rFonts w:hint="eastAsia" w:ascii="仿宋_GB2312" w:hAnsi="仿宋_GB2312" w:eastAsia="仿宋_GB2312" w:cs="仿宋_GB2312"/>
          <w:sz w:val="32"/>
          <w:szCs w:val="32"/>
        </w:rPr>
        <w:t>年度，阿坝藏族羌族自治州公路管理局都江堰干休所政府采购支出总</w:t>
      </w:r>
      <w:r>
        <w:rPr>
          <w:rFonts w:hint="eastAsia" w:ascii="Times New Roman" w:hAnsi="Times New Roman" w:eastAsia="仿宋_GB2312" w:cs="仿宋_GB2312"/>
          <w:sz w:val="32"/>
          <w:szCs w:val="32"/>
          <w:lang w:val="en-US" w:eastAsia="zh-CN"/>
        </w:rPr>
        <w:t>额0</w:t>
      </w:r>
      <w:r>
        <w:rPr>
          <w:rFonts w:hint="eastAsia" w:ascii="仿宋_GB2312" w:hAnsi="仿宋_GB2312" w:eastAsia="仿宋_GB2312" w:cs="仿宋_GB2312"/>
          <w:sz w:val="32"/>
          <w:szCs w:val="32"/>
        </w:rPr>
        <w:t>万元，其中：政府采购货物支出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截至</w:t>
      </w:r>
      <w:r>
        <w:rPr>
          <w:rFonts w:hint="eastAsia" w:ascii="Times New Roman" w:hAnsi="Times New Roman" w:eastAsia="仿宋_GB2312" w:cs="仿宋_GB2312"/>
          <w:sz w:val="32"/>
          <w:szCs w:val="32"/>
          <w:lang w:val="en-US" w:eastAsia="zh-CN"/>
        </w:rPr>
        <w:t>2024年12月31</w:t>
      </w:r>
      <w:r>
        <w:rPr>
          <w:rFonts w:hint="eastAsia" w:ascii="仿宋_GB2312" w:hAnsi="仿宋_GB2312" w:eastAsia="仿宋_GB2312" w:cs="仿宋_GB2312"/>
          <w:sz w:val="32"/>
          <w:szCs w:val="32"/>
        </w:rPr>
        <w:t>日，阿坝藏族羌族自治州公路管理局都江堰干休所共有车辆</w:t>
      </w: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rPr>
        <w:t>辆，其中：主要负责人用车</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rPr>
        <w:t>辆、其他用车</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。单</w:t>
      </w:r>
      <w:r>
        <w:rPr>
          <w:rFonts w:hint="eastAsia" w:ascii="Times New Roman" w:hAnsi="Times New Roman" w:eastAsia="仿宋_GB2312" w:cs="仿宋_GB2312"/>
          <w:sz w:val="32"/>
          <w:szCs w:val="32"/>
          <w:lang w:val="en-US" w:eastAsia="zh-CN"/>
        </w:rPr>
        <w:t>价100</w:t>
      </w:r>
      <w:r>
        <w:rPr>
          <w:rFonts w:hint="eastAsia" w:ascii="仿宋_GB2312" w:hAnsi="仿宋_GB2312" w:eastAsia="仿宋_GB2312" w:cs="仿宋_GB2312"/>
          <w:sz w:val="32"/>
          <w:szCs w:val="32"/>
        </w:rPr>
        <w:t>万元（含）以上设备（不含车辆）</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本单位在2024年度预算编制阶段未开展项目绩效自评。</w:t>
      </w:r>
    </w:p>
    <w:p>
      <w:pPr>
        <w:pStyle w:val="8"/>
        <w:bidi w:val="0"/>
      </w:pPr>
    </w:p>
    <w:p>
      <w:pPr>
        <w:pStyle w:val="8"/>
        <w:bidi w:val="0"/>
        <w:rPr>
          <w:rFonts w:hint="eastAsia"/>
        </w:rPr>
      </w:pPr>
      <w:bookmarkStart w:id="57" w:name="_Toc15377225"/>
      <w:bookmarkStart w:id="58" w:name="_Toc15396613"/>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5"/>
        <w:jc w:val="center"/>
        <w:rPr>
          <w:rFonts w:hint="eastAsia" w:eastAsia="方正小标宋简体" w:cs="方正小标宋简体"/>
          <w:b w:val="0"/>
        </w:rPr>
      </w:pPr>
      <w:bookmarkStart w:id="59" w:name="_Toc21700"/>
      <w:r>
        <w:rPr>
          <w:rFonts w:hint="eastAsia" w:eastAsia="方正小标宋简体" w:cs="方正小标宋简体"/>
          <w:b w:val="0"/>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社会保障和就业支出（类）行政事业单位养老支出（款）机关事业单位基本养老保险缴费支出（项）</w:t>
      </w:r>
      <w:r>
        <w:rPr>
          <w:rFonts w:hint="eastAsia" w:eastAsia="仿宋_GB2312" w:cs="仿宋_GB2312"/>
          <w:sz w:val="32"/>
          <w:szCs w:val="32"/>
          <w:lang w:eastAsia="zh-CN"/>
        </w:rPr>
        <w:t>：</w:t>
      </w:r>
      <w:r>
        <w:rPr>
          <w:rFonts w:hint="eastAsia" w:eastAsia="仿宋_GB2312" w:cs="仿宋_GB2312"/>
          <w:sz w:val="32"/>
          <w:szCs w:val="32"/>
          <w:lang w:val="en-US" w:eastAsia="zh-CN"/>
        </w:rPr>
        <w:t>指</w:t>
      </w:r>
      <w:r>
        <w:rPr>
          <w:rFonts w:hint="eastAsia" w:eastAsia="仿宋_GB2312" w:cs="仿宋_GB2312"/>
          <w:sz w:val="32"/>
          <w:szCs w:val="32"/>
        </w:rPr>
        <w:t>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.社会保障和就业支出（类）行政事业单位养老支出（款）机关事业单位职业年金缴费支出（项）</w:t>
      </w:r>
      <w:r>
        <w:rPr>
          <w:rFonts w:hint="eastAsia" w:eastAsia="仿宋_GB2312" w:cs="仿宋_GB2312"/>
          <w:sz w:val="32"/>
          <w:szCs w:val="32"/>
          <w:lang w:eastAsia="zh-CN"/>
        </w:rPr>
        <w:t>：</w:t>
      </w:r>
      <w:r>
        <w:rPr>
          <w:rFonts w:hint="eastAsia" w:eastAsia="仿宋_GB2312" w:cs="仿宋_GB2312"/>
          <w:sz w:val="32"/>
          <w:szCs w:val="32"/>
          <w:lang w:val="en-US" w:eastAsia="zh-CN"/>
        </w:rPr>
        <w:t>指反映机关事业单位实施养老保险制度由单位实际缴纳的职业年金支出</w:t>
      </w:r>
      <w:r>
        <w:rPr>
          <w:rFonts w:hint="eastAsia" w:eastAsia="仿宋_GB2312" w:cs="仿宋_GB2312"/>
          <w:sz w:val="32"/>
          <w:szCs w:val="32"/>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4.社会保障和就业支出（类）抚恤（款）事业单位离退休（项）：指事业单位工作人员达到国家规定的退休年龄或满足特定条件后，依法终止工作并享受相应的退休待遇支出。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w:t>
      </w:r>
      <w:r>
        <w:rPr>
          <w:rFonts w:hint="eastAsia" w:eastAsia="仿宋_GB2312" w:cs="仿宋_GB2312"/>
          <w:sz w:val="32"/>
          <w:szCs w:val="32"/>
          <w:lang w:eastAsia="zh-CN"/>
        </w:rPr>
        <w:t>：</w:t>
      </w:r>
      <w:r>
        <w:rPr>
          <w:rFonts w:hint="eastAsia" w:eastAsia="仿宋_GB2312" w:cs="仿宋_GB2312"/>
          <w:sz w:val="32"/>
          <w:szCs w:val="32"/>
        </w:rPr>
        <w:t xml:space="preserve"> </w:t>
      </w:r>
      <w:r>
        <w:rPr>
          <w:rFonts w:hint="eastAsia" w:eastAsia="仿宋_GB2312" w:cs="仿宋_GB2312"/>
          <w:sz w:val="32"/>
          <w:szCs w:val="32"/>
          <w:lang w:val="en-US" w:eastAsia="zh-CN"/>
        </w:rPr>
        <w:t>指</w:t>
      </w:r>
      <w:r>
        <w:rPr>
          <w:rFonts w:hint="eastAsia" w:eastAsia="仿宋_GB2312" w:cs="仿宋_GB2312"/>
          <w:sz w:val="32"/>
          <w:szCs w:val="32"/>
        </w:rPr>
        <w:t>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w:t>
      </w:r>
      <w:r>
        <w:rPr>
          <w:rFonts w:hint="eastAsia" w:eastAsia="仿宋_GB2312" w:cs="仿宋_GB2312"/>
          <w:sz w:val="32"/>
          <w:szCs w:val="32"/>
          <w:lang w:eastAsia="zh-CN"/>
        </w:rPr>
        <w:t>：</w:t>
      </w:r>
      <w:r>
        <w:rPr>
          <w:rFonts w:hint="eastAsia" w:eastAsia="仿宋_GB2312" w:cs="仿宋_GB2312"/>
          <w:sz w:val="32"/>
          <w:szCs w:val="32"/>
          <w:lang w:val="en-US" w:eastAsia="zh-CN"/>
        </w:rPr>
        <w:t>指</w:t>
      </w:r>
      <w:r>
        <w:rPr>
          <w:rFonts w:hint="eastAsia" w:eastAsia="仿宋_GB2312" w:cs="仿宋_GB2312"/>
          <w:sz w:val="32"/>
          <w:szCs w:val="32"/>
        </w:rPr>
        <w:t>反映除上述项目以外的其他用于行政事业单位医疗方面的支出。</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w:t>
      </w:r>
      <w:r>
        <w:rPr>
          <w:rFonts w:hint="eastAsia" w:eastAsia="仿宋_GB2312" w:cs="仿宋_GB2312"/>
          <w:sz w:val="32"/>
          <w:szCs w:val="32"/>
          <w:lang w:val="en-US" w:eastAsia="zh-CN"/>
        </w:rPr>
        <w:t>（项）：指反映公路养护支出。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8.住房保障支出（类）住房改革支出（款）住房公积金（项）：指反映行政事业单位按人力资源和社会保障部、</w:t>
      </w:r>
      <w:r>
        <w:rPr>
          <w:rFonts w:hint="eastAsia" w:eastAsia="仿宋_GB2312" w:cs="仿宋_GB2312"/>
          <w:sz w:val="32"/>
          <w:szCs w:val="32"/>
        </w:rPr>
        <w:t>财政部规定的 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5"/>
        <w:jc w:val="center"/>
        <w:rPr>
          <w:rStyle w:val="28"/>
          <w:rFonts w:eastAsia="黑体"/>
          <w:b w:val="0"/>
          <w:bCs/>
        </w:rPr>
      </w:pPr>
      <w:bookmarkStart w:id="60" w:name="_Toc15377226"/>
      <w:r>
        <w:rPr>
          <w:rFonts w:hint="eastAsia" w:eastAsia="仿宋_GB2312" w:cs="仿宋_GB2312"/>
          <w:sz w:val="32"/>
          <w:szCs w:val="32"/>
        </w:rPr>
        <w:br w:type="page"/>
      </w:r>
      <w:bookmarkStart w:id="61" w:name="_Toc15396614"/>
      <w:bookmarkStart w:id="62" w:name="_Toc17279"/>
      <w:r>
        <w:rPr>
          <w:rFonts w:hint="eastAsia" w:eastAsia="方正小标宋简体" w:cs="方正小标宋简体"/>
          <w:b w:val="0"/>
        </w:rPr>
        <w:t>第四部分  附件</w:t>
      </w:r>
      <w:bookmarkEnd w:id="61"/>
      <w:bookmarkEnd w:id="62"/>
    </w:p>
    <w:p>
      <w:pPr>
        <w:spacing w:line="600" w:lineRule="exact"/>
        <w:ind w:firstLine="640"/>
        <w:rPr>
          <w:rFonts w:hint="eastAsia" w:eastAsia="仿宋_GB2312" w:cs="仿宋_GB2312"/>
          <w:sz w:val="32"/>
          <w:szCs w:val="32"/>
        </w:rPr>
      </w:pPr>
      <w:r>
        <w:rPr>
          <w:rFonts w:hint="eastAsia" w:eastAsia="仿宋_GB2312" w:cs="仿宋_GB2312"/>
          <w:sz w:val="32"/>
          <w:szCs w:val="32"/>
        </w:rPr>
        <w:t>202</w:t>
      </w:r>
      <w:r>
        <w:rPr>
          <w:rFonts w:hint="eastAsia" w:eastAsia="仿宋_GB2312" w:cs="仿宋_GB2312"/>
          <w:sz w:val="32"/>
          <w:szCs w:val="32"/>
          <w:lang w:val="en-US" w:eastAsia="zh-CN"/>
        </w:rPr>
        <w:t>4</w:t>
      </w:r>
      <w:r>
        <w:rPr>
          <w:rFonts w:hint="eastAsia" w:eastAsia="仿宋_GB2312" w:cs="仿宋_GB2312"/>
          <w:sz w:val="32"/>
          <w:szCs w:val="32"/>
        </w:rPr>
        <w:t>年阿坝藏族羌族自治州公路管理局都江堰干休所无单位预算项目支出绩效自评表。</w:t>
      </w:r>
    </w:p>
    <w:p>
      <w:pPr>
        <w:widowControl/>
        <w:jc w:val="center"/>
        <w:rPr>
          <w:rFonts w:hint="eastAsia" w:eastAsia="黑体"/>
          <w:sz w:val="44"/>
          <w:szCs w:val="44"/>
        </w:rPr>
      </w:pPr>
      <w:bookmarkStart w:id="63" w:name="_Toc15396618"/>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widowControl/>
        <w:jc w:val="center"/>
        <w:rPr>
          <w:rFonts w:hint="eastAsia" w:eastAsia="黑体"/>
          <w:sz w:val="44"/>
          <w:szCs w:val="44"/>
        </w:rPr>
      </w:pPr>
    </w:p>
    <w:p>
      <w:pPr>
        <w:pStyle w:val="8"/>
        <w:bidi w:val="0"/>
        <w:rPr>
          <w:rFonts w:hint="eastAsia"/>
        </w:rPr>
      </w:pPr>
    </w:p>
    <w:p>
      <w:pPr>
        <w:pStyle w:val="5"/>
        <w:jc w:val="center"/>
        <w:rPr>
          <w:rFonts w:hint="eastAsia" w:eastAsia="方正小标宋简体" w:cs="方正小标宋简体"/>
          <w:b w:val="0"/>
        </w:rPr>
      </w:pPr>
      <w:bookmarkStart w:id="64" w:name="_Toc10710"/>
      <w:r>
        <w:rPr>
          <w:rFonts w:hint="eastAsia" w:eastAsia="方正小标宋简体" w:cs="方正小标宋简体"/>
          <w:b w:val="0"/>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6"/>
        <w:bidi w:val="0"/>
        <w:rPr>
          <w:rFonts w:hint="eastAsia" w:ascii="仿宋_GB2312" w:hAnsi="仿宋_GB2312" w:eastAsia="仿宋_GB2312" w:cs="仿宋_GB2312"/>
          <w:b w:val="0"/>
          <w:bCs w:val="0"/>
        </w:rPr>
      </w:pPr>
      <w:bookmarkStart w:id="66" w:name="_Toc7847"/>
      <w:r>
        <w:rPr>
          <w:rFonts w:hint="eastAsia" w:ascii="仿宋_GB2312" w:hAnsi="仿宋_GB2312" w:eastAsia="仿宋_GB2312" w:cs="仿宋_GB2312"/>
          <w:b w:val="0"/>
          <w:bCs w:val="0"/>
        </w:rPr>
        <w:t>一、收入支出决算总表</w:t>
      </w:r>
      <w:bookmarkEnd w:id="65"/>
      <w:bookmarkEnd w:id="66"/>
    </w:p>
    <w:p>
      <w:pPr>
        <w:pStyle w:val="6"/>
        <w:bidi w:val="0"/>
        <w:rPr>
          <w:rFonts w:hint="eastAsia" w:ascii="仿宋_GB2312" w:hAnsi="仿宋_GB2312" w:eastAsia="仿宋_GB2312" w:cs="仿宋_GB2312"/>
          <w:b w:val="0"/>
          <w:bCs w:val="0"/>
        </w:rPr>
      </w:pPr>
      <w:bookmarkStart w:id="67" w:name="_Toc15396620"/>
      <w:bookmarkStart w:id="68" w:name="_Toc19047"/>
      <w:r>
        <w:rPr>
          <w:rFonts w:hint="eastAsia" w:ascii="仿宋_GB2312" w:hAnsi="仿宋_GB2312" w:eastAsia="仿宋_GB2312" w:cs="仿宋_GB2312"/>
          <w:b w:val="0"/>
          <w:bCs w:val="0"/>
        </w:rPr>
        <w:t>二、收入决算表</w:t>
      </w:r>
      <w:bookmarkEnd w:id="67"/>
      <w:bookmarkEnd w:id="68"/>
    </w:p>
    <w:p>
      <w:pPr>
        <w:pStyle w:val="6"/>
        <w:bidi w:val="0"/>
        <w:rPr>
          <w:rFonts w:hint="eastAsia" w:ascii="仿宋_GB2312" w:hAnsi="仿宋_GB2312" w:eastAsia="仿宋_GB2312" w:cs="仿宋_GB2312"/>
          <w:b w:val="0"/>
          <w:bCs w:val="0"/>
        </w:rPr>
      </w:pPr>
      <w:bookmarkStart w:id="69" w:name="_Toc15396621"/>
      <w:bookmarkStart w:id="70" w:name="_Toc25472"/>
      <w:r>
        <w:rPr>
          <w:rFonts w:hint="eastAsia" w:ascii="仿宋_GB2312" w:hAnsi="仿宋_GB2312" w:eastAsia="仿宋_GB2312" w:cs="仿宋_GB2312"/>
          <w:b w:val="0"/>
          <w:bCs w:val="0"/>
        </w:rPr>
        <w:t>三、支出决算表</w:t>
      </w:r>
      <w:bookmarkEnd w:id="69"/>
      <w:bookmarkEnd w:id="70"/>
    </w:p>
    <w:p>
      <w:pPr>
        <w:pStyle w:val="6"/>
        <w:bidi w:val="0"/>
        <w:rPr>
          <w:rFonts w:hint="eastAsia" w:ascii="仿宋_GB2312" w:hAnsi="仿宋_GB2312" w:eastAsia="仿宋_GB2312" w:cs="仿宋_GB2312"/>
          <w:b w:val="0"/>
          <w:bCs w:val="0"/>
        </w:rPr>
      </w:pPr>
      <w:bookmarkStart w:id="71" w:name="_Toc21079"/>
      <w:bookmarkStart w:id="72" w:name="_Toc15396622"/>
      <w:r>
        <w:rPr>
          <w:rFonts w:hint="eastAsia" w:ascii="仿宋_GB2312" w:hAnsi="仿宋_GB2312" w:eastAsia="仿宋_GB2312" w:cs="仿宋_GB2312"/>
          <w:b w:val="0"/>
          <w:bCs w:val="0"/>
        </w:rPr>
        <w:t>四、财政拨款收入支出决算总表</w:t>
      </w:r>
      <w:bookmarkEnd w:id="71"/>
      <w:bookmarkEnd w:id="72"/>
    </w:p>
    <w:p>
      <w:pPr>
        <w:pStyle w:val="6"/>
        <w:bidi w:val="0"/>
        <w:rPr>
          <w:rFonts w:hint="eastAsia" w:ascii="仿宋_GB2312" w:hAnsi="仿宋_GB2312" w:eastAsia="仿宋_GB2312" w:cs="仿宋_GB2312"/>
          <w:b w:val="0"/>
          <w:bCs w:val="0"/>
        </w:rPr>
      </w:pPr>
      <w:bookmarkStart w:id="73" w:name="_Toc15396623"/>
      <w:bookmarkStart w:id="74" w:name="_Toc27101"/>
      <w:r>
        <w:rPr>
          <w:rFonts w:hint="eastAsia" w:ascii="仿宋_GB2312" w:hAnsi="仿宋_GB2312" w:eastAsia="仿宋_GB2312" w:cs="仿宋_GB2312"/>
          <w:b w:val="0"/>
          <w:bCs w:val="0"/>
        </w:rPr>
        <w:t>五、财政拨款支出决算明细表</w:t>
      </w:r>
      <w:bookmarkEnd w:id="73"/>
      <w:bookmarkEnd w:id="74"/>
      <w:bookmarkStart w:id="75" w:name="_Toc15396624"/>
    </w:p>
    <w:p>
      <w:pPr>
        <w:pStyle w:val="6"/>
        <w:bidi w:val="0"/>
        <w:rPr>
          <w:rFonts w:hint="eastAsia" w:ascii="仿宋_GB2312" w:hAnsi="仿宋_GB2312" w:eastAsia="仿宋_GB2312" w:cs="仿宋_GB2312"/>
          <w:b w:val="0"/>
          <w:bCs w:val="0"/>
        </w:rPr>
      </w:pPr>
      <w:bookmarkStart w:id="76" w:name="_Toc32731"/>
      <w:r>
        <w:rPr>
          <w:rFonts w:hint="eastAsia" w:ascii="仿宋_GB2312" w:hAnsi="仿宋_GB2312" w:eastAsia="仿宋_GB2312" w:cs="仿宋_GB2312"/>
          <w:b w:val="0"/>
          <w:bCs w:val="0"/>
        </w:rPr>
        <w:t>六、一般公共预算财政拨款支出决算表</w:t>
      </w:r>
      <w:bookmarkEnd w:id="75"/>
      <w:bookmarkEnd w:id="76"/>
    </w:p>
    <w:p>
      <w:pPr>
        <w:pStyle w:val="6"/>
        <w:bidi w:val="0"/>
        <w:rPr>
          <w:rFonts w:hint="eastAsia" w:ascii="仿宋_GB2312" w:hAnsi="仿宋_GB2312" w:eastAsia="仿宋_GB2312" w:cs="仿宋_GB2312"/>
          <w:b w:val="0"/>
          <w:bCs w:val="0"/>
        </w:rPr>
      </w:pPr>
      <w:bookmarkStart w:id="77" w:name="_Toc19998"/>
      <w:bookmarkStart w:id="78" w:name="_Toc15396625"/>
      <w:r>
        <w:rPr>
          <w:rFonts w:hint="eastAsia" w:ascii="仿宋_GB2312" w:hAnsi="仿宋_GB2312" w:eastAsia="仿宋_GB2312" w:cs="仿宋_GB2312"/>
          <w:b w:val="0"/>
          <w:bCs w:val="0"/>
        </w:rPr>
        <w:t>七、一般公共预算财政拨款支出决算明细表</w:t>
      </w:r>
      <w:bookmarkEnd w:id="77"/>
      <w:bookmarkEnd w:id="78"/>
    </w:p>
    <w:p>
      <w:pPr>
        <w:pStyle w:val="6"/>
        <w:bidi w:val="0"/>
        <w:rPr>
          <w:rFonts w:hint="eastAsia" w:ascii="仿宋_GB2312" w:hAnsi="仿宋_GB2312" w:eastAsia="仿宋_GB2312" w:cs="仿宋_GB2312"/>
          <w:b w:val="0"/>
          <w:bCs w:val="0"/>
        </w:rPr>
      </w:pPr>
      <w:bookmarkStart w:id="79" w:name="_Toc15396626"/>
      <w:bookmarkStart w:id="80" w:name="_Toc205"/>
      <w:r>
        <w:rPr>
          <w:rFonts w:hint="eastAsia" w:ascii="仿宋_GB2312" w:hAnsi="仿宋_GB2312" w:eastAsia="仿宋_GB2312" w:cs="仿宋_GB2312"/>
          <w:b w:val="0"/>
          <w:bCs w:val="0"/>
        </w:rPr>
        <w:t>八、一般公共预算财政拨款基本支出决算表</w:t>
      </w:r>
      <w:bookmarkEnd w:id="79"/>
      <w:bookmarkEnd w:id="80"/>
    </w:p>
    <w:p>
      <w:pPr>
        <w:pStyle w:val="6"/>
        <w:bidi w:val="0"/>
        <w:rPr>
          <w:rFonts w:hint="eastAsia" w:ascii="仿宋_GB2312" w:hAnsi="仿宋_GB2312" w:eastAsia="仿宋_GB2312" w:cs="仿宋_GB2312"/>
          <w:b w:val="0"/>
          <w:bCs w:val="0"/>
        </w:rPr>
      </w:pPr>
      <w:bookmarkStart w:id="81" w:name="_Toc15396627"/>
      <w:bookmarkStart w:id="82" w:name="_Toc26059"/>
      <w:r>
        <w:rPr>
          <w:rFonts w:hint="eastAsia" w:ascii="仿宋_GB2312" w:hAnsi="仿宋_GB2312" w:eastAsia="仿宋_GB2312" w:cs="仿宋_GB2312"/>
          <w:b w:val="0"/>
          <w:bCs w:val="0"/>
        </w:rPr>
        <w:t>九、一般公共预算财政拨款项目支出决算表</w:t>
      </w:r>
      <w:bookmarkEnd w:id="81"/>
      <w:bookmarkEnd w:id="82"/>
    </w:p>
    <w:p>
      <w:pPr>
        <w:pStyle w:val="6"/>
        <w:bidi w:val="0"/>
        <w:rPr>
          <w:rFonts w:hint="eastAsia" w:ascii="仿宋_GB2312" w:hAnsi="仿宋_GB2312" w:eastAsia="仿宋_GB2312" w:cs="仿宋_GB2312"/>
          <w:b w:val="0"/>
          <w:bCs w:val="0"/>
        </w:rPr>
      </w:pPr>
      <w:bookmarkStart w:id="83" w:name="_Toc15396628"/>
      <w:bookmarkStart w:id="84" w:name="_Toc32606"/>
      <w:r>
        <w:rPr>
          <w:rFonts w:hint="eastAsia" w:ascii="仿宋_GB2312" w:hAnsi="仿宋_GB2312" w:eastAsia="仿宋_GB2312" w:cs="仿宋_GB2312"/>
          <w:b w:val="0"/>
          <w:bCs w:val="0"/>
        </w:rPr>
        <w:t>十、</w:t>
      </w:r>
      <w:bookmarkEnd w:id="83"/>
      <w:r>
        <w:rPr>
          <w:rFonts w:hint="eastAsia" w:ascii="仿宋_GB2312" w:hAnsi="仿宋_GB2312" w:eastAsia="仿宋_GB2312" w:cs="仿宋_GB2312"/>
          <w:b w:val="0"/>
          <w:bCs w:val="0"/>
        </w:rPr>
        <w:t>政府性基金预算财政拨款收入支出决算表</w:t>
      </w:r>
      <w:bookmarkEnd w:id="84"/>
    </w:p>
    <w:p>
      <w:pPr>
        <w:pStyle w:val="6"/>
        <w:bidi w:val="0"/>
        <w:rPr>
          <w:rFonts w:hint="eastAsia" w:ascii="仿宋_GB2312" w:hAnsi="仿宋_GB2312" w:eastAsia="仿宋_GB2312" w:cs="仿宋_GB2312"/>
          <w:b w:val="0"/>
          <w:bCs w:val="0"/>
        </w:rPr>
      </w:pPr>
      <w:bookmarkStart w:id="85" w:name="_Toc15396629"/>
      <w:bookmarkStart w:id="86" w:name="_Toc23025"/>
      <w:r>
        <w:rPr>
          <w:rFonts w:hint="eastAsia" w:ascii="仿宋_GB2312" w:hAnsi="仿宋_GB2312" w:eastAsia="仿宋_GB2312" w:cs="仿宋_GB2312"/>
          <w:b w:val="0"/>
          <w:bCs w:val="0"/>
        </w:rPr>
        <w:t>十一、</w:t>
      </w:r>
      <w:bookmarkEnd w:id="85"/>
      <w:r>
        <w:rPr>
          <w:rFonts w:hint="eastAsia" w:ascii="仿宋_GB2312" w:hAnsi="仿宋_GB2312" w:eastAsia="仿宋_GB2312" w:cs="仿宋_GB2312"/>
          <w:b w:val="0"/>
          <w:bCs w:val="0"/>
        </w:rPr>
        <w:t>国有资本经营预算财政拨款收入支出决算表</w:t>
      </w:r>
      <w:bookmarkEnd w:id="86"/>
    </w:p>
    <w:p>
      <w:pPr>
        <w:pStyle w:val="6"/>
        <w:bidi w:val="0"/>
        <w:rPr>
          <w:rFonts w:hint="eastAsia" w:ascii="仿宋_GB2312" w:hAnsi="仿宋_GB2312" w:eastAsia="仿宋_GB2312" w:cs="仿宋_GB2312"/>
          <w:b w:val="0"/>
          <w:bCs w:val="0"/>
        </w:rPr>
      </w:pPr>
      <w:bookmarkStart w:id="87" w:name="_Toc15396630"/>
      <w:bookmarkStart w:id="88" w:name="_Toc4479"/>
      <w:r>
        <w:rPr>
          <w:rFonts w:hint="eastAsia" w:ascii="仿宋_GB2312" w:hAnsi="仿宋_GB2312" w:eastAsia="仿宋_GB2312" w:cs="仿宋_GB2312"/>
          <w:b w:val="0"/>
          <w:bCs w:val="0"/>
        </w:rPr>
        <w:t>十二、</w:t>
      </w:r>
      <w:bookmarkEnd w:id="87"/>
      <w:r>
        <w:rPr>
          <w:rFonts w:hint="eastAsia" w:ascii="仿宋_GB2312" w:hAnsi="仿宋_GB2312" w:eastAsia="仿宋_GB2312" w:cs="仿宋_GB2312"/>
          <w:b w:val="0"/>
          <w:bCs w:val="0"/>
        </w:rPr>
        <w:t>国有资本经营预算财政拨款支出决算表</w:t>
      </w:r>
      <w:bookmarkEnd w:id="88"/>
    </w:p>
    <w:p>
      <w:pPr>
        <w:pStyle w:val="6"/>
        <w:bidi w:val="0"/>
        <w:rPr>
          <w:rFonts w:hint="eastAsia" w:ascii="仿宋_GB2312" w:hAnsi="仿宋_GB2312" w:eastAsia="仿宋_GB2312" w:cs="仿宋_GB2312"/>
          <w:b w:val="0"/>
          <w:bCs w:val="0"/>
        </w:rPr>
      </w:pPr>
      <w:bookmarkStart w:id="89" w:name="_Toc15396631"/>
      <w:bookmarkStart w:id="90" w:name="_Toc7535"/>
      <w:r>
        <w:rPr>
          <w:rFonts w:hint="eastAsia" w:ascii="仿宋_GB2312" w:hAnsi="仿宋_GB2312" w:eastAsia="仿宋_GB2312" w:cs="仿宋_GB2312"/>
          <w:b w:val="0"/>
          <w:bCs w:val="0"/>
        </w:rPr>
        <w:t>十三、</w:t>
      </w:r>
      <w:bookmarkEnd w:id="89"/>
      <w:r>
        <w:rPr>
          <w:rFonts w:hint="eastAsia" w:ascii="仿宋_GB2312" w:hAnsi="仿宋_GB2312" w:eastAsia="仿宋_GB2312" w:cs="仿宋_GB2312"/>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decimal"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CC59C1-58E5-4AD6-9748-E7B4C9440D6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34615E0-70B9-410E-8934-52ABBDE8F9AF}"/>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B4DE000E-E8B4-4383-90D2-A91E91D4D65D}"/>
  </w:font>
  <w:font w:name="仿宋">
    <w:panose1 w:val="02010609060101010101"/>
    <w:charset w:val="86"/>
    <w:family w:val="modern"/>
    <w:pitch w:val="default"/>
    <w:sig w:usb0="800002BF" w:usb1="38CF7CFA" w:usb2="00000016" w:usb3="00000000" w:csb0="00040001" w:csb1="00000000"/>
    <w:embedRegular r:id="rId4" w:fontKey="{5B1BF94B-4147-4B9D-B73A-28417F6B184F}"/>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embedRegular r:id="rId5" w:fontKey="{716ADE9B-DE86-45AC-8C53-1C480B0FF841}"/>
  </w:font>
  <w:font w:name="楷体_GB2312">
    <w:altName w:val="楷体"/>
    <w:panose1 w:val="00000000000000000000"/>
    <w:charset w:val="86"/>
    <w:family w:val="auto"/>
    <w:pitch w:val="default"/>
    <w:sig w:usb0="00000000" w:usb1="00000000" w:usb2="00000000" w:usb3="00000000" w:csb0="00040000" w:csb1="00000000"/>
    <w:embedRegular r:id="rId6" w:fontKey="{50DAE8B9-D419-4DF3-90DA-622FC1A7549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3518C8"/>
    <w:rsid w:val="04916F1E"/>
    <w:rsid w:val="061E35DE"/>
    <w:rsid w:val="06631D45"/>
    <w:rsid w:val="066E0107"/>
    <w:rsid w:val="07996F6E"/>
    <w:rsid w:val="07DFD8BA"/>
    <w:rsid w:val="09867E8F"/>
    <w:rsid w:val="0A2032A3"/>
    <w:rsid w:val="0C255D29"/>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3338A"/>
    <w:rsid w:val="16B831D5"/>
    <w:rsid w:val="16BB723D"/>
    <w:rsid w:val="17E50567"/>
    <w:rsid w:val="186504BB"/>
    <w:rsid w:val="19A445FC"/>
    <w:rsid w:val="1BE8440E"/>
    <w:rsid w:val="1CC6347C"/>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98364FF"/>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9E57D21"/>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940ABF"/>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next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5"/>
    <w:qFormat/>
    <w:uiPriority w:val="9"/>
    <w:rPr>
      <w:rFonts w:ascii="Times New Roman" w:hAnsi="Times New Roman"/>
      <w:b/>
      <w:bCs/>
      <w:kern w:val="44"/>
      <w:sz w:val="44"/>
      <w:szCs w:val="44"/>
    </w:rPr>
  </w:style>
  <w:style w:type="character" w:customStyle="1" w:styleId="29">
    <w:name w:val="标题 2 字符"/>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10"/>
    <w:semiHidden/>
    <w:qFormat/>
    <w:uiPriority w:val="99"/>
    <w:rPr>
      <w:rFonts w:ascii="Times New Roman" w:hAnsi="Times New Roman"/>
      <w:kern w:val="2"/>
      <w:sz w:val="18"/>
      <w:szCs w:val="18"/>
    </w:rPr>
  </w:style>
  <w:style w:type="character" w:customStyle="1" w:styleId="32">
    <w:name w:val="标题 3 字符"/>
    <w:basedOn w:val="16"/>
    <w:link w:val="7"/>
    <w:qFormat/>
    <w:uiPriority w:val="9"/>
    <w:rPr>
      <w:rFonts w:ascii="Times New Roman" w:hAnsi="Times New Roman"/>
      <w:b/>
      <w:bCs/>
      <w:kern w:val="2"/>
      <w:sz w:val="32"/>
      <w:szCs w:val="32"/>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270;&#34920;&#24037;&#20855;\&#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270;&#34920;&#24037;&#20855;\&#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270;&#34920;&#24037;&#20855;\&#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270;&#34920;&#24037;&#20855;\&#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270;&#34920;&#24037;&#20855;\&#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270;&#34920;&#24037;&#20855;\&#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22270;&#34920;&#24037;&#20855;\&#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'[决算图表(1)(1).et]Sheet1'!$E$5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'[决算图表(1)(1).et]Sheet1'!$F$5:$G$5</c:f>
              <c:numCache>
                <c:formatCode>General</c:formatCode>
                <c:ptCount val="2"/>
                <c:pt idx="0">
                  <c:v>393.86</c:v>
                </c:pt>
                <c:pt idx="1">
                  <c:v>393.86</c:v>
                </c:pt>
              </c:numCache>
            </c:numRef>
          </c:val>
        </c:ser>
        <c:ser>
          <c:idx val="1"/>
          <c:order val="1"/>
          <c:tx>
            <c:strRef>
              <c:f>'[决算图表(1)(1).et]Sheet1'!$E$6</c:f>
              <c:strCache>
                <c:ptCount val="1"/>
                <c:pt idx="0">
                  <c:v>2024年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'[决算图表(1)(1).et]Sheet1'!$F$6:$G$6</c:f>
              <c:numCache>
                <c:formatCode>General</c:formatCode>
                <c:ptCount val="2"/>
                <c:pt idx="0">
                  <c:v>351.08</c:v>
                </c:pt>
                <c:pt idx="1">
                  <c:v>351.08</c:v>
                </c:pt>
              </c:numCache>
            </c:numRef>
          </c:val>
        </c:ser>
        <c:dLbls>
          <c:showLegendKey val="0"/>
          <c:showVal val="0"/>
          <c:showCatName val="0"/>
          <c:showSerName val="0"/>
          <c:showPercent val="0"/>
          <c:showBubbleSize val="0"/>
        </c:dLbls>
        <c:gapWidth val="219"/>
        <c:overlap val="-27"/>
        <c:axId val="717662370"/>
        <c:axId val="653305115"/>
      </c:barChart>
      <c:catAx>
        <c:axId val="71766237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3305115"/>
        <c:crosses val="autoZero"/>
        <c:auto val="1"/>
        <c:lblAlgn val="ctr"/>
        <c:lblOffset val="100"/>
        <c:noMultiLvlLbl val="0"/>
      </c:catAx>
      <c:valAx>
        <c:axId val="653305115"/>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7662370"/>
        <c:crosses val="autoZero"/>
        <c:crossBetween val="between"/>
      </c:valAx>
      <c:spPr>
        <a:noFill/>
        <a:ln>
          <a:noFill/>
        </a:ln>
        <a:effectLst/>
      </c:spPr>
    </c:plotArea>
    <c:legend>
      <c:legendPos val="r"/>
      <c:layout>
        <c:manualLayout>
          <c:xMode val="edge"/>
          <c:yMode val="edge"/>
          <c:x val="0.3875"/>
          <c:y val="0.9"/>
          <c:w val="0.222"/>
          <c:h val="0.073"/>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415807809551459"/>
          <c:y val="0.0304709141274238"/>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General" sourceLinked="1"/>
            <c:spPr>
              <a:noFill/>
              <a:ln w="3175">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'[决算图表(1)(1).et]Sheet1'!$A$67</c:f>
              <c:strCache>
                <c:ptCount val="1"/>
                <c:pt idx="0">
                  <c:v>一般公共预算财政拨款收入</c:v>
                </c:pt>
              </c:strCache>
            </c:strRef>
          </c:cat>
          <c:val>
            <c:numRef>
              <c:f>'[决算图表(1)(1).et]Sheet1'!$B$67</c:f>
              <c:numCache>
                <c:formatCode>#,##0.00</c:formatCode>
                <c:ptCount val="1"/>
                <c:pt idx="0">
                  <c:v>351.08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85"/>
          <c:y val="0.748"/>
          <c:w val="0.90275"/>
          <c:h val="0.22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350474525433546"/>
                  <c:y val="-0.199794542465215"/>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170873786407767"/>
                  <c:y val="0.054711246200607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'[决算图表(1)(1).et]Sheet1'!$A$86:$A$87</c:f>
              <c:strCache>
                <c:ptCount val="2"/>
                <c:pt idx="0">
                  <c:v>基本支出</c:v>
                </c:pt>
                <c:pt idx="1">
                  <c:v>项目支出</c:v>
                </c:pt>
              </c:strCache>
            </c:strRef>
          </c:cat>
          <c:val>
            <c:numRef>
              <c:f>'[决算图表(1)(1).et]Sheet1'!$B$86:$B$87</c:f>
              <c:numCache>
                <c:formatCode>General</c:formatCode>
                <c:ptCount val="2"/>
                <c:pt idx="0">
                  <c:v>309.59</c:v>
                </c:pt>
                <c:pt idx="1">
                  <c:v>41.48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475"/>
          <c:y val="0.84175"/>
          <c:w val="0.91"/>
          <c:h val="0.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'[决算图表(1)(1).et]Sheet1'!$E$35</c:f>
              <c:strCache>
                <c:ptCount val="1"/>
                <c:pt idx="0">
                  <c:v>收入</c:v>
                </c:pt>
              </c:strCache>
            </c:strRef>
          </c:tx>
          <c:spPr>
            <a:solidFill>
              <a:schemeClr val="accent1"/>
            </a:solidFill>
            <a:ln>
              <a:noFill/>
            </a:ln>
            <a:effectLst/>
          </c:spPr>
          <c:invertIfNegative val="0"/>
          <c:dLbls>
            <c:dLbl>
              <c:idx val="0"/>
              <c:layout>
                <c:manualLayout>
                  <c:x val="-0.0314766239777812"/>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2021年</c:v>
                </c:pt>
                <c:pt idx="1">
                  <c:v>2022年</c:v>
                </c:pt>
              </c:strCache>
            </c:strRef>
          </c:cat>
          <c:val>
            <c:numRef>
              <c:f>'[决算图表(1)(1).et]Sheet1'!$E$36:$E$38</c:f>
              <c:numCache>
                <c:formatCode>General</c:formatCode>
                <c:ptCount val="3"/>
                <c:pt idx="0">
                  <c:v>789.33</c:v>
                </c:pt>
                <c:pt idx="1">
                  <c:v>1366.24</c:v>
                </c:pt>
              </c:numCache>
            </c:numRef>
          </c:val>
        </c:ser>
        <c:ser>
          <c:idx val="1"/>
          <c:order val="1"/>
          <c:tx>
            <c:strRef>
              <c:f>'[决算图表(1)(1).et]Sheet1'!$F$35</c:f>
              <c:strCache>
                <c:ptCount val="1"/>
                <c:pt idx="0">
                  <c:v>支出</c:v>
                </c:pt>
              </c:strCache>
            </c:strRef>
          </c:tx>
          <c:spPr>
            <a:solidFill>
              <a:schemeClr val="accent2"/>
            </a:solidFill>
            <a:ln>
              <a:noFill/>
            </a:ln>
            <a:effectLst/>
          </c:spPr>
          <c:invertIfNegative val="0"/>
          <c:dLbls>
            <c:dLbl>
              <c:idx val="0"/>
              <c:layout>
                <c:manualLayout>
                  <c:x val="0.0370313223268014"/>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5469834902021"/>
                  <c:y val="-0.007870572802798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2021年</c:v>
                </c:pt>
                <c:pt idx="1">
                  <c:v>2022年</c:v>
                </c:pt>
              </c:strCache>
            </c:strRef>
          </c:cat>
          <c:val>
            <c:numRef>
              <c:f>'[决算图表(1)(1).et]Sheet1'!$F$36:$F$38</c:f>
              <c:numCache>
                <c:formatCode>General</c:formatCode>
                <c:ptCount val="3"/>
                <c:pt idx="0">
                  <c:v>808.88</c:v>
                </c:pt>
                <c:pt idx="1">
                  <c:v>1366.24</c:v>
                </c:pt>
              </c:numCache>
            </c:numRef>
          </c:val>
        </c:ser>
        <c:dLbls>
          <c:showLegendKey val="0"/>
          <c:showVal val="0"/>
          <c:showCatName val="0"/>
          <c:showSerName val="0"/>
          <c:showPercent val="0"/>
          <c:showBubbleSize val="0"/>
        </c:dLbls>
        <c:gapWidth val="219"/>
        <c:overlap val="-27"/>
        <c:axId val="298312199"/>
        <c:axId val="660386546"/>
      </c:barChart>
      <c:catAx>
        <c:axId val="298312199"/>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0386546"/>
        <c:crosses val="autoZero"/>
        <c:auto val="1"/>
        <c:lblAlgn val="ctr"/>
        <c:lblOffset val="100"/>
        <c:noMultiLvlLbl val="0"/>
      </c:catAx>
      <c:valAx>
        <c:axId val="66038654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8312199"/>
        <c:crosses val="autoZero"/>
        <c:crossBetween val="between"/>
      </c:valAx>
      <c:spPr>
        <a:noFill/>
        <a:ln>
          <a:noFill/>
        </a:ln>
        <a:effectLst/>
      </c:spPr>
    </c:plotArea>
    <c:legend>
      <c:legendPos val="b"/>
      <c:layout>
        <c:manualLayout>
          <c:xMode val="edge"/>
          <c:yMode val="edge"/>
          <c:x val="0.4035"/>
          <c:y val="0.90075"/>
          <c:w val="0.1925"/>
          <c:h val="0.072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61259308956127"/>
          <c:y val="0.0436984880782112"/>
        </c:manualLayout>
      </c:layout>
      <c:overlay val="0"/>
    </c:title>
    <c:autoTitleDeleted val="0"/>
    <c:plotArea>
      <c:layout/>
      <c:barChart>
        <c:barDir val="col"/>
        <c:grouping val="clustered"/>
        <c:varyColors val="0"/>
        <c:ser>
          <c:idx val="0"/>
          <c:order val="0"/>
          <c:tx>
            <c:strRef>
              <c:f>'[决算图表(1)(1).et]Sheet1'!$A$111</c:f>
              <c:strCache>
                <c:ptCount val="1"/>
                <c:pt idx="0">
                  <c:v>支出</c:v>
                </c:pt>
              </c:strCache>
            </c:strRef>
          </c:tx>
          <c:spPr>
            <a:solidFill>
              <a:schemeClr val="accent1"/>
            </a:solidFill>
            <a:ln>
              <a:noFill/>
            </a:ln>
            <a:effectLst/>
          </c:spPr>
          <c:invertIfNegative val="0"/>
          <c:dPt>
            <c:idx val="0"/>
            <c:invertIfNegative val="0"/>
            <c:bubble3D val="0"/>
            <c:explosion val="0"/>
            <c:spPr>
              <a:solidFill>
                <a:srgbClr val="C00000"/>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'[决算图表(1)(1).et]Sheet1'!$B$110:$C$110</c:f>
              <c:strCache>
                <c:ptCount val="2"/>
                <c:pt idx="0">
                  <c:v>2023年</c:v>
                </c:pt>
                <c:pt idx="1">
                  <c:v>2024年</c:v>
                </c:pt>
              </c:strCache>
            </c:strRef>
          </c:cat>
          <c:val>
            <c:numRef>
              <c:f>'[决算图表(1)(1).et]Sheet1'!$B$111:$C$111</c:f>
              <c:numCache>
                <c:formatCode>General</c:formatCode>
                <c:ptCount val="2"/>
                <c:pt idx="0">
                  <c:v>393.86</c:v>
                </c:pt>
                <c:pt idx="1">
                  <c:v>351.08</c:v>
                </c:pt>
              </c:numCache>
            </c:numRef>
          </c:val>
        </c:ser>
        <c:dLbls>
          <c:showLegendKey val="0"/>
          <c:showVal val="0"/>
          <c:showCatName val="0"/>
          <c:showSerName val="0"/>
          <c:showPercent val="0"/>
          <c:showBubbleSize val="0"/>
        </c:dLbls>
        <c:gapWidth val="219"/>
        <c:overlap val="-27"/>
        <c:axId val="362534819"/>
        <c:axId val="453589837"/>
      </c:barChart>
      <c:catAx>
        <c:axId val="362534819"/>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453589837"/>
        <c:crosses val="autoZero"/>
        <c:auto val="1"/>
        <c:lblAlgn val="ctr"/>
        <c:lblOffset val="100"/>
        <c:noMultiLvlLbl val="0"/>
      </c:catAx>
      <c:valAx>
        <c:axId val="453589837"/>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362534819"/>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15468660657812"/>
          <c:y val="0.0303663304699718"/>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manualLayout>
                  <c:x val="-0.145025482515053"/>
                  <c:y val="-0.020945968917458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112031923067344"/>
                  <c:y val="0.00357532508053256"/>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136277998375317"/>
                  <c:y val="0.098397707461918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6.9, 2%</a:t>
                    </a: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738164538383448"/>
                  <c:y val="-0.0219029224021733"/>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'[决算图表(1)(1).et]Sheet1'!$F$63:$F$66</c:f>
              <c:strCache>
                <c:ptCount val="4"/>
                <c:pt idx="0">
                  <c:v>社会保障和就业支出</c:v>
                </c:pt>
                <c:pt idx="1">
                  <c:v>卫生健康支出</c:v>
                </c:pt>
                <c:pt idx="2">
                  <c:v>住房保障支出</c:v>
                </c:pt>
                <c:pt idx="3">
                  <c:v>交通运输支出</c:v>
                </c:pt>
              </c:strCache>
            </c:strRef>
          </c:cat>
          <c:val>
            <c:numRef>
              <c:f>'[决算图表(1)(1).et]Sheet1'!$G$63:$G$66</c:f>
              <c:numCache>
                <c:formatCode>General</c:formatCode>
                <c:ptCount val="4"/>
                <c:pt idx="0">
                  <c:v>21.26</c:v>
                </c:pt>
                <c:pt idx="1">
                  <c:v>15.12</c:v>
                </c:pt>
                <c:pt idx="2">
                  <c:v>6.9</c:v>
                </c:pt>
                <c:pt idx="3">
                  <c:v>307.8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9775"/>
          <c:y val="0.879"/>
          <c:w val="0.804"/>
          <c:h val="0.100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“三公”经费财政拨款支出结构图</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title>
    <c:autoTitleDeleted val="0"/>
    <c:plotArea>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manualLayout>
                  <c:x val="0.0210130553902449"/>
                  <c:y val="-0.16674126951269"/>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27349008650444"/>
                  <c:y val="0.100660383999381"/>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'[决算图表(1)(1).et]Sheet1'!$A$128:$A$130</c:f>
              <c:strCache>
                <c:ptCount val="3"/>
                <c:pt idx="0">
                  <c:v>公务用车购置及运行维护费</c:v>
                </c:pt>
                <c:pt idx="1">
                  <c:v>公务接待费</c:v>
                </c:pt>
                <c:pt idx="2">
                  <c:v>因公出国（境）费支出决算</c:v>
                </c:pt>
              </c:strCache>
            </c:strRef>
          </c:cat>
          <c:val>
            <c:numRef>
              <c:f>'[决算图表(1)(1).et]Sheet1'!$B$128:$B$130</c:f>
              <c:numCache>
                <c:formatCode>General</c:formatCode>
                <c:ptCount val="3"/>
                <c:pt idx="0">
                  <c:v>2.42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035"/>
          <c:y val="0.834"/>
          <c:w val="0.79275"/>
          <c:h val="0.1382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4120</Words>
  <Characters>4500</Characters>
  <Lines>60</Lines>
  <Paragraphs>17</Paragraphs>
  <TotalTime>3</TotalTime>
  <ScaleCrop>false</ScaleCrop>
  <LinksUpToDate>false</LinksUpToDate>
  <CharactersWithSpaces>4614</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2025-09-19T01:13:30Z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D2A5BE90B93B438C8F2A9B28580A79A2</vt:lpwstr>
  </property>
  <property fmtid="{D5CDD505-2E9C-101B-9397-08002B2CF9AE}" pid="4" name="KSOTemplateDocerSaveRecord">
    <vt:lpwstr>eyJoZGlkIjoiZjNlZDEwZjgzZTZmMmI5ZTE1ODYzMjM4YzgyM2UyYTEiLCJ1c2VySWQiOiI0MTc2NTcyMTMifQ==</vt:lpwstr>
  </property>
</Properties>
</file>