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93"/>
        <w:rPr>
          <w:rFonts w:ascii="Times New Roman" w:eastAsia="方正小标宋简体"/>
          <w:kern w:val="2"/>
          <w:sz w:val="72"/>
          <w:szCs w:val="72"/>
        </w:rPr>
      </w:pPr>
      <w:bookmarkStart w:id="0" w:name="_Toc15396597"/>
      <w:bookmarkStart w:id="1" w:name="_Toc15378441"/>
      <w:bookmarkStart w:id="2" w:name="_Toc15306267"/>
      <w:bookmarkStart w:id="3" w:name="_Toc15377193"/>
      <w:bookmarkStart w:id="4" w:name="_Toc15377425"/>
      <w:bookmarkStart w:id="5" w:name="_Toc15396475"/>
    </w:p>
    <w:p>
      <w:pPr>
        <w:pStyle w:val="8"/>
        <w:spacing w:before="93"/>
        <w:rPr>
          <w:rFonts w:ascii="Times New Roman" w:eastAsia="方正小标宋简体"/>
          <w:kern w:val="2"/>
          <w:sz w:val="72"/>
          <w:szCs w:val="72"/>
        </w:rPr>
      </w:pPr>
    </w:p>
    <w:p>
      <w:pPr>
        <w:pStyle w:val="8"/>
        <w:spacing w:before="93"/>
        <w:rPr>
          <w:rFonts w:ascii="Times New Roman" w:eastAsia="方正小标宋简体"/>
          <w:kern w:val="2"/>
          <w:sz w:val="72"/>
          <w:szCs w:val="72"/>
        </w:rPr>
      </w:pPr>
    </w:p>
    <w:p>
      <w:pPr>
        <w:pStyle w:val="8"/>
        <w:spacing w:before="93"/>
        <w:jc w:val="center"/>
        <w:rPr>
          <w:rFonts w:hint="eastAsia" w:ascii="Times New Roman" w:eastAsia="方正小标宋简体"/>
          <w:kern w:val="2"/>
          <w:sz w:val="44"/>
          <w:szCs w:val="44"/>
          <w:lang w:val="en-US" w:eastAsia="zh-CN"/>
        </w:rPr>
      </w:pPr>
      <w:r>
        <w:rPr>
          <w:rFonts w:hint="eastAsia" w:ascii="方正小标宋简体" w:hAnsi="方正小标宋简体" w:eastAsia="方正小标宋简体" w:cs="方正小标宋简体"/>
          <w:kern w:val="2"/>
          <w:sz w:val="44"/>
          <w:szCs w:val="44"/>
        </w:rPr>
        <w:t>2024</w:t>
      </w:r>
      <w:r>
        <w:rPr>
          <w:rFonts w:hint="eastAsia" w:ascii="Times New Roman" w:eastAsia="方正小标宋简体"/>
          <w:kern w:val="2"/>
          <w:sz w:val="44"/>
          <w:szCs w:val="44"/>
        </w:rPr>
        <w:t>年度阿坝藏族羌族自治州公路管理局刷经寺公路管理分局</w:t>
      </w:r>
      <w:bookmarkStart w:id="89" w:name="_GoBack"/>
      <w:bookmarkEnd w:id="89"/>
      <w:r>
        <w:rPr>
          <w:rFonts w:hint="eastAsia" w:ascii="Times New Roman" w:eastAsia="方正小标宋简体"/>
          <w:kern w:val="2"/>
          <w:sz w:val="44"/>
          <w:szCs w:val="44"/>
        </w:rPr>
        <w:t>决算</w:t>
      </w:r>
      <w:r>
        <w:rPr>
          <w:rFonts w:hint="eastAsia" w:ascii="Times New Roman" w:eastAsia="方正小标宋简体"/>
          <w:kern w:val="2"/>
          <w:sz w:val="44"/>
          <w:szCs w:val="44"/>
          <w:lang w:val="en-US" w:eastAsia="zh-CN"/>
        </w:rPr>
        <w:t>公开</w:t>
      </w:r>
    </w:p>
    <w:p>
      <w:pPr>
        <w:pStyle w:val="8"/>
        <w:bidi w:val="0"/>
      </w:pP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bookmarkEnd w:id="0"/>
    <w:bookmarkEnd w:id="1"/>
    <w:bookmarkEnd w:id="2"/>
    <w:bookmarkEnd w:id="3"/>
    <w:bookmarkEnd w:id="4"/>
    <w:bookmarkEnd w:id="5"/>
    <w:p>
      <w:pPr>
        <w:pStyle w:val="8"/>
        <w:bidi w:val="0"/>
        <w:jc w:val="center"/>
        <w:rPr>
          <w:rFonts w:hint="eastAsia" w:ascii="黑体" w:hAnsi="黑体" w:eastAsia="黑体" w:cs="黑体"/>
          <w:b/>
          <w:bCs/>
          <w:sz w:val="48"/>
          <w:szCs w:val="48"/>
          <w:lang w:val="en-US" w:eastAsia="zh-CN"/>
        </w:rPr>
      </w:pPr>
      <w:r>
        <w:rPr>
          <w:rFonts w:hint="eastAsia" w:ascii="黑体" w:hAnsi="黑体" w:eastAsia="黑体" w:cs="黑体"/>
          <w:b/>
          <w:bCs/>
          <w:sz w:val="48"/>
          <w:szCs w:val="48"/>
          <w:lang w:val="en-US" w:eastAsia="zh-CN"/>
        </w:rPr>
        <w:t>目录</w:t>
      </w:r>
    </w:p>
    <w:p>
      <w:pPr>
        <w:widowControl/>
        <w:jc w:val="center"/>
        <w:rPr>
          <w:rFonts w:eastAsia="黑体" w:cstheme="minorBidi"/>
          <w:sz w:val="28"/>
          <w:szCs w:val="28"/>
        </w:rPr>
      </w:pPr>
    </w:p>
    <w:p>
      <w:pPr>
        <w:pStyle w:val="13"/>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sdt>
      <w:sdtPr>
        <w:rPr>
          <w:rFonts w:ascii="宋体" w:hAnsi="宋体" w:eastAsia="宋体" w:cs="Times New Roman"/>
          <w:kern w:val="2"/>
          <w:sz w:val="21"/>
          <w:szCs w:val="24"/>
          <w:lang w:val="en-US" w:eastAsia="zh-CN" w:bidi="ar-SA"/>
        </w:rPr>
        <w:id w:val="147464943"/>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eastAsia="仿宋_GB2312" w:cs="仿宋_GB2312"/>
              <w:bCs/>
              <w:szCs w:val="32"/>
            </w:rPr>
            <w:fldChar w:fldCharType="begin"/>
          </w:r>
          <w:r>
            <w:rPr>
              <w:rFonts w:eastAsia="仿宋_GB2312" w:cs="仿宋_GB2312"/>
              <w:bCs/>
              <w:szCs w:val="32"/>
            </w:rPr>
            <w:instrText xml:space="preserve"> HYPERLINK \l _Toc782 </w:instrText>
          </w:r>
          <w:r>
            <w:rPr>
              <w:rFonts w:eastAsia="仿宋_GB2312" w:cs="仿宋_GB2312"/>
              <w:bCs/>
              <w:szCs w:val="32"/>
            </w:rPr>
            <w:fldChar w:fldCharType="separate"/>
          </w:r>
          <w:r>
            <w:rPr>
              <w:rFonts w:hint="eastAsia" w:eastAsia="方正小标宋简体" w:cs="方正小标宋简体"/>
            </w:rPr>
            <w:t xml:space="preserve">第一部分  </w:t>
          </w:r>
          <w:r>
            <w:rPr>
              <w:rFonts w:hint="eastAsia" w:eastAsia="方正小标宋简体" w:cs="方正小标宋简体"/>
              <w:bCs w:val="0"/>
              <w:lang w:val="en-US" w:eastAsia="zh-CN"/>
            </w:rPr>
            <w:t>单位</w:t>
          </w:r>
          <w:r>
            <w:rPr>
              <w:rFonts w:hint="eastAsia" w:eastAsia="方正小标宋简体" w:cs="方正小标宋简体"/>
              <w:bCs w:val="0"/>
            </w:rPr>
            <w:t>概况</w:t>
          </w:r>
          <w:r>
            <w:tab/>
          </w:r>
          <w:r>
            <w:fldChar w:fldCharType="begin"/>
          </w:r>
          <w:r>
            <w:instrText xml:space="preserve"> PAGEREF _Toc782 \h </w:instrText>
          </w:r>
          <w:r>
            <w:fldChar w:fldCharType="separate"/>
          </w:r>
          <w:r>
            <w:t>3</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_Toc18264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lang w:val="en-US" w:eastAsia="zh-CN"/>
            </w:rPr>
            <w:t>一、主要</w:t>
          </w:r>
          <w:r>
            <w:rPr>
              <w:rFonts w:hint="eastAsia" w:ascii="仿宋_GB2312" w:hAnsi="仿宋_GB2312" w:eastAsia="仿宋_GB2312" w:cs="仿宋_GB2312"/>
              <w:sz w:val="28"/>
              <w:szCs w:val="28"/>
            </w:rPr>
            <w:t>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_Toc18264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_Toc20987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二、机</w:t>
          </w:r>
          <w:r>
            <w:rPr>
              <w:rFonts w:hint="eastAsia" w:ascii="仿宋_GB2312" w:hAnsi="仿宋_GB2312" w:eastAsia="仿宋_GB2312" w:cs="仿宋_GB2312"/>
              <w:bCs w:val="0"/>
              <w:sz w:val="28"/>
              <w:szCs w:val="28"/>
            </w:rPr>
            <w:t>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_Toc20987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_Toc11196 </w:instrText>
          </w:r>
          <w:r>
            <w:rPr>
              <w:rFonts w:eastAsia="仿宋_GB2312" w:cs="仿宋_GB2312"/>
              <w:bCs/>
              <w:szCs w:val="32"/>
            </w:rPr>
            <w:fldChar w:fldCharType="separate"/>
          </w:r>
          <w:r>
            <w:rPr>
              <w:rFonts w:hint="eastAsia" w:eastAsia="方正小标宋简体" w:cs="方正小标宋简体"/>
            </w:rPr>
            <w:t xml:space="preserve">第二部分  </w:t>
          </w:r>
          <w:r>
            <w:rPr>
              <w:rFonts w:hint="eastAsia" w:ascii="方正小标宋简体" w:hAnsi="方正小标宋简体" w:eastAsia="方正小标宋简体" w:cs="方正小标宋简体"/>
            </w:rPr>
            <w:t>2024</w:t>
          </w:r>
          <w:r>
            <w:rPr>
              <w:rFonts w:hint="eastAsia" w:eastAsia="方正小标宋简体" w:cs="方正小标宋简体"/>
            </w:rPr>
            <w:t>年度</w:t>
          </w:r>
          <w:r>
            <w:rPr>
              <w:rFonts w:hint="eastAsia" w:eastAsia="方正小标宋简体" w:cs="方正小标宋简体"/>
              <w:lang w:val="en-US" w:eastAsia="zh-CN"/>
            </w:rPr>
            <w:t>单位</w:t>
          </w:r>
          <w:r>
            <w:rPr>
              <w:rFonts w:hint="eastAsia" w:eastAsia="方正小标宋简体" w:cs="方正小标宋简体"/>
            </w:rPr>
            <w:t>决算情况说明</w:t>
          </w:r>
          <w:r>
            <w:tab/>
          </w:r>
          <w:r>
            <w:fldChar w:fldCharType="begin"/>
          </w:r>
          <w:r>
            <w:instrText xml:space="preserve"> PAGEREF _Toc11196 \h </w:instrText>
          </w:r>
          <w:r>
            <w:fldChar w:fldCharType="separate"/>
          </w:r>
          <w:r>
            <w:t>7</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_Toc28910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_Toc28910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_Toc11178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二、收入决算情况说明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_Toc11178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_Toc6000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_Toc6000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_Toc3934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_Toc3934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_Toc2112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_Toc2112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_Toc1098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_Toc521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_Toc521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_Toc356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_Toc356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_Toc28416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九、国有资本经营预算支出决算情况说明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_Toc28416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_Toc8920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_Toc8920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_Toc4669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第三部分  名词解释</w:t>
          </w:r>
          <w:r>
            <w:tab/>
          </w:r>
          <w:r>
            <w:fldChar w:fldCharType="begin"/>
          </w:r>
          <w:r>
            <w:instrText xml:space="preserve"> PAGEREF _Toc4669 \h </w:instrText>
          </w:r>
          <w:r>
            <w:fldChar w:fldCharType="separate"/>
          </w:r>
          <w:r>
            <w:t>16</w:t>
          </w:r>
          <w:r>
            <w:fldChar w:fldCharType="end"/>
          </w:r>
          <w:r>
            <w:rPr>
              <w:rFonts w:eastAsia="仿宋_GB2312" w:cs="仿宋_GB2312"/>
              <w:bCs/>
              <w:szCs w:val="32"/>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_Toc24691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第四部分  附件</w:t>
          </w:r>
          <w:r>
            <w:tab/>
          </w:r>
          <w:r>
            <w:fldChar w:fldCharType="begin"/>
          </w:r>
          <w:r>
            <w:instrText xml:space="preserve"> PAGEREF _Toc24691 \h </w:instrText>
          </w:r>
          <w:r>
            <w:fldChar w:fldCharType="separate"/>
          </w:r>
          <w:r>
            <w:t>18</w:t>
          </w:r>
          <w:r>
            <w:fldChar w:fldCharType="end"/>
          </w:r>
          <w:r>
            <w:rPr>
              <w:rFonts w:eastAsia="仿宋_GB2312" w:cs="仿宋_GB2312"/>
              <w:bCs/>
              <w:szCs w:val="32"/>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_Toc10508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第五部分 附表</w:t>
          </w:r>
          <w:r>
            <w:tab/>
          </w:r>
          <w:r>
            <w:fldChar w:fldCharType="begin"/>
          </w:r>
          <w:r>
            <w:instrText xml:space="preserve"> PAGEREF _Toc10508 \h </w:instrText>
          </w:r>
          <w:r>
            <w:fldChar w:fldCharType="separate"/>
          </w:r>
          <w:r>
            <w:t>22</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_Toc23620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_Toc23620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_Toc26500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_Toc26500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_Toc13114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_Toc13114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_Toc13098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_Toc13098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_Toc18383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_Toc18383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_Toc21363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_Toc21363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_Toc32515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_Toc32515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_Toc20301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_Toc20301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_Toc27186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_Toc27186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_Toc10280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_Toc10280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_Toc27783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_Toc27783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_Toc26132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_Toc26132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_Toc8476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_Toc8476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5"/>
        <w:jc w:val="center"/>
        <w:rPr>
          <w:rStyle w:val="28"/>
          <w:rFonts w:eastAsia="方正小标宋简体" w:cs="方正小标宋简体"/>
          <w:b/>
          <w:bCs w:val="0"/>
        </w:rPr>
      </w:pPr>
      <w:bookmarkStart w:id="8" w:name="_Toc782"/>
      <w:r>
        <w:rPr>
          <w:rFonts w:hint="eastAsia" w:eastAsia="方正小标宋简体" w:cs="方正小标宋简体"/>
          <w:b w:val="0"/>
        </w:rPr>
        <w:t xml:space="preserve">第一部分  </w:t>
      </w:r>
      <w:r>
        <w:rPr>
          <w:rStyle w:val="28"/>
          <w:rFonts w:hint="eastAsia" w:eastAsia="方正小标宋简体" w:cs="方正小标宋简体"/>
          <w:b w:val="0"/>
          <w:bCs w:val="0"/>
          <w:lang w:val="en-US" w:eastAsia="zh-CN"/>
        </w:rPr>
        <w:t>单位</w:t>
      </w:r>
      <w:r>
        <w:rPr>
          <w:rStyle w:val="28"/>
          <w:rFonts w:hint="eastAsia" w:eastAsia="方正小标宋简体" w:cs="方正小标宋简体"/>
          <w:b w:val="0"/>
          <w:bCs w:val="0"/>
        </w:rPr>
        <w:t>概况</w:t>
      </w:r>
      <w:bookmarkEnd w:id="6"/>
      <w:bookmarkEnd w:id="7"/>
      <w:bookmarkEnd w:id="8"/>
    </w:p>
    <w:p>
      <w:pPr>
        <w:widowControl/>
        <w:jc w:val="left"/>
        <w:rPr>
          <w:rFonts w:eastAsia="黑体"/>
          <w:sz w:val="32"/>
          <w:szCs w:val="32"/>
        </w:rPr>
      </w:pPr>
    </w:p>
    <w:p>
      <w:pPr>
        <w:pStyle w:val="6"/>
        <w:numPr>
          <w:ilvl w:val="0"/>
          <w:numId w:val="0"/>
        </w:numPr>
        <w:rPr>
          <w:rFonts w:hint="eastAsia" w:ascii="Times New Roman" w:hAnsi="Times New Roman" w:eastAsia="黑体"/>
          <w:b w:val="0"/>
        </w:rPr>
      </w:pPr>
      <w:bookmarkStart w:id="9" w:name="_Toc18264"/>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刷经寺公路管理分局负责辖区内普通国道干线的养护及道路保通保畅工作，道路安全、应急抢险工作以及人员工资福利、退休人员管理工作。</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本单位主要承担以下职责和功能：</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1．负责道路养护工作的计划、管理、实施、考核工作。</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2．道路保通保畅管理工作。</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3．道路安全巡查、整改工作。</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4．应急抢险安排及应急物资的管理工作，养护机械的调配、维修、报废、申报工作。</w:t>
      </w:r>
    </w:p>
    <w:p>
      <w:pPr>
        <w:ind w:firstLine="800" w:firstLineChars="25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5．分局经费的管理和使用工作。</w:t>
      </w:r>
    </w:p>
    <w:p>
      <w:pPr>
        <w:ind w:firstLine="800" w:firstLineChars="250"/>
      </w:pPr>
      <w:r>
        <w:rPr>
          <w:rFonts w:hint="eastAsia" w:ascii="Times New Roman" w:hAnsi="Times New Roman" w:eastAsia="仿宋_GB2312" w:cs="仿宋_GB2312"/>
          <w:sz w:val="32"/>
          <w:szCs w:val="32"/>
        </w:rPr>
        <w:t>6．人员工资福利的核算、申报、审批工作，退休人员管理工作，劳动纪律的执行及监督工作。</w:t>
      </w:r>
    </w:p>
    <w:p>
      <w:pPr>
        <w:pStyle w:val="6"/>
        <w:rPr>
          <w:rStyle w:val="29"/>
          <w:rFonts w:ascii="Times New Roman" w:hAnsi="Times New Roman"/>
          <w:b w:val="0"/>
          <w:bCs w:val="0"/>
        </w:rPr>
      </w:pPr>
      <w:bookmarkStart w:id="10" w:name="_Toc20987"/>
      <w:bookmarkStart w:id="11" w:name="_Toc15396601"/>
      <w:bookmarkStart w:id="12" w:name="_Toc15377200"/>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是阿坝州藏族羌族自治州公路管理局下属的二级预算单位，内设部门有：行政办公室、党支部办公室、工会办公室、工程股、财务股、人事股、机料股、安全股和刷经寺保通中心及其下属的两个养护站（刷经寺养护站及龙日坝养护站）。</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办公室：负责行政事务和办公事务。包括相关制度流程的制定和执行推动、日常办公事务管理、办公物品管理、公文文件管理、档案管理、会议管理、财产设备及后勤管理等。通过各种规章制度和人为努力使部门之间形成密切配合的关系，提高工作效率完成目标任务。</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党支部办公室：认真学习、贯彻执行党的路线、方针、政策，贯彻落实党支部及上级领导机关的各项决定、指示和决议。按照党支部办公室的职责范围，主持办公室的日常工作。负责组织党支部工作计划、总结、报告和有关材料的起草，审核以党支部名义颁发的文件和材料。负责组织安排党支部会议和党支部主持的其他会议与重要活动。</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3．工会办公室：在工会主席领导下，负责工会委员会日常事务的管理，安排、协调、落实工会委员会提出的各项工作任务。 组织安排工会各种会议，做好会议记录，撰写会议纪要，认真抓好会议决议、决定的落实工作。</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4．工程股：指导养护站的日常养护工作，推广先进的养护方法，帮助养护站提高养护质量，辅导养护站各项日常工作。管理小修保养、水毁抢险。进行大、中修工程的技术管理工作。</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5．财务股：核算和监督国家预算资金款项的领报。规范本单位会计核算，保证会计信息质量。编制凭证和记账，确保手续完备、内容真实、数字正确、账目清楚、账实相符、按期上报。</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人事股：负责全局劳动人事全面工作。建立职工基本情况统计表，负责对工人进行劳动纪律教育和考核。负责办理单位内部的劳动力调配。办理职工工资、福利的申报、审核工作。做好职工的退休、退职的安置工作，因工及非因工死亡人员的抚恤、救济、善后处理工作。</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机料股：负责机械、配件及材料选购管理工作。负责刷经寺公路管理分局应急物资储备库房管理工作。负责固定资产录入及信息上报工作。负责应急物资储备库房出库入库工作。负责车辆的日常维护保养及使用。</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安全股：负责组织开展行业安全生产专项整治、隐患排查治理等重点工作，建立隐患排查整改汇总台账。做好日常安全生产巡查工作。加强对辖区内易发生坍方路段、临水临崖路段、冬季易结冰等危险路段的安全生产重点部位管理，特殊情况增加巡路时间，对危及安全的路段和桥涵作为巡路重点做好记录，并及时处理。负责本单位及施工单位的治安、保卫、安全、消防等工作及本单位安全生产宣传教育及培训工作。</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刷经寺保通中心：做好公路养护各项管理工作，带领养护站全体职工保质保量完成各项生产任务。管理下辖两个养护站，传达本月完成的养护任务，并安排部署养护计划任务。掌握管辖路段的路况，合理组织养护工作，及时处理公路病害。定期对公路养护机械、设备进行检查、保养、冬季防冻措施。</w:t>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刷经寺养护站：负责G248线K837+000-K884+927以及国道G347线K2824+558-K2835+036道路的修补、清扫，涵洞的梳理，桥梁日常养护工作。负责辖区内道路保通保畅的巡查及记录工作。负责辖区内道路附属设施：水沟的清理、行道树的修剪、标志标牌的维护、挡墙的日常养护等工作。负责路域环境的卫生及养护站内的卫生工作。负责辖区内道路应急抢险工作。负责站内人员精神文明建设。</w:t>
      </w:r>
    </w:p>
    <w:p>
      <w:pPr>
        <w:widowControl/>
        <w:ind w:firstLine="640" w:firstLineChars="200"/>
        <w:jc w:val="left"/>
        <w:rPr>
          <w:rFonts w:eastAsia="仿宋"/>
          <w:kern w:val="0"/>
          <w:sz w:val="32"/>
          <w:szCs w:val="32"/>
        </w:rPr>
      </w:pPr>
      <w:r>
        <w:rPr>
          <w:rFonts w:hint="eastAsia" w:ascii="仿宋_GB2312" w:hAnsi="仿宋_GB2312" w:eastAsia="仿宋_GB2312" w:cs="仿宋_GB2312"/>
          <w:sz w:val="32"/>
          <w:szCs w:val="32"/>
        </w:rPr>
        <w:t>（2）龙日坝养护站：负责G248线K837+000-K796+348道路的修补、清扫，涵洞的梳理，桥梁日常养护工作。负责辖区内道路保通保畅的巡查及记录工作。负责辖区内道路附属设施：水沟的清理、行道树的修剪、标志标牌的维护、挡墙的日常养护等工作。负责路域环境的卫生及养护站内的卫生工作。负责辖区内道路应急抢险工作。负责站内人员精神文明建设。</w:t>
      </w:r>
      <w:r>
        <w:rPr>
          <w:rFonts w:eastAsia="仿宋"/>
          <w:sz w:val="32"/>
          <w:szCs w:val="32"/>
        </w:rPr>
        <w:br w:type="page"/>
      </w:r>
    </w:p>
    <w:p>
      <w:pPr>
        <w:pStyle w:val="5"/>
        <w:jc w:val="center"/>
        <w:rPr>
          <w:rFonts w:eastAsia="方正小标宋简体" w:cs="方正小标宋简体"/>
          <w:b w:val="0"/>
        </w:rPr>
      </w:pPr>
      <w:bookmarkStart w:id="13" w:name="_Toc11196"/>
      <w:bookmarkStart w:id="14" w:name="_Toc15377204"/>
      <w:bookmarkStart w:id="15" w:name="_Toc15396602"/>
      <w:r>
        <w:rPr>
          <w:rFonts w:hint="eastAsia" w:eastAsia="方正小标宋简体" w:cs="方正小标宋简体"/>
          <w:b w:val="0"/>
        </w:rPr>
        <w:t xml:space="preserve">第二部分  </w:t>
      </w:r>
      <w:r>
        <w:rPr>
          <w:rFonts w:hint="eastAsia" w:ascii="方正小标宋简体" w:hAnsi="方正小标宋简体" w:eastAsia="方正小标宋简体" w:cs="方正小标宋简体"/>
          <w:b w:val="0"/>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28910"/>
      <w:bookmarkStart w:id="17" w:name="_Toc15377205"/>
      <w:bookmarkStart w:id="18" w:name="_Toc15396603"/>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8"/>
        <w:adjustRightInd w:val="0"/>
        <w:snapToGrid w:val="0"/>
        <w:spacing w:before="93" w:line="600" w:lineRule="exact"/>
        <w:ind w:firstLine="640" w:firstLineChars="200"/>
        <w:rPr>
          <w:rFonts w:hint="eastAsia"/>
          <w:lang w:eastAsia="zh-CN"/>
        </w:rPr>
      </w:pPr>
      <w:r>
        <w:rPr>
          <w:rFonts w:hint="eastAsia" w:ascii="Times New Roman" w:hAnsi="Times New Roman" w:eastAsia="仿宋_GB2312" w:cs="仿宋_GB2312"/>
          <w:kern w:val="2"/>
          <w:sz w:val="32"/>
          <w:szCs w:val="32"/>
          <w:lang w:val="en-US" w:eastAsia="zh-CN" w:bidi="ar-SA"/>
        </w:rPr>
        <w:t>2024年度收入总计为2,588.5万元，支出总计为2,567.82万元。与2023年度相比，收入总计减少240.21万元，下降8.</w:t>
      </w:r>
      <w:r>
        <w:rPr>
          <w:rFonts w:hint="eastAsia" w:ascii="Times New Roman" w:cs="仿宋_GB2312"/>
          <w:kern w:val="2"/>
          <w:sz w:val="32"/>
          <w:szCs w:val="32"/>
          <w:lang w:val="en-US" w:eastAsia="zh-CN" w:bidi="ar-SA"/>
        </w:rPr>
        <w:t>5</w:t>
      </w:r>
      <w:r>
        <w:rPr>
          <w:rFonts w:hint="eastAsia" w:ascii="Times New Roman" w:hAnsi="Times New Roman" w:eastAsia="仿宋_GB2312" w:cs="仿宋_GB2312"/>
          <w:kern w:val="2"/>
          <w:sz w:val="32"/>
          <w:szCs w:val="32"/>
          <w:lang w:val="en-US" w:eastAsia="zh-CN" w:bidi="ar-SA"/>
        </w:rPr>
        <w:t>%；支出总计减少260.89万元，下降9.2%。主要变动原因是人员减少，经费减少。</w:t>
      </w:r>
    </w:p>
    <w:p>
      <w:pPr>
        <w:pStyle w:val="8"/>
        <w:bidi w:val="0"/>
        <w:rPr>
          <w:rFonts w:hint="eastAsia"/>
          <w:lang w:eastAsia="zh-CN"/>
        </w:rPr>
      </w:pPr>
      <w:r>
        <w:drawing>
          <wp:anchor distT="0" distB="0" distL="114300" distR="114300" simplePos="0" relativeHeight="251659264" behindDoc="0" locked="0" layoutInCell="1" allowOverlap="1">
            <wp:simplePos x="0" y="0"/>
            <wp:positionH relativeFrom="column">
              <wp:posOffset>137795</wp:posOffset>
            </wp:positionH>
            <wp:positionV relativeFrom="paragraph">
              <wp:posOffset>63500</wp:posOffset>
            </wp:positionV>
            <wp:extent cx="4956175" cy="3070860"/>
            <wp:effectExtent l="5080" t="4445" r="10795" b="10795"/>
            <wp:wrapNone/>
            <wp:docPr id="2514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rPr>
      </w:pPr>
    </w:p>
    <w:p>
      <w:pPr>
        <w:ind w:firstLine="800" w:firstLineChars="250"/>
        <w:jc w:val="center"/>
        <w:rPr>
          <w:rFonts w:hint="eastAsia" w:eastAsia="仿宋_GB2312" w:cs="仿宋_GB2312"/>
          <w:sz w:val="32"/>
          <w:szCs w:val="32"/>
        </w:rPr>
      </w:pPr>
      <w:r>
        <w:rPr>
          <w:rFonts w:hint="eastAsia" w:eastAsia="仿宋_GB2312" w:cs="仿宋_GB2312"/>
          <w:sz w:val="32"/>
          <w:szCs w:val="32"/>
        </w:rPr>
        <w:t>（图1：收入、支出决算总计变动情况图）</w:t>
      </w:r>
    </w:p>
    <w:p>
      <w:pPr>
        <w:pStyle w:val="27"/>
        <w:spacing w:line="600" w:lineRule="exact"/>
        <w:ind w:firstLine="640"/>
        <w:outlineLvl w:val="1"/>
        <w:rPr>
          <w:rFonts w:hint="eastAsia"/>
        </w:rPr>
      </w:pPr>
      <w:bookmarkStart w:id="19" w:name="_Toc11178"/>
      <w:r>
        <w:rPr>
          <w:rFonts w:hint="eastAsia" w:eastAsia="黑体"/>
          <w:sz w:val="32"/>
          <w:szCs w:val="32"/>
        </w:rPr>
        <w:t>二、收入决算情况说明</w:t>
      </w:r>
      <w:bookmarkEnd w:id="19"/>
    </w:p>
    <w:p>
      <w:pPr>
        <w:pStyle w:val="8"/>
        <w:adjustRightInd w:val="0"/>
        <w:snapToGrid w:val="0"/>
        <w:spacing w:before="93" w:line="600" w:lineRule="exact"/>
        <w:ind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2024年度本年收入合计2,588.5万元，其中：一般公共预算财政拨款收入2,588.5万元，占100%。</w:t>
      </w: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r>
        <w:drawing>
          <wp:anchor distT="0" distB="0" distL="114300" distR="114300" simplePos="0" relativeHeight="251660288" behindDoc="0" locked="0" layoutInCell="1" allowOverlap="1">
            <wp:simplePos x="0" y="0"/>
            <wp:positionH relativeFrom="column">
              <wp:posOffset>233045</wp:posOffset>
            </wp:positionH>
            <wp:positionV relativeFrom="paragraph">
              <wp:posOffset>-28575</wp:posOffset>
            </wp:positionV>
            <wp:extent cx="4925060" cy="3087370"/>
            <wp:effectExtent l="4445" t="4445" r="23495" b="13335"/>
            <wp:wrapNone/>
            <wp:docPr id="2515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lang w:eastAsia="zh-CN"/>
        </w:rPr>
      </w:pPr>
    </w:p>
    <w:p>
      <w:pPr>
        <w:pStyle w:val="8"/>
        <w:bidi w:val="0"/>
        <w:rPr>
          <w:rFonts w:hint="eastAsia"/>
        </w:rPr>
      </w:pP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Fonts w:hint="eastAsia" w:eastAsia="黑体"/>
          <w:sz w:val="32"/>
          <w:szCs w:val="32"/>
        </w:rPr>
      </w:pPr>
      <w:bookmarkStart w:id="20" w:name="_Toc15377207"/>
      <w:bookmarkStart w:id="21" w:name="_Toc6000"/>
      <w:bookmarkStart w:id="22" w:name="_Toc15396605"/>
      <w:r>
        <w:rPr>
          <w:rFonts w:hint="eastAsia" w:eastAsia="黑体"/>
          <w:sz w:val="32"/>
          <w:szCs w:val="32"/>
        </w:rPr>
        <w:t>三、支出决算情况说明</w:t>
      </w:r>
      <w:bookmarkEnd w:id="20"/>
      <w:bookmarkEnd w:id="21"/>
      <w:bookmarkEnd w:id="22"/>
    </w:p>
    <w:p>
      <w:pPr>
        <w:pStyle w:val="8"/>
        <w:adjustRightInd w:val="0"/>
        <w:snapToGrid w:val="0"/>
        <w:spacing w:before="93" w:line="600" w:lineRule="exact"/>
        <w:ind w:firstLine="640" w:firstLineChars="200"/>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2024年度本年支出合计2,567.82万元，其中：基本支出2,400.38万元，占93.5%；项目支出167.44万元，占6.5%。</w:t>
      </w:r>
    </w:p>
    <w:p>
      <w:pPr>
        <w:pStyle w:val="8"/>
        <w:bidi w:val="0"/>
        <w:rPr>
          <w:rFonts w:hint="eastAsia"/>
        </w:rPr>
      </w:pPr>
      <w:r>
        <w:drawing>
          <wp:anchor distT="0" distB="0" distL="114300" distR="114300" simplePos="0" relativeHeight="251661312" behindDoc="0" locked="0" layoutInCell="1" allowOverlap="1">
            <wp:simplePos x="0" y="0"/>
            <wp:positionH relativeFrom="column">
              <wp:posOffset>318770</wp:posOffset>
            </wp:positionH>
            <wp:positionV relativeFrom="paragraph">
              <wp:posOffset>205105</wp:posOffset>
            </wp:positionV>
            <wp:extent cx="4820285" cy="3011170"/>
            <wp:effectExtent l="4445" t="5080" r="13970" b="12700"/>
            <wp:wrapNone/>
            <wp:docPr id="2515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jc w:val="center"/>
      </w:pPr>
      <w:r>
        <w:rPr>
          <w:rFonts w:hint="eastAsia" w:eastAsia="仿宋_GB2312" w:cs="仿宋_GB2312"/>
          <w:sz w:val="32"/>
          <w:szCs w:val="32"/>
        </w:rPr>
        <w:t>（图3：支出决算结构图）</w:t>
      </w:r>
    </w:p>
    <w:p>
      <w:pPr>
        <w:pStyle w:val="8"/>
        <w:bidi w:val="0"/>
        <w:rPr>
          <w:rFonts w:hint="eastAsia"/>
        </w:rPr>
      </w:pPr>
      <w:bookmarkStart w:id="23" w:name="_Toc15377208"/>
      <w:bookmarkStart w:id="24" w:name="_Toc15396606"/>
    </w:p>
    <w:p>
      <w:pPr>
        <w:spacing w:line="600" w:lineRule="exact"/>
        <w:ind w:firstLine="640" w:firstLineChars="200"/>
        <w:outlineLvl w:val="1"/>
        <w:rPr>
          <w:rStyle w:val="29"/>
          <w:rFonts w:ascii="Times New Roman" w:hAnsi="Times New Roman" w:eastAsia="黑体"/>
          <w:b w:val="0"/>
        </w:rPr>
      </w:pPr>
      <w:bookmarkStart w:id="25" w:name="_Toc3934"/>
      <w:r>
        <w:rPr>
          <w:rFonts w:hint="eastAsia" w:eastAsia="黑体"/>
          <w:sz w:val="32"/>
          <w:szCs w:val="32"/>
        </w:rPr>
        <w:t>四、财</w:t>
      </w:r>
      <w:r>
        <w:rPr>
          <w:rStyle w:val="29"/>
          <w:rFonts w:hint="eastAsia" w:ascii="Times New Roman" w:hAnsi="Times New Roman" w:eastAsia="黑体"/>
          <w:b w:val="0"/>
        </w:rPr>
        <w:t>政拨款收入支出决算总体情况说明</w:t>
      </w:r>
      <w:bookmarkEnd w:id="23"/>
      <w:bookmarkEnd w:id="24"/>
      <w:bookmarkEnd w:id="25"/>
    </w:p>
    <w:p>
      <w:pPr>
        <w:spacing w:line="600" w:lineRule="exact"/>
        <w:ind w:firstLine="640"/>
        <w:rPr>
          <w:rFonts w:hint="eastAsia" w:eastAsia="仿宋_GB2312" w:cs="仿宋_GB2312"/>
          <w:sz w:val="32"/>
          <w:szCs w:val="32"/>
        </w:rPr>
      </w:pPr>
      <w:r>
        <w:rPr>
          <w:rFonts w:hint="eastAsia" w:eastAsia="仿宋_GB2312" w:cs="仿宋_GB2312"/>
          <w:sz w:val="32"/>
          <w:szCs w:val="32"/>
        </w:rPr>
        <w:t>2024年度财政拨款收入总计为2</w:t>
      </w:r>
      <w:r>
        <w:rPr>
          <w:rFonts w:hint="eastAsia" w:eastAsia="仿宋_GB2312" w:cs="仿宋_GB2312"/>
          <w:sz w:val="32"/>
          <w:szCs w:val="32"/>
          <w:lang w:val="en-US" w:eastAsia="zh-CN"/>
        </w:rPr>
        <w:t>,</w:t>
      </w:r>
      <w:r>
        <w:rPr>
          <w:rFonts w:hint="eastAsia" w:eastAsia="仿宋_GB2312" w:cs="仿宋_GB2312"/>
          <w:sz w:val="32"/>
          <w:szCs w:val="32"/>
        </w:rPr>
        <w:t>588.5万元</w:t>
      </w:r>
      <w:r>
        <w:rPr>
          <w:rFonts w:hint="eastAsia" w:eastAsia="仿宋_GB2312" w:cs="仿宋_GB2312"/>
          <w:sz w:val="32"/>
          <w:szCs w:val="32"/>
          <w:lang w:eastAsia="zh-CN"/>
        </w:rPr>
        <w:t>，</w:t>
      </w:r>
      <w:r>
        <w:rPr>
          <w:rFonts w:hint="eastAsia" w:eastAsia="仿宋_GB2312" w:cs="仿宋_GB2312"/>
          <w:sz w:val="32"/>
          <w:szCs w:val="32"/>
          <w:lang w:val="en-US" w:eastAsia="zh-CN"/>
        </w:rPr>
        <w:t>支出总计为2,567.82万元</w:t>
      </w:r>
      <w:r>
        <w:rPr>
          <w:rFonts w:hint="eastAsia" w:eastAsia="仿宋_GB2312" w:cs="仿宋_GB2312"/>
          <w:sz w:val="32"/>
          <w:szCs w:val="32"/>
        </w:rPr>
        <w:t>。与2023年度相比，财政拨款收入总计减少240.21万元</w:t>
      </w:r>
      <w:r>
        <w:rPr>
          <w:rFonts w:hint="eastAsia" w:eastAsia="仿宋_GB2312" w:cs="仿宋_GB2312"/>
          <w:sz w:val="32"/>
          <w:szCs w:val="32"/>
          <w:lang w:eastAsia="zh-CN"/>
        </w:rPr>
        <w:t>，</w:t>
      </w:r>
      <w:r>
        <w:rPr>
          <w:rFonts w:hint="eastAsia" w:eastAsia="仿宋_GB2312" w:cs="仿宋_GB2312"/>
          <w:sz w:val="32"/>
          <w:szCs w:val="32"/>
        </w:rPr>
        <w:t>下降8.</w:t>
      </w:r>
      <w:r>
        <w:rPr>
          <w:rFonts w:hint="eastAsia" w:eastAsia="仿宋_GB2312" w:cs="仿宋_GB2312"/>
          <w:sz w:val="32"/>
          <w:szCs w:val="32"/>
          <w:lang w:val="en-US" w:eastAsia="zh-CN"/>
        </w:rPr>
        <w:t>5</w:t>
      </w:r>
      <w:r>
        <w:rPr>
          <w:rFonts w:hint="eastAsia" w:eastAsia="仿宋_GB2312" w:cs="仿宋_GB2312"/>
          <w:sz w:val="32"/>
          <w:szCs w:val="32"/>
        </w:rPr>
        <w:t>%；支出总计减少260.89万</w:t>
      </w:r>
      <w:r>
        <w:rPr>
          <w:rFonts w:hint="eastAsia" w:eastAsia="仿宋_GB2312" w:cs="仿宋_GB2312"/>
          <w:sz w:val="32"/>
          <w:szCs w:val="32"/>
          <w:lang w:val="en-US" w:eastAsia="zh-CN"/>
        </w:rPr>
        <w:t>元</w:t>
      </w:r>
      <w:r>
        <w:rPr>
          <w:rFonts w:hint="eastAsia" w:eastAsia="仿宋_GB2312" w:cs="仿宋_GB2312"/>
          <w:sz w:val="32"/>
          <w:szCs w:val="32"/>
        </w:rPr>
        <w:t>，下降9.2%。主要变动原因是人员减少，经费减少。</w:t>
      </w:r>
    </w:p>
    <w:p>
      <w:pPr>
        <w:pStyle w:val="3"/>
        <w:jc w:val="center"/>
        <w:rPr>
          <w:rFonts w:hint="eastAsia" w:eastAsia="仿宋_GB2312" w:cs="仿宋_GB2312"/>
          <w:sz w:val="32"/>
          <w:szCs w:val="32"/>
        </w:rPr>
      </w:pPr>
      <w:r>
        <w:drawing>
          <wp:inline distT="0" distB="0" distL="114300" distR="114300">
            <wp:extent cx="4683125" cy="3056255"/>
            <wp:effectExtent l="0" t="0" r="3175" b="10795"/>
            <wp:docPr id="2515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6" w:name="_Toc15377209"/>
      <w:bookmarkStart w:id="27" w:name="_Toc15396607"/>
      <w:bookmarkStart w:id="28" w:name="_Toc2112"/>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6"/>
      <w:bookmarkEnd w:id="27"/>
      <w:bookmarkEnd w:id="28"/>
    </w:p>
    <w:p>
      <w:pPr>
        <w:spacing w:line="600" w:lineRule="exact"/>
        <w:ind w:firstLine="643" w:firstLineChars="200"/>
        <w:outlineLvl w:val="2"/>
        <w:rPr>
          <w:rFonts w:eastAsia="楷体_GB2312" w:cs="楷体_GB2312"/>
          <w:b/>
          <w:sz w:val="32"/>
          <w:szCs w:val="32"/>
        </w:rPr>
      </w:pPr>
      <w:bookmarkStart w:id="29" w:name="_Toc15377210"/>
      <w:r>
        <w:rPr>
          <w:rFonts w:hint="eastAsia" w:eastAsia="楷体_GB2312" w:cs="楷体_GB2312"/>
          <w:b/>
          <w:sz w:val="32"/>
          <w:szCs w:val="32"/>
        </w:rPr>
        <w:t>（一）一般公共预算财政拨款支出决算总体情况</w:t>
      </w:r>
      <w:bookmarkEnd w:id="29"/>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eastAsia="仿宋_GB2312" w:cs="仿宋_GB2312"/>
          <w:sz w:val="32"/>
          <w:szCs w:val="32"/>
          <w:lang w:val="en-US" w:eastAsia="zh-CN"/>
        </w:rPr>
        <w:t>2,567.82</w:t>
      </w:r>
      <w:r>
        <w:rPr>
          <w:rFonts w:hint="eastAsia" w:ascii="仿宋_GB2312" w:hAnsi="仿宋_GB2312" w:eastAsia="仿宋_GB2312" w:cs="仿宋_GB2312"/>
          <w:sz w:val="32"/>
          <w:szCs w:val="32"/>
        </w:rPr>
        <w:t>万元，占本年支出合计的</w:t>
      </w:r>
      <w:r>
        <w:rPr>
          <w:rFonts w:hint="eastAsia" w:ascii="Times New Roman" w:hAnsi="Times New Roman" w:eastAsia="仿宋_GB2312" w:cs="仿宋_GB2312"/>
          <w:sz w:val="32"/>
          <w:szCs w:val="32"/>
          <w:lang w:val="en-US" w:eastAsia="zh-CN"/>
        </w:rPr>
        <w:t>100%</w:t>
      </w:r>
      <w:r>
        <w:rPr>
          <w:rFonts w:hint="eastAsia" w:ascii="仿宋_GB2312" w:hAnsi="仿宋_GB2312" w:eastAsia="仿宋_GB2312" w:cs="仿宋_GB2312"/>
          <w:sz w:val="32"/>
          <w:szCs w:val="32"/>
        </w:rPr>
        <w:t>。与</w:t>
      </w:r>
      <w:r>
        <w:rPr>
          <w:rFonts w:hint="eastAsia" w:ascii="Times New Roman" w:hAnsi="Times New Roman"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hAnsi="Times New Roman" w:eastAsia="仿宋_GB2312" w:cs="仿宋_GB2312"/>
          <w:sz w:val="32"/>
          <w:szCs w:val="32"/>
          <w:lang w:val="en-US" w:eastAsia="zh-CN"/>
        </w:rPr>
        <w:t>260.89</w:t>
      </w:r>
      <w:r>
        <w:rPr>
          <w:rFonts w:hint="eastAsia" w:ascii="仿宋_GB2312" w:hAnsi="仿宋_GB2312" w:eastAsia="仿宋_GB2312" w:cs="仿宋_GB2312"/>
          <w:sz w:val="32"/>
          <w:szCs w:val="32"/>
        </w:rPr>
        <w:t>万元，下降</w:t>
      </w:r>
      <w:r>
        <w:rPr>
          <w:rFonts w:hint="eastAsia" w:ascii="Times New Roman" w:hAnsi="Times New Roman" w:eastAsia="仿宋_GB2312" w:cs="仿宋_GB2312"/>
          <w:sz w:val="32"/>
          <w:szCs w:val="32"/>
          <w:lang w:val="en-US" w:eastAsia="zh-CN"/>
        </w:rPr>
        <w:t>9.2</w:t>
      </w:r>
      <w:r>
        <w:rPr>
          <w:rFonts w:hint="eastAsia" w:ascii="Times New Roman" w:hAnsi="Times New Roman" w:eastAsia="仿宋_GB2312" w:cs="仿宋_GB2312"/>
          <w:sz w:val="32"/>
          <w:szCs w:val="32"/>
        </w:rPr>
        <w:t>%</w:t>
      </w:r>
      <w:r>
        <w:rPr>
          <w:rFonts w:hint="eastAsia" w:ascii="仿宋_GB2312" w:hAnsi="仿宋_GB2312" w:eastAsia="仿宋_GB2312" w:cs="仿宋_GB2312"/>
          <w:sz w:val="32"/>
          <w:szCs w:val="32"/>
        </w:rPr>
        <w:t>。主要变动原因是是人员减少，经费减少。</w:t>
      </w: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3"/>
        <w:jc w:val="both"/>
      </w:pPr>
      <w:r>
        <w:drawing>
          <wp:inline distT="0" distB="0" distL="114300" distR="114300">
            <wp:extent cx="4467860" cy="2820670"/>
            <wp:effectExtent l="4445" t="4445" r="23495" b="13335"/>
            <wp:docPr id="2514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eastAsia="仿宋_GB2312" w:cs="仿宋_GB2312"/>
          <w:sz w:val="32"/>
          <w:szCs w:val="32"/>
        </w:rPr>
      </w:pPr>
      <w:r>
        <w:rPr>
          <w:rFonts w:hint="eastAsia" w:eastAsia="仿宋_GB2312" w:cs="仿宋_GB2312"/>
          <w:sz w:val="32"/>
          <w:szCs w:val="32"/>
        </w:rPr>
        <w:t>（图5：一般公共预算财政拨款支出决算变动情况）</w:t>
      </w:r>
    </w:p>
    <w:p>
      <w:pPr>
        <w:spacing w:line="600" w:lineRule="exact"/>
        <w:ind w:firstLine="643" w:firstLineChars="200"/>
        <w:outlineLvl w:val="2"/>
        <w:rPr>
          <w:rFonts w:eastAsia="楷体_GB2312" w:cs="楷体_GB2312"/>
          <w:b/>
          <w:sz w:val="32"/>
          <w:szCs w:val="32"/>
        </w:rPr>
      </w:pPr>
      <w:bookmarkStart w:id="30" w:name="_Toc15377211"/>
      <w:r>
        <w:rPr>
          <w:rFonts w:hint="eastAsia" w:eastAsia="楷体_GB2312" w:cs="楷体_GB2312"/>
          <w:b/>
          <w:sz w:val="32"/>
          <w:szCs w:val="32"/>
        </w:rPr>
        <w:t>（二）一般公共预算财政拨款支出决算结构情况</w:t>
      </w:r>
      <w:bookmarkEnd w:id="30"/>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eastAsia="仿宋_GB2312" w:cs="仿宋_GB2312"/>
          <w:sz w:val="32"/>
          <w:szCs w:val="32"/>
          <w:lang w:val="en-US" w:eastAsia="zh-CN"/>
        </w:rPr>
        <w:t>2,567.82</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，主要用于以下方面：社会保障和就业支出268.8万元，占</w:t>
      </w:r>
      <w:r>
        <w:rPr>
          <w:rFonts w:hint="eastAsia" w:eastAsia="仿宋_GB2312" w:cs="仿宋_GB2312"/>
          <w:sz w:val="32"/>
          <w:szCs w:val="32"/>
          <w:lang w:val="en-US" w:eastAsia="zh-CN"/>
        </w:rPr>
        <w:t>10.5</w:t>
      </w:r>
      <w:r>
        <w:rPr>
          <w:rFonts w:hint="eastAsia" w:eastAsia="仿宋_GB2312" w:cs="仿宋_GB2312"/>
          <w:sz w:val="32"/>
          <w:szCs w:val="32"/>
        </w:rPr>
        <w:t>%；卫生健康支出122.25万元，占</w:t>
      </w:r>
      <w:r>
        <w:rPr>
          <w:rFonts w:hint="eastAsia" w:eastAsia="仿宋_GB2312" w:cs="仿宋_GB2312"/>
          <w:sz w:val="32"/>
          <w:szCs w:val="32"/>
          <w:lang w:val="en-US" w:eastAsia="zh-CN"/>
        </w:rPr>
        <w:t>4.8</w:t>
      </w:r>
      <w:r>
        <w:rPr>
          <w:rFonts w:hint="eastAsia" w:eastAsia="仿宋_GB2312" w:cs="仿宋_GB2312"/>
          <w:sz w:val="32"/>
          <w:szCs w:val="32"/>
        </w:rPr>
        <w:t>%；</w:t>
      </w:r>
      <w:r>
        <w:rPr>
          <w:rFonts w:hint="eastAsia" w:eastAsia="仿宋_GB2312" w:cs="仿宋_GB2312"/>
          <w:sz w:val="32"/>
          <w:szCs w:val="32"/>
          <w:lang w:val="en-US" w:eastAsia="zh-CN"/>
        </w:rPr>
        <w:t>交通运输支出2,023.15万元，占78.8%；</w:t>
      </w:r>
      <w:r>
        <w:rPr>
          <w:rFonts w:hint="eastAsia" w:eastAsia="仿宋_GB2312" w:cs="仿宋_GB2312"/>
          <w:sz w:val="32"/>
          <w:szCs w:val="32"/>
        </w:rPr>
        <w:t>住房保障支出153.62万元，占</w:t>
      </w:r>
      <w:r>
        <w:rPr>
          <w:rFonts w:hint="eastAsia" w:eastAsia="仿宋_GB2312" w:cs="仿宋_GB2312"/>
          <w:sz w:val="32"/>
          <w:szCs w:val="32"/>
          <w:lang w:val="en-US" w:eastAsia="zh-CN"/>
        </w:rPr>
        <w:t>6</w:t>
      </w:r>
      <w:r>
        <w:rPr>
          <w:rFonts w:hint="eastAsia" w:eastAsia="仿宋_GB2312" w:cs="仿宋_GB2312"/>
          <w:sz w:val="32"/>
          <w:szCs w:val="32"/>
        </w:rPr>
        <w:t>%</w:t>
      </w:r>
      <w:r>
        <w:rPr>
          <w:rFonts w:hint="eastAsia" w:eastAsia="仿宋_GB2312" w:cs="仿宋_GB2312"/>
          <w:sz w:val="32"/>
          <w:szCs w:val="32"/>
          <w:lang w:eastAsia="zh-CN"/>
        </w:rPr>
        <w:t>。</w:t>
      </w:r>
    </w:p>
    <w:p>
      <w:pPr>
        <w:pStyle w:val="3"/>
        <w:rPr>
          <w:rFonts w:hint="eastAsia" w:eastAsia="仿宋_GB2312" w:cs="仿宋_GB2312"/>
          <w:sz w:val="32"/>
          <w:szCs w:val="32"/>
          <w:lang w:eastAsia="zh-CN"/>
        </w:rPr>
      </w:pPr>
      <w:r>
        <w:drawing>
          <wp:inline distT="0" distB="0" distL="114300" distR="114300">
            <wp:extent cx="4666615" cy="2819400"/>
            <wp:effectExtent l="4445" t="5080" r="15240" b="13970"/>
            <wp:docPr id="2515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1" w:name="_Toc15377212"/>
      <w:r>
        <w:rPr>
          <w:rFonts w:hint="eastAsia" w:eastAsia="楷体_GB2312" w:cs="楷体_GB2312"/>
          <w:b/>
          <w:sz w:val="32"/>
          <w:szCs w:val="32"/>
        </w:rPr>
        <w:t>（三）一般公共预算财政拨款支出决算具体情况</w:t>
      </w:r>
      <w:bookmarkEnd w:id="31"/>
    </w:p>
    <w:p>
      <w:pPr>
        <w:spacing w:line="600" w:lineRule="exact"/>
        <w:ind w:firstLine="640"/>
        <w:rPr>
          <w:rFonts w:eastAsia="仿宋_GB2312" w:cs="仿宋_GB2312"/>
          <w:sz w:val="32"/>
          <w:szCs w:val="32"/>
        </w:rPr>
      </w:pPr>
      <w:bookmarkStart w:id="32" w:name="_Toc15378460"/>
      <w:bookmarkStart w:id="33" w:name="_Toc15377444"/>
      <w:bookmarkStart w:id="34" w:name="_Toc15377213"/>
      <w:r>
        <w:rPr>
          <w:rFonts w:hint="eastAsia" w:eastAsia="仿宋_GB2312" w:cs="仿宋_GB2312"/>
          <w:sz w:val="32"/>
          <w:szCs w:val="32"/>
        </w:rPr>
        <w:t>2024年度一般公共预算财政拨款支出决算数为</w:t>
      </w:r>
      <w:r>
        <w:rPr>
          <w:rFonts w:hint="eastAsia" w:eastAsia="仿宋_GB2312" w:cs="仿宋_GB2312"/>
          <w:sz w:val="32"/>
          <w:szCs w:val="32"/>
          <w:lang w:val="en-US" w:eastAsia="zh-CN"/>
        </w:rPr>
        <w:t>2,567.82万元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2"/>
      <w:bookmarkEnd w:id="33"/>
      <w:bookmarkEnd w:id="34"/>
    </w:p>
    <w:p>
      <w:pPr>
        <w:numPr>
          <w:ilvl w:val="0"/>
          <w:numId w:val="0"/>
        </w:numPr>
        <w:spacing w:line="600" w:lineRule="exact"/>
        <w:ind w:firstLine="640" w:firstLineChars="200"/>
        <w:rPr>
          <w:rFonts w:hint="eastAsia" w:eastAsia="仿宋_GB2312"/>
          <w:lang w:eastAsia="zh-CN"/>
        </w:rPr>
      </w:pPr>
      <w:r>
        <w:rPr>
          <w:rFonts w:hint="eastAsia" w:eastAsia="仿宋_GB2312" w:cs="仿宋_GB2312"/>
          <w:sz w:val="32"/>
          <w:szCs w:val="32"/>
          <w:lang w:val="en-US" w:eastAsia="zh-CN"/>
        </w:rPr>
        <w:t>1.</w:t>
      </w:r>
      <w:r>
        <w:rPr>
          <w:rFonts w:hint="eastAsia" w:eastAsia="仿宋_GB2312" w:cs="仿宋_GB2312"/>
          <w:sz w:val="32"/>
          <w:szCs w:val="32"/>
        </w:rPr>
        <w:t>社会保障和就业（类）行政事业单位养老支出（款）事业单位离退休（项）：支出决算为10.86万元，完成预算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2.社会保障和就业（类）行政事业单位养老支出（款）机关事业单位基本养老保险缴费支出（项）：支出决算为171.96万元，完成预算100%，决算数等于预算数。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3.社会保障和就业（类）行政事业单位养老支出（款）机关事业单位职业年金缴费支出（项）：支出决算为85.98万元，完成预算100%，决算数等于预算数。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4.卫生健康（类）行政事业单位医疗（款）事业单位医疗（项）：支出决算为73.89万元，完成预算100%，决算数等于预算数。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5.卫生健康（类）行政事业单位医疗（款）其他行政事业单位医疗支出（项）：支出决算为48.36万元，完成预算100%，决算数等于预算数。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6.交通运输（类）公路水路运输（款）公路养护（项）：支出决算为1,855.71万元，完成预算100%，决算数等于预算数。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7.</w:t>
      </w:r>
      <w:r>
        <w:rPr>
          <w:rFonts w:hint="default" w:ascii="Times New Roman" w:hAnsi="Times New Roman" w:eastAsia="仿宋_GB2312" w:cs="仿宋_GB2312"/>
          <w:sz w:val="32"/>
          <w:szCs w:val="32"/>
          <w:lang w:val="en-US" w:eastAsia="zh-CN"/>
        </w:rPr>
        <w:t>住房保障</w:t>
      </w:r>
      <w:r>
        <w:rPr>
          <w:rFonts w:hint="eastAsia" w:ascii="Times New Roman" w:hAnsi="Times New Roman" w:eastAsia="仿宋_GB2312" w:cs="仿宋_GB2312"/>
          <w:sz w:val="32"/>
          <w:szCs w:val="32"/>
          <w:lang w:val="en-US" w:eastAsia="zh-CN"/>
        </w:rPr>
        <w:t>（类）住房改革支出（款）住房公积金（项）：支出决算为139.62万元，完成预算100%，决算数等于预算数。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8.住房保障（类）住房改革支出（款）购房补贴（项）：支出决算为14万元，完成预算100%，决算数等于预算数。</w:t>
      </w:r>
    </w:p>
    <w:p>
      <w:pPr>
        <w:tabs>
          <w:tab w:val="right" w:pos="8306"/>
        </w:tabs>
        <w:spacing w:line="600" w:lineRule="exact"/>
        <w:ind w:firstLine="640"/>
        <w:outlineLvl w:val="1"/>
        <w:rPr>
          <w:rStyle w:val="29"/>
          <w:rFonts w:ascii="Times New Roman" w:hAnsi="Times New Roman"/>
        </w:rPr>
      </w:pPr>
      <w:bookmarkStart w:id="35" w:name="_Toc15396608"/>
      <w:bookmarkStart w:id="36" w:name="_Toc15377214"/>
      <w:bookmarkStart w:id="37" w:name="_Toc1098"/>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5"/>
      <w:bookmarkEnd w:id="36"/>
      <w:bookmarkEnd w:id="37"/>
      <w:r>
        <w:rPr>
          <w:rStyle w:val="29"/>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Times New Roman" w:hAnsi="Times New Roman" w:eastAsia="仿宋_GB2312" w:cs="仿宋_GB2312"/>
          <w:sz w:val="32"/>
          <w:szCs w:val="32"/>
          <w:lang w:val="en-US" w:eastAsia="zh-CN"/>
        </w:rPr>
        <w:t>2,400.38</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ascii="Times New Roman" w:hAnsi="Times New Roman" w:eastAsia="仿宋_GB2312" w:cs="仿宋_GB2312"/>
          <w:sz w:val="32"/>
          <w:szCs w:val="32"/>
          <w:lang w:val="en-US" w:eastAsia="zh-CN"/>
        </w:rPr>
        <w:t>2,196.4</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ascii="Times New Roman" w:hAnsi="Times New Roman" w:eastAsia="仿宋_GB2312" w:cs="仿宋_GB2312"/>
          <w:sz w:val="32"/>
          <w:szCs w:val="32"/>
          <w:lang w:val="en-US" w:eastAsia="zh-CN"/>
        </w:rPr>
        <w:t>200.97</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印刷费、咨询费、水费、电费、邮电费、差旅费、因公出国（境）费用、维修（护）费、培训费、公务接待费、劳务费、委托业务费、福利费、公务用车运行维护费、其他商品和服务支出、办公设备购置。</w:t>
      </w:r>
    </w:p>
    <w:p>
      <w:pPr>
        <w:spacing w:line="600" w:lineRule="exact"/>
        <w:ind w:firstLine="640"/>
        <w:outlineLvl w:val="1"/>
        <w:rPr>
          <w:rStyle w:val="29"/>
          <w:rFonts w:ascii="Times New Roman" w:hAnsi="Times New Roman" w:eastAsia="黑体"/>
          <w:b w:val="0"/>
        </w:rPr>
      </w:pPr>
      <w:bookmarkStart w:id="38" w:name="_Toc15377215"/>
      <w:bookmarkStart w:id="39" w:name="_Toc15396609"/>
      <w:bookmarkStart w:id="40" w:name="_Toc521"/>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38"/>
      <w:bookmarkEnd w:id="39"/>
      <w:bookmarkEnd w:id="40"/>
    </w:p>
    <w:p>
      <w:pPr>
        <w:spacing w:line="600" w:lineRule="exact"/>
        <w:ind w:firstLine="643" w:firstLineChars="200"/>
        <w:outlineLvl w:val="2"/>
        <w:rPr>
          <w:rFonts w:eastAsia="楷体_GB2312" w:cs="楷体_GB2312"/>
          <w:b/>
          <w:sz w:val="32"/>
          <w:szCs w:val="32"/>
        </w:rPr>
      </w:pPr>
      <w:bookmarkStart w:id="41" w:name="_Toc15377216"/>
      <w:r>
        <w:rPr>
          <w:rFonts w:hint="eastAsia" w:eastAsia="楷体_GB2312" w:cs="楷体_GB2312"/>
          <w:b/>
          <w:sz w:val="32"/>
          <w:szCs w:val="32"/>
        </w:rPr>
        <w:t>（一）“三公”经费财政拨款支出决算总体情况说明</w:t>
      </w:r>
      <w:bookmarkEnd w:id="41"/>
    </w:p>
    <w:p>
      <w:pPr>
        <w:spacing w:line="600" w:lineRule="exact"/>
        <w:ind w:firstLine="640"/>
        <w:rPr>
          <w:rFonts w:eastAsia="仿宋_GB2312" w:cs="仿宋_GB2312"/>
          <w:b/>
          <w:bCs/>
          <w:sz w:val="32"/>
          <w:szCs w:val="32"/>
        </w:rPr>
      </w:pPr>
      <w:r>
        <w:rPr>
          <w:rFonts w:hint="eastAsia" w:eastAsia="仿宋_GB2312" w:cs="仿宋_GB2312"/>
          <w:sz w:val="32"/>
          <w:szCs w:val="32"/>
        </w:rPr>
        <w:t>2024年度“三公”经费财政拨款支出决算为</w:t>
      </w:r>
      <w:r>
        <w:rPr>
          <w:rFonts w:hint="eastAsia" w:ascii="Times New Roman" w:hAnsi="Times New Roman" w:eastAsia="仿宋_GB2312" w:cs="仿宋_GB2312"/>
          <w:sz w:val="32"/>
          <w:szCs w:val="32"/>
        </w:rPr>
        <w:t>18.67万</w:t>
      </w:r>
      <w:r>
        <w:rPr>
          <w:rFonts w:hint="eastAsia" w:ascii="仿宋_GB2312" w:hAnsi="仿宋_GB2312" w:eastAsia="仿宋_GB2312" w:cs="仿宋_GB2312"/>
          <w:sz w:val="32"/>
          <w:szCs w:val="32"/>
        </w:rPr>
        <w:t>元，完成预算</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较上年度减少</w:t>
      </w:r>
      <w:r>
        <w:rPr>
          <w:rFonts w:hint="eastAsia" w:eastAsia="仿宋_GB2312" w:cs="仿宋_GB2312"/>
          <w:sz w:val="32"/>
          <w:szCs w:val="32"/>
          <w:lang w:val="en-US" w:eastAsia="zh-CN"/>
        </w:rPr>
        <w:t>0.31</w:t>
      </w:r>
      <w:r>
        <w:rPr>
          <w:rFonts w:hint="eastAsia" w:eastAsia="仿宋_GB2312" w:cs="仿宋_GB2312"/>
          <w:sz w:val="32"/>
          <w:szCs w:val="32"/>
        </w:rPr>
        <w:t>万元，下降</w:t>
      </w:r>
      <w:r>
        <w:rPr>
          <w:rFonts w:hint="eastAsia" w:eastAsia="仿宋_GB2312" w:cs="仿宋_GB2312"/>
          <w:sz w:val="32"/>
          <w:szCs w:val="32"/>
          <w:lang w:val="en-US" w:eastAsia="zh-CN"/>
        </w:rPr>
        <w:t>1.31</w:t>
      </w:r>
      <w:r>
        <w:rPr>
          <w:rFonts w:hint="eastAsia" w:eastAsia="仿宋_GB2312" w:cs="仿宋_GB2312"/>
          <w:sz w:val="32"/>
          <w:szCs w:val="32"/>
        </w:rPr>
        <w:t>%。决算数与预算数持平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2" w:name="_Toc15377217"/>
      <w:r>
        <w:rPr>
          <w:rFonts w:hint="eastAsia" w:eastAsia="楷体_GB2312" w:cs="楷体_GB2312"/>
          <w:b/>
          <w:sz w:val="32"/>
          <w:szCs w:val="32"/>
        </w:rPr>
        <w:t>（二）“三公”经费财政拨款支出决算具体情况说明</w:t>
      </w:r>
      <w:bookmarkEnd w:id="42"/>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cs="仿宋_GB2312"/>
          <w:sz w:val="32"/>
          <w:szCs w:val="32"/>
          <w:lang w:val="en-US" w:eastAsia="zh-CN"/>
        </w:rPr>
        <w:t>占0%</w:t>
      </w:r>
      <w:r>
        <w:rPr>
          <w:rFonts w:hint="eastAsia" w:ascii="仿宋_GB2312" w:hAnsi="仿宋_GB2312" w:eastAsia="仿宋_GB2312" w:cs="仿宋_GB2312"/>
          <w:sz w:val="32"/>
          <w:szCs w:val="32"/>
        </w:rPr>
        <w:t>；公务用车购置及运行维护费支出决算</w:t>
      </w:r>
      <w:r>
        <w:rPr>
          <w:rFonts w:hint="eastAsia" w:ascii="Times New Roman" w:hAnsi="Times New Roman" w:eastAsia="仿宋_GB2312" w:cs="仿宋_GB2312"/>
          <w:sz w:val="32"/>
          <w:szCs w:val="32"/>
          <w:lang w:val="en-US" w:eastAsia="zh-CN"/>
        </w:rPr>
        <w:t>18.5</w:t>
      </w:r>
      <w:r>
        <w:rPr>
          <w:rFonts w:hint="eastAsia" w:ascii="仿宋_GB2312" w:hAnsi="仿宋_GB2312" w:eastAsia="仿宋_GB2312" w:cs="仿宋_GB2312"/>
          <w:sz w:val="32"/>
          <w:szCs w:val="32"/>
        </w:rPr>
        <w:t>万元，占</w:t>
      </w:r>
      <w:r>
        <w:rPr>
          <w:rFonts w:hint="eastAsia" w:ascii="Times New Roman" w:hAnsi="Times New Roman" w:eastAsia="仿宋_GB2312" w:cs="仿宋_GB2312"/>
          <w:sz w:val="32"/>
          <w:szCs w:val="32"/>
          <w:lang w:val="en-US" w:eastAsia="zh-CN"/>
        </w:rPr>
        <w:t>99.1%</w:t>
      </w:r>
      <w:r>
        <w:rPr>
          <w:rFonts w:hint="eastAsia" w:ascii="仿宋_GB2312" w:hAnsi="仿宋_GB2312" w:eastAsia="仿宋_GB2312" w:cs="仿宋_GB2312"/>
          <w:sz w:val="32"/>
          <w:szCs w:val="32"/>
        </w:rPr>
        <w:t>；公务接待费支出决算</w:t>
      </w:r>
      <w:r>
        <w:rPr>
          <w:rFonts w:hint="eastAsia" w:ascii="Times New Roman" w:hAnsi="Times New Roman" w:eastAsia="仿宋_GB2312" w:cs="仿宋_GB2312"/>
          <w:sz w:val="32"/>
          <w:szCs w:val="32"/>
          <w:lang w:val="en-US" w:eastAsia="zh-CN"/>
        </w:rPr>
        <w:t>0.17</w:t>
      </w:r>
      <w:r>
        <w:rPr>
          <w:rFonts w:hint="eastAsia" w:ascii="仿宋_GB2312" w:hAnsi="仿宋_GB2312" w:eastAsia="仿宋_GB2312" w:cs="仿宋_GB2312"/>
          <w:sz w:val="32"/>
          <w:szCs w:val="32"/>
        </w:rPr>
        <w:t>万元，占</w:t>
      </w:r>
      <w:r>
        <w:rPr>
          <w:rFonts w:hint="eastAsia" w:ascii="Times New Roman" w:hAnsi="Times New Roman" w:eastAsia="仿宋_GB2312" w:cs="仿宋_GB2312"/>
          <w:sz w:val="32"/>
          <w:szCs w:val="32"/>
          <w:lang w:val="en-US" w:eastAsia="zh-CN"/>
        </w:rPr>
        <w:t>0.9%</w:t>
      </w:r>
      <w:r>
        <w:rPr>
          <w:rFonts w:hint="eastAsia" w:ascii="仿宋_GB2312" w:hAnsi="仿宋_GB2312" w:eastAsia="仿宋_GB2312" w:cs="仿宋_GB2312"/>
          <w:sz w:val="32"/>
          <w:szCs w:val="32"/>
        </w:rPr>
        <w:t>。具体情况如下：</w:t>
      </w:r>
    </w:p>
    <w:p>
      <w:pPr>
        <w:pStyle w:val="3"/>
        <w:rPr>
          <w:rFonts w:hint="eastAsia" w:ascii="仿宋_GB2312" w:hAnsi="仿宋_GB2312" w:eastAsia="仿宋_GB2312" w:cs="仿宋_GB2312"/>
          <w:sz w:val="32"/>
          <w:szCs w:val="32"/>
        </w:rPr>
      </w:pPr>
      <w:r>
        <w:drawing>
          <wp:inline distT="0" distB="0" distL="114300" distR="114300">
            <wp:extent cx="4663440" cy="2905760"/>
            <wp:effectExtent l="4445" t="4445" r="18415" b="23495"/>
            <wp:docPr id="2515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eastAsia="仿宋_GB2312" w:cs="仿宋_GB2312"/>
          <w:sz w:val="32"/>
          <w:szCs w:val="32"/>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次，出国（境）</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w:t>
      </w:r>
      <w:r>
        <w:rPr>
          <w:rFonts w:hint="eastAsia" w:eastAsia="仿宋_GB2312" w:cs="仿宋_GB2312"/>
          <w:sz w:val="32"/>
          <w:szCs w:val="32"/>
        </w:rPr>
        <w:t>2023年</w:t>
      </w:r>
      <w:r>
        <w:rPr>
          <w:rFonts w:hint="eastAsia" w:eastAsia="仿宋_GB2312" w:cs="仿宋_GB2312"/>
          <w:sz w:val="32"/>
          <w:szCs w:val="32"/>
          <w:lang w:val="en-US" w:eastAsia="zh-CN"/>
        </w:rPr>
        <w:t>一致</w:t>
      </w:r>
      <w:r>
        <w:rPr>
          <w:rFonts w:hint="eastAsia" w:eastAsia="仿宋_GB2312" w:cs="仿宋_GB2312"/>
          <w:sz w:val="32"/>
          <w:szCs w:val="32"/>
        </w:rPr>
        <w:t>。</w:t>
      </w:r>
    </w:p>
    <w:p>
      <w:pPr>
        <w:spacing w:line="600" w:lineRule="exact"/>
        <w:ind w:firstLine="640"/>
        <w:rPr>
          <w:rFonts w:hint="eastAsia" w:eastAsia="仿宋_GB2312" w:cs="仿宋_GB2312"/>
          <w:sz w:val="32"/>
          <w:szCs w:val="32"/>
          <w:lang w:val="en-US" w:eastAsia="zh-CN"/>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lang w:val="en-US" w:eastAsia="zh-CN"/>
        </w:rPr>
        <w:t>18.5</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公务用车购置及运行维护费支出决算比2023年度减少</w:t>
      </w:r>
      <w:r>
        <w:rPr>
          <w:rFonts w:hint="eastAsia" w:eastAsia="仿宋_GB2312" w:cs="仿宋_GB2312"/>
          <w:sz w:val="32"/>
          <w:szCs w:val="32"/>
          <w:lang w:val="en-US" w:eastAsia="zh-CN"/>
        </w:rPr>
        <w:t>0.48</w:t>
      </w:r>
      <w:r>
        <w:rPr>
          <w:rFonts w:hint="eastAsia" w:eastAsia="仿宋_GB2312" w:cs="仿宋_GB2312"/>
          <w:sz w:val="32"/>
          <w:szCs w:val="32"/>
        </w:rPr>
        <w:t>万元，下降</w:t>
      </w:r>
      <w:r>
        <w:rPr>
          <w:rFonts w:hint="eastAsia" w:eastAsia="仿宋_GB2312" w:cs="仿宋_GB2312"/>
          <w:sz w:val="32"/>
          <w:szCs w:val="32"/>
          <w:lang w:val="en-US" w:eastAsia="zh-CN"/>
        </w:rPr>
        <w:t>2.5</w:t>
      </w:r>
      <w:r>
        <w:rPr>
          <w:rFonts w:hint="eastAsia" w:eastAsia="仿宋_GB2312" w:cs="仿宋_GB2312"/>
          <w:sz w:val="32"/>
          <w:szCs w:val="32"/>
        </w:rPr>
        <w:t>%。主要原因是</w:t>
      </w:r>
      <w:r>
        <w:rPr>
          <w:rFonts w:hint="eastAsia" w:eastAsia="仿宋_GB2312" w:cs="仿宋_GB2312"/>
          <w:sz w:val="32"/>
          <w:szCs w:val="32"/>
          <w:lang w:val="en-US" w:eastAsia="zh-CN"/>
        </w:rPr>
        <w:t>厉行节约，减少三公经费支出。</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0万</w:t>
      </w:r>
      <w:r>
        <w:rPr>
          <w:rFonts w:hint="eastAsia" w:eastAsia="仿宋_GB2312" w:cs="仿宋_GB2312"/>
          <w:sz w:val="32"/>
          <w:szCs w:val="32"/>
        </w:rPr>
        <w:t>元。全年按规定更新购置公务用车</w:t>
      </w:r>
      <w:r>
        <w:rPr>
          <w:rFonts w:hint="eastAsia" w:ascii="Times New Roman" w:hAnsi="Times New Roman" w:eastAsia="仿宋_GB2312" w:cs="仿宋_GB2312"/>
          <w:sz w:val="32"/>
          <w:szCs w:val="32"/>
          <w:lang w:val="en-US" w:eastAsia="zh-CN"/>
        </w:rPr>
        <w:t>0</w:t>
      </w:r>
      <w:r>
        <w:rPr>
          <w:rFonts w:hint="eastAsia" w:eastAsia="仿宋_GB2312" w:cs="仿宋_GB2312"/>
          <w:sz w:val="32"/>
          <w:szCs w:val="32"/>
        </w:rPr>
        <w:t>辆，其中：轿车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万元，越野车</w:t>
      </w:r>
      <w:r>
        <w:rPr>
          <w:rFonts w:hint="eastAsia" w:eastAsia="仿宋_GB2312" w:cs="仿宋_GB2312"/>
          <w:sz w:val="32"/>
          <w:szCs w:val="32"/>
          <w:lang w:val="en-US" w:eastAsia="zh-CN"/>
        </w:rPr>
        <w:t>0</w:t>
      </w:r>
      <w:r>
        <w:rPr>
          <w:rFonts w:hint="eastAsia" w:eastAsia="仿宋_GB2312" w:cs="仿宋_GB2312"/>
          <w:sz w:val="32"/>
          <w:szCs w:val="32"/>
        </w:rPr>
        <w:t>辆、</w:t>
      </w:r>
      <w:r>
        <w:rPr>
          <w:rFonts w:hint="eastAsia" w:eastAsia="仿宋_GB2312" w:cs="仿宋_GB2312"/>
          <w:color w:val="auto"/>
          <w:sz w:val="32"/>
          <w:szCs w:val="32"/>
        </w:rPr>
        <w:t>金额</w:t>
      </w:r>
      <w:r>
        <w:rPr>
          <w:rFonts w:hint="eastAsia" w:eastAsia="仿宋_GB2312" w:cs="仿宋_GB2312"/>
          <w:color w:val="auto"/>
          <w:sz w:val="32"/>
          <w:szCs w:val="32"/>
          <w:lang w:val="en-US" w:eastAsia="zh-CN"/>
        </w:rPr>
        <w:t>0</w:t>
      </w:r>
      <w:r>
        <w:rPr>
          <w:rFonts w:hint="eastAsia" w:eastAsia="仿宋_GB2312" w:cs="仿宋_GB2312"/>
          <w:color w:val="auto"/>
          <w:sz w:val="32"/>
          <w:szCs w:val="32"/>
        </w:rPr>
        <w:t>万元，载客汽车</w:t>
      </w:r>
      <w:r>
        <w:rPr>
          <w:rFonts w:hint="eastAsia" w:eastAsia="仿宋_GB2312" w:cs="仿宋_GB2312"/>
          <w:color w:val="auto"/>
          <w:sz w:val="32"/>
          <w:szCs w:val="32"/>
          <w:lang w:val="en-US" w:eastAsia="zh-CN"/>
        </w:rPr>
        <w:t>0</w:t>
      </w:r>
      <w:r>
        <w:rPr>
          <w:rFonts w:hint="eastAsia" w:eastAsia="仿宋_GB2312" w:cs="仿宋_GB2312"/>
          <w:color w:val="auto"/>
          <w:sz w:val="32"/>
          <w:szCs w:val="32"/>
        </w:rPr>
        <w:t>辆、金额</w:t>
      </w:r>
      <w:r>
        <w:rPr>
          <w:rFonts w:hint="eastAsia" w:eastAsia="仿宋_GB2312" w:cs="仿宋_GB2312"/>
          <w:color w:val="auto"/>
          <w:sz w:val="32"/>
          <w:szCs w:val="32"/>
          <w:lang w:val="en-US" w:eastAsia="zh-CN"/>
        </w:rPr>
        <w:t>0</w:t>
      </w:r>
      <w:r>
        <w:rPr>
          <w:rFonts w:hint="eastAsia" w:eastAsia="仿宋_GB2312" w:cs="仿宋_GB2312"/>
          <w:color w:val="auto"/>
          <w:sz w:val="32"/>
          <w:szCs w:val="32"/>
        </w:rPr>
        <w:t>万元。截至2024年12月31日，</w:t>
      </w:r>
      <w:r>
        <w:rPr>
          <w:rFonts w:hint="eastAsia" w:eastAsia="仿宋_GB2312" w:cs="仿宋_GB2312"/>
          <w:color w:val="auto"/>
          <w:sz w:val="32"/>
          <w:szCs w:val="32"/>
          <w:highlight w:val="none"/>
        </w:rPr>
        <w:t>单位共有公务用车</w:t>
      </w:r>
      <w:r>
        <w:rPr>
          <w:rFonts w:hint="eastAsia" w:eastAsia="仿宋_GB2312" w:cs="仿宋_GB2312"/>
          <w:color w:val="auto"/>
          <w:sz w:val="32"/>
          <w:szCs w:val="32"/>
          <w:highlight w:val="none"/>
          <w:lang w:val="en-US" w:eastAsia="zh-CN"/>
        </w:rPr>
        <w:t>6</w:t>
      </w:r>
      <w:r>
        <w:rPr>
          <w:rFonts w:hint="eastAsia" w:eastAsia="仿宋_GB2312" w:cs="仿宋_GB2312"/>
          <w:color w:val="auto"/>
          <w:sz w:val="32"/>
          <w:szCs w:val="32"/>
          <w:highlight w:val="none"/>
        </w:rPr>
        <w:t>辆，其中：轿车</w:t>
      </w:r>
      <w:r>
        <w:rPr>
          <w:rFonts w:hint="eastAsia" w:eastAsia="仿宋_GB2312" w:cs="仿宋_GB2312"/>
          <w:color w:val="auto"/>
          <w:sz w:val="32"/>
          <w:szCs w:val="32"/>
          <w:highlight w:val="none"/>
          <w:lang w:val="en-US" w:eastAsia="zh-CN"/>
        </w:rPr>
        <w:t>2</w:t>
      </w:r>
      <w:r>
        <w:rPr>
          <w:rFonts w:hint="eastAsia" w:eastAsia="仿宋_GB2312" w:cs="仿宋_GB2312"/>
          <w:color w:val="auto"/>
          <w:sz w:val="32"/>
          <w:szCs w:val="32"/>
          <w:highlight w:val="none"/>
        </w:rPr>
        <w:t>辆、越野车</w:t>
      </w:r>
      <w:r>
        <w:rPr>
          <w:rFonts w:hint="eastAsia" w:eastAsia="仿宋_GB2312" w:cs="仿宋_GB2312"/>
          <w:color w:val="auto"/>
          <w:sz w:val="32"/>
          <w:szCs w:val="32"/>
          <w:highlight w:val="none"/>
          <w:lang w:val="en-US" w:eastAsia="zh-CN"/>
        </w:rPr>
        <w:t>2</w:t>
      </w:r>
      <w:r>
        <w:rPr>
          <w:rFonts w:hint="eastAsia" w:eastAsia="仿宋_GB2312" w:cs="仿宋_GB2312"/>
          <w:color w:val="auto"/>
          <w:sz w:val="32"/>
          <w:szCs w:val="32"/>
          <w:highlight w:val="none"/>
        </w:rPr>
        <w:t>辆、</w:t>
      </w:r>
      <w:r>
        <w:rPr>
          <w:rFonts w:hint="eastAsia" w:eastAsia="仿宋_GB2312" w:cs="仿宋_GB2312"/>
          <w:color w:val="auto"/>
          <w:sz w:val="32"/>
          <w:szCs w:val="32"/>
          <w:highlight w:val="none"/>
          <w:lang w:val="en-US" w:eastAsia="zh-CN"/>
        </w:rPr>
        <w:t>其他用车2</w:t>
      </w:r>
      <w:r>
        <w:rPr>
          <w:rFonts w:hint="eastAsia" w:eastAsia="仿宋_GB2312" w:cs="仿宋_GB2312"/>
          <w:color w:val="auto"/>
          <w:sz w:val="32"/>
          <w:szCs w:val="32"/>
          <w:highlight w:val="none"/>
        </w:rPr>
        <w:t>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18.5</w:t>
      </w:r>
      <w:r>
        <w:rPr>
          <w:rFonts w:hint="eastAsia" w:eastAsia="仿宋_GB2312" w:cs="仿宋_GB2312"/>
          <w:sz w:val="32"/>
          <w:szCs w:val="32"/>
        </w:rPr>
        <w:t>万元。主要用于</w:t>
      </w:r>
      <w:r>
        <w:rPr>
          <w:rFonts w:hint="eastAsia" w:eastAsia="仿宋_GB2312" w:cs="仿宋_GB2312"/>
          <w:sz w:val="32"/>
          <w:szCs w:val="32"/>
          <w:lang w:val="en-US" w:eastAsia="zh-CN"/>
        </w:rPr>
        <w:t>公路养护等工作</w:t>
      </w:r>
      <w:r>
        <w:rPr>
          <w:rFonts w:hint="eastAsia" w:eastAsia="仿宋_GB2312" w:cs="仿宋_GB2312"/>
          <w:sz w:val="32"/>
          <w:szCs w:val="32"/>
        </w:rPr>
        <w:t>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Times New Roman" w:hAnsi="Times New Roman" w:eastAsia="仿宋_GB2312" w:cs="仿宋_GB2312"/>
          <w:b/>
          <w:bCs/>
          <w:sz w:val="32"/>
          <w:szCs w:val="32"/>
          <w:lang w:val="en-US" w:eastAsia="zh-CN"/>
        </w:rPr>
        <w:t>0.17</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公务接待费支出决算比2023年度增加</w:t>
      </w:r>
      <w:r>
        <w:rPr>
          <w:rFonts w:hint="eastAsia" w:eastAsia="仿宋_GB2312" w:cs="仿宋_GB2312"/>
          <w:sz w:val="32"/>
          <w:szCs w:val="32"/>
          <w:lang w:val="en-US" w:eastAsia="zh-CN"/>
        </w:rPr>
        <w:t>0.17</w:t>
      </w:r>
      <w:r>
        <w:rPr>
          <w:rFonts w:hint="eastAsia" w:eastAsia="仿宋_GB2312" w:cs="仿宋_GB2312"/>
          <w:sz w:val="32"/>
          <w:szCs w:val="32"/>
        </w:rPr>
        <w:t>万元，增长</w:t>
      </w:r>
      <w:r>
        <w:rPr>
          <w:rFonts w:hint="eastAsia" w:eastAsia="仿宋_GB2312" w:cs="仿宋_GB2312"/>
          <w:sz w:val="32"/>
          <w:szCs w:val="32"/>
          <w:lang w:val="en-US" w:eastAsia="zh-CN"/>
        </w:rPr>
        <w:t>100</w:t>
      </w:r>
      <w:r>
        <w:rPr>
          <w:rFonts w:hint="eastAsia" w:eastAsia="仿宋_GB2312" w:cs="仿宋_GB2312"/>
          <w:sz w:val="32"/>
          <w:szCs w:val="32"/>
        </w:rPr>
        <w:t>%。主要原因是</w:t>
      </w:r>
      <w:r>
        <w:rPr>
          <w:rFonts w:hint="eastAsia" w:eastAsia="仿宋_GB2312" w:cs="仿宋_GB2312"/>
          <w:sz w:val="32"/>
          <w:szCs w:val="32"/>
          <w:lang w:val="en-US" w:eastAsia="zh-CN"/>
        </w:rPr>
        <w:t>单位考核接待餐费</w:t>
      </w:r>
      <w:r>
        <w:rPr>
          <w:rFonts w:hint="eastAsia" w:eastAsia="仿宋_GB2312" w:cs="仿宋_GB2312"/>
          <w:sz w:val="32"/>
          <w:szCs w:val="32"/>
        </w:rPr>
        <w:t>。其中：</w:t>
      </w:r>
    </w:p>
    <w:p>
      <w:pPr>
        <w:spacing w:line="600" w:lineRule="exact"/>
        <w:ind w:firstLine="640"/>
        <w:rPr>
          <w:rFonts w:hint="default" w:eastAsia="仿宋_GB2312" w:cs="仿宋_GB2312"/>
          <w:color w:val="auto"/>
          <w:sz w:val="32"/>
          <w:szCs w:val="32"/>
          <w:lang w:val="en-US" w:eastAsia="zh-CN"/>
        </w:rPr>
      </w:pPr>
      <w:r>
        <w:rPr>
          <w:rFonts w:hint="eastAsia" w:eastAsia="仿宋_GB2312" w:cs="仿宋_GB2312"/>
          <w:color w:val="auto"/>
          <w:sz w:val="32"/>
          <w:szCs w:val="32"/>
        </w:rPr>
        <w:t>国内公务接待支</w:t>
      </w:r>
      <w:r>
        <w:rPr>
          <w:rFonts w:hint="eastAsia" w:ascii="仿宋_GB2312" w:hAnsi="仿宋_GB2312" w:eastAsia="仿宋_GB2312" w:cs="仿宋_GB2312"/>
          <w:color w:val="auto"/>
          <w:sz w:val="32"/>
          <w:szCs w:val="32"/>
        </w:rPr>
        <w:t>出</w:t>
      </w:r>
      <w:r>
        <w:rPr>
          <w:rFonts w:hint="eastAsia" w:ascii="Times New Roman" w:hAnsi="Times New Roman" w:eastAsia="仿宋_GB2312" w:cs="仿宋_GB2312"/>
          <w:sz w:val="32"/>
          <w:szCs w:val="32"/>
          <w:lang w:val="en-US" w:eastAsia="zh-CN"/>
        </w:rPr>
        <w:t>0.17</w:t>
      </w:r>
      <w:r>
        <w:rPr>
          <w:rFonts w:hint="eastAsia" w:ascii="仿宋_GB2312" w:hAnsi="仿宋_GB2312" w:eastAsia="仿宋_GB2312" w:cs="仿宋_GB2312"/>
          <w:color w:val="auto"/>
          <w:sz w:val="32"/>
          <w:szCs w:val="32"/>
        </w:rPr>
        <w:t>万</w:t>
      </w:r>
      <w:r>
        <w:rPr>
          <w:rFonts w:hint="eastAsia" w:eastAsia="仿宋_GB2312" w:cs="仿宋_GB2312"/>
          <w:color w:val="auto"/>
          <w:sz w:val="32"/>
          <w:szCs w:val="32"/>
        </w:rPr>
        <w:t>元，主要用于单位考核接待餐费。国内公务接</w:t>
      </w:r>
      <w:r>
        <w:rPr>
          <w:rFonts w:hint="eastAsia" w:ascii="仿宋_GB2312" w:hAnsi="仿宋_GB2312" w:eastAsia="仿宋_GB2312" w:cs="仿宋_GB2312"/>
          <w:color w:val="auto"/>
          <w:sz w:val="32"/>
          <w:szCs w:val="32"/>
        </w:rPr>
        <w:t>待</w:t>
      </w: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color w:val="auto"/>
          <w:sz w:val="32"/>
          <w:szCs w:val="32"/>
        </w:rPr>
        <w:t>批次，</w:t>
      </w:r>
      <w:r>
        <w:rPr>
          <w:rFonts w:hint="eastAsia" w:ascii="Times New Roman" w:hAnsi="Times New Roman" w:eastAsia="仿宋_GB2312" w:cs="仿宋_GB2312"/>
          <w:sz w:val="32"/>
          <w:szCs w:val="32"/>
          <w:lang w:val="en-US" w:eastAsia="zh-CN"/>
        </w:rPr>
        <w:t>21</w:t>
      </w:r>
      <w:r>
        <w:rPr>
          <w:rFonts w:hint="eastAsia" w:eastAsia="仿宋_GB2312" w:cs="仿宋_GB2312"/>
          <w:color w:val="auto"/>
          <w:sz w:val="32"/>
          <w:szCs w:val="32"/>
        </w:rPr>
        <w:t>人次（不包括陪同人员），共计支出</w:t>
      </w:r>
      <w:r>
        <w:rPr>
          <w:rFonts w:hint="eastAsia" w:eastAsia="仿宋_GB2312" w:cs="仿宋_GB2312"/>
          <w:color w:val="auto"/>
          <w:sz w:val="32"/>
          <w:szCs w:val="32"/>
          <w:lang w:val="en-US" w:eastAsia="zh-CN"/>
        </w:rPr>
        <w:t>0.17</w:t>
      </w:r>
      <w:r>
        <w:rPr>
          <w:rFonts w:hint="eastAsia" w:eastAsia="仿宋_GB2312" w:cs="仿宋_GB2312"/>
          <w:color w:val="auto"/>
          <w:sz w:val="32"/>
          <w:szCs w:val="32"/>
        </w:rPr>
        <w:t>万元，具体内容包括：</w:t>
      </w:r>
      <w:r>
        <w:rPr>
          <w:rFonts w:hint="eastAsia" w:eastAsia="仿宋_GB2312" w:cs="仿宋_GB2312"/>
          <w:color w:val="auto"/>
          <w:sz w:val="32"/>
          <w:szCs w:val="32"/>
          <w:lang w:val="en-US" w:eastAsia="zh-CN"/>
        </w:rPr>
        <w:t>1.</w:t>
      </w:r>
      <w:r>
        <w:rPr>
          <w:rFonts w:hint="eastAsia" w:eastAsia="仿宋_GB2312" w:cs="仿宋_GB2312"/>
          <w:color w:val="auto"/>
          <w:sz w:val="32"/>
          <w:szCs w:val="32"/>
        </w:rPr>
        <w:t>州局第三、四季度考核工作接待餐费</w:t>
      </w:r>
      <w:r>
        <w:rPr>
          <w:rFonts w:hint="eastAsia" w:eastAsia="仿宋_GB2312" w:cs="仿宋_GB2312"/>
          <w:color w:val="auto"/>
          <w:sz w:val="32"/>
          <w:szCs w:val="32"/>
          <w:lang w:val="en-US" w:eastAsia="zh-CN"/>
        </w:rPr>
        <w:t>0.07万元；2.州局年终考核慰问工作接待餐费0.04万元；3.州局第二季度考核工作接待餐费0.07万元。</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w:t>
      </w:r>
      <w:bookmarkStart w:id="43" w:name="_Toc15377218"/>
      <w:bookmarkStart w:id="44" w:name="_Toc15396610"/>
    </w:p>
    <w:p>
      <w:pPr>
        <w:spacing w:line="600" w:lineRule="exact"/>
        <w:ind w:firstLine="640"/>
        <w:outlineLvl w:val="1"/>
        <w:rPr>
          <w:rStyle w:val="29"/>
          <w:rFonts w:ascii="Times New Roman" w:hAnsi="Times New Roman" w:eastAsia="黑体"/>
        </w:rPr>
      </w:pPr>
      <w:bookmarkStart w:id="45" w:name="_Toc356"/>
      <w:r>
        <w:rPr>
          <w:rFonts w:hint="eastAsia" w:eastAsia="黑体"/>
          <w:sz w:val="32"/>
          <w:szCs w:val="32"/>
        </w:rPr>
        <w:t>八、</w:t>
      </w:r>
      <w:r>
        <w:rPr>
          <w:rStyle w:val="29"/>
          <w:rFonts w:hint="eastAsia" w:ascii="Times New Roman" w:hAnsi="Times New Roman" w:eastAsia="黑体"/>
          <w:b w:val="0"/>
        </w:rPr>
        <w:t>政府性基金预算支出决算情况说明</w:t>
      </w:r>
      <w:bookmarkEnd w:id="43"/>
      <w:bookmarkEnd w:id="44"/>
      <w:bookmarkEnd w:id="45"/>
    </w:p>
    <w:p>
      <w:pPr>
        <w:spacing w:line="600" w:lineRule="exact"/>
        <w:ind w:firstLine="640"/>
        <w:rPr>
          <w:rFonts w:eastAsia="仿宋_GB2312" w:cs="仿宋_GB2312"/>
          <w:sz w:val="32"/>
          <w:szCs w:val="32"/>
        </w:rPr>
      </w:pPr>
      <w:r>
        <w:rPr>
          <w:rFonts w:hint="eastAsia" w:ascii="Times New Roman" w:hAnsi="Times New Roman"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46" w:name="_Toc15377219"/>
      <w:bookmarkStart w:id="47" w:name="_Toc28416"/>
      <w:bookmarkStart w:id="48" w:name="_Toc15396611"/>
      <w:r>
        <w:rPr>
          <w:rStyle w:val="29"/>
          <w:rFonts w:hint="eastAsia" w:ascii="Times New Roman" w:hAnsi="Times New Roman" w:eastAsia="黑体"/>
          <w:b w:val="0"/>
        </w:rPr>
        <w:t>九、国有资本经营预算支出决算情况说明</w:t>
      </w:r>
      <w:bookmarkEnd w:id="46"/>
      <w:bookmarkEnd w:id="47"/>
      <w:bookmarkEnd w:id="48"/>
    </w:p>
    <w:p>
      <w:pPr>
        <w:spacing w:line="600" w:lineRule="exact"/>
        <w:ind w:firstLine="640"/>
        <w:rPr>
          <w:rFonts w:eastAsia="仿宋_GB2312" w:cs="仿宋_GB2312"/>
          <w:sz w:val="32"/>
          <w:szCs w:val="32"/>
        </w:rPr>
      </w:pPr>
      <w:r>
        <w:rPr>
          <w:rFonts w:hint="eastAsia" w:eastAsia="仿宋_GB2312" w:cs="仿宋_GB2312"/>
          <w:sz w:val="32"/>
          <w:szCs w:val="32"/>
        </w:rPr>
        <w:t>2024年度国有资本经营预算财政拨款支出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49" w:name="_Toc15377221"/>
      <w:bookmarkStart w:id="50" w:name="_Toc15396612"/>
      <w:bookmarkStart w:id="51" w:name="_Toc8920"/>
      <w:r>
        <w:rPr>
          <w:rStyle w:val="29"/>
          <w:rFonts w:hint="eastAsia" w:ascii="Times New Roman" w:hAnsi="Times New Roman" w:eastAsia="黑体"/>
          <w:b w:val="0"/>
        </w:rPr>
        <w:t>十、其他重要事项的情况说明</w:t>
      </w:r>
      <w:bookmarkEnd w:id="49"/>
      <w:bookmarkEnd w:id="50"/>
      <w:bookmarkEnd w:id="51"/>
    </w:p>
    <w:p>
      <w:pPr>
        <w:spacing w:line="600" w:lineRule="exact"/>
        <w:ind w:firstLine="643" w:firstLineChars="200"/>
        <w:outlineLvl w:val="2"/>
        <w:rPr>
          <w:rFonts w:eastAsia="楷体_GB2312" w:cs="楷体_GB2312"/>
          <w:b/>
          <w:sz w:val="32"/>
          <w:szCs w:val="32"/>
        </w:rPr>
      </w:pPr>
      <w:bookmarkStart w:id="52" w:name="_Toc15377222"/>
      <w:r>
        <w:rPr>
          <w:rFonts w:hint="eastAsia" w:eastAsia="楷体_GB2312" w:cs="楷体_GB2312"/>
          <w:b/>
          <w:sz w:val="32"/>
          <w:szCs w:val="32"/>
        </w:rPr>
        <w:t>（一）机关运行经费支出情况</w:t>
      </w:r>
      <w:bookmarkEnd w:id="5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，阿坝藏族羌族自治州公路管理局刷经寺公路管理分局机关运行经费支出</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万</w:t>
      </w:r>
      <w:r>
        <w:rPr>
          <w:rFonts w:hint="eastAsia" w:eastAsia="仿宋_GB2312" w:cs="仿宋_GB2312"/>
          <w:sz w:val="32"/>
          <w:szCs w:val="32"/>
        </w:rPr>
        <w:t>元</w:t>
      </w:r>
      <w:r>
        <w:rPr>
          <w:rFonts w:hint="eastAsia" w:eastAsia="仿宋_GB2312" w:cs="仿宋_GB2312"/>
          <w:sz w:val="32"/>
          <w:szCs w:val="32"/>
          <w:lang w:eastAsia="zh-CN"/>
        </w:rPr>
        <w:t>，</w:t>
      </w:r>
      <w:r>
        <w:rPr>
          <w:rFonts w:hint="eastAsia" w:eastAsia="仿宋_GB2312" w:cs="仿宋_GB2312"/>
          <w:sz w:val="32"/>
          <w:szCs w:val="32"/>
        </w:rPr>
        <w:t>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3" w:name="_Toc15377223"/>
      <w:r>
        <w:rPr>
          <w:rFonts w:hint="eastAsia" w:eastAsia="楷体_GB2312" w:cs="楷体_GB2312"/>
          <w:b/>
          <w:sz w:val="32"/>
          <w:szCs w:val="32"/>
        </w:rPr>
        <w:t>（二）政府采购支出情况</w:t>
      </w:r>
      <w:bookmarkEnd w:id="53"/>
    </w:p>
    <w:p>
      <w:pPr>
        <w:spacing w:line="600" w:lineRule="exact"/>
        <w:ind w:firstLine="640"/>
        <w:rPr>
          <w:rFonts w:eastAsia="仿宋_GB2312" w:cs="仿宋_GB2312"/>
          <w:sz w:val="32"/>
          <w:szCs w:val="32"/>
        </w:rPr>
      </w:pPr>
      <w:r>
        <w:rPr>
          <w:rFonts w:hint="eastAsia" w:ascii="Times New Roman" w:hAnsi="Times New Roman" w:eastAsia="仿宋_GB2312" w:cs="仿宋_GB2312"/>
          <w:sz w:val="32"/>
          <w:szCs w:val="32"/>
        </w:rPr>
        <w:t>2024</w:t>
      </w:r>
      <w:r>
        <w:rPr>
          <w:rFonts w:hint="eastAsia" w:ascii="仿宋_GB2312" w:hAnsi="仿宋_GB2312" w:eastAsia="仿宋_GB2312" w:cs="仿宋_GB2312"/>
          <w:sz w:val="32"/>
          <w:szCs w:val="32"/>
        </w:rPr>
        <w:t>年度，阿坝藏族羌族自治州公路管理局刷经寺公路管理分局政府采购支出总额</w:t>
      </w:r>
      <w:r>
        <w:rPr>
          <w:rFonts w:hint="eastAsia" w:ascii="Times New Roman" w:hAnsi="Times New Roman" w:eastAsia="仿宋_GB2312" w:cs="仿宋_GB2312"/>
          <w:sz w:val="32"/>
          <w:szCs w:val="32"/>
          <w:lang w:val="en-US" w:eastAsia="zh-CN"/>
        </w:rPr>
        <w:t>7.02</w:t>
      </w:r>
      <w:r>
        <w:rPr>
          <w:rFonts w:hint="eastAsia" w:ascii="仿宋_GB2312" w:hAnsi="仿宋_GB2312" w:eastAsia="仿宋_GB2312" w:cs="仿宋_GB2312"/>
          <w:sz w:val="32"/>
          <w:szCs w:val="32"/>
        </w:rPr>
        <w:t>万元，其中：政府采购货物支出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Times New Roman" w:hAnsi="Times New Roman" w:eastAsia="仿宋_GB2312" w:cs="仿宋_GB2312"/>
          <w:sz w:val="32"/>
          <w:szCs w:val="32"/>
          <w:lang w:val="en-US" w:eastAsia="zh-CN"/>
        </w:rPr>
        <w:t>7.02</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授予中小企业合同金额</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4" w:name="_Toc15377224"/>
      <w:r>
        <w:rPr>
          <w:rFonts w:hint="eastAsia" w:eastAsia="楷体_GB2312" w:cs="楷体_GB2312"/>
          <w:b/>
          <w:sz w:val="32"/>
          <w:szCs w:val="32"/>
        </w:rPr>
        <w:t>（三）国有资产占有使用情况</w:t>
      </w:r>
      <w:bookmarkEnd w:id="54"/>
    </w:p>
    <w:p>
      <w:pPr>
        <w:spacing w:line="600" w:lineRule="exact"/>
        <w:ind w:firstLine="640"/>
        <w:rPr>
          <w:rFonts w:eastAsia="仿宋_GB2312" w:cs="仿宋_GB2312"/>
          <w:sz w:val="32"/>
          <w:szCs w:val="32"/>
        </w:rPr>
      </w:pPr>
      <w:r>
        <w:rPr>
          <w:rFonts w:hint="eastAsia" w:ascii="Times New Roman" w:hAnsi="Times New Roman" w:eastAsia="仿宋_GB2312" w:cs="仿宋_GB2312"/>
          <w:sz w:val="32"/>
          <w:szCs w:val="32"/>
        </w:rPr>
        <w:t>截至2024年12月31日</w:t>
      </w:r>
      <w:r>
        <w:rPr>
          <w:rFonts w:hint="eastAsia" w:ascii="仿宋_GB2312" w:hAnsi="仿宋_GB2312" w:eastAsia="仿宋_GB2312" w:cs="仿宋_GB2312"/>
          <w:sz w:val="32"/>
          <w:szCs w:val="32"/>
        </w:rPr>
        <w:t>，阿坝藏族羌族自治州公路管理局刷经寺公路管理分局共有车辆</w:t>
      </w:r>
      <w:r>
        <w:rPr>
          <w:rFonts w:hint="eastAsia"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rPr>
        <w:t>辆，其中：应急保障用车</w:t>
      </w:r>
      <w:r>
        <w:rPr>
          <w:rFonts w:hint="eastAsia" w:ascii="Times New Roman" w:hAnsi="Times New Roman" w:eastAsia="仿宋_GB2312" w:cs="仿宋_GB2312"/>
          <w:sz w:val="32"/>
          <w:szCs w:val="32"/>
          <w:lang w:val="en-US" w:eastAsia="zh-CN"/>
        </w:rPr>
        <w:t>5</w:t>
      </w:r>
      <w:r>
        <w:rPr>
          <w:rFonts w:hint="eastAsia" w:ascii="仿宋_GB2312" w:hAnsi="仿宋_GB2312" w:eastAsia="仿宋_GB2312" w:cs="仿宋_GB2312"/>
          <w:sz w:val="32"/>
          <w:szCs w:val="32"/>
        </w:rPr>
        <w:t>辆、其他用车</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ascii="Times New Roman" w:hAnsi="Times New Roman"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ascii="Times New Roman" w:hAnsi="Times New Roman"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根据预算绩效管理要求，阿坝藏族羌族自治州公路管理局刷经寺公路管理分局在2024年度预算编制阶段，组织对2022年小修保养</w:t>
      </w:r>
      <w:r>
        <w:rPr>
          <w:rFonts w:hint="eastAsia" w:eastAsia="仿宋_GB2312" w:cs="仿宋_GB2312"/>
          <w:sz w:val="32"/>
          <w:szCs w:val="32"/>
          <w:lang w:eastAsia="zh-CN"/>
        </w:rPr>
        <w:t>、交调站维护资金、刷经寺公路分局养护机械运行维护费、2023刷经寺分局丧葬伤残抚恤金、刷经寺公路管理分局八一建军节慰问费、刷经寺分局退休人员春节慰问费、刷经寺公路管理分局水毁应急抢险</w:t>
      </w:r>
      <w:r>
        <w:rPr>
          <w:rFonts w:hint="eastAsia" w:eastAsia="仿宋_GB2312" w:cs="仿宋_GB2312"/>
          <w:sz w:val="32"/>
          <w:szCs w:val="32"/>
          <w:lang w:val="en-US" w:eastAsia="zh-CN"/>
        </w:rPr>
        <w:t>7</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7</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7</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7</w:t>
      </w:r>
      <w:r>
        <w:rPr>
          <w:rFonts w:hint="eastAsia" w:eastAsia="仿宋_GB2312" w:cs="仿宋_GB2312"/>
          <w:sz w:val="32"/>
          <w:szCs w:val="32"/>
        </w:rPr>
        <w:t>个项目开展绩效自评，绩效自评表详见第四部分附件。</w:t>
      </w:r>
    </w:p>
    <w:p>
      <w:pPr>
        <w:pStyle w:val="3"/>
        <w:ind w:left="0" w:leftChars="0" w:firstLine="0" w:firstLineChars="0"/>
        <w:rPr>
          <w:rFonts w:eastAsia="仿宋_GB2312" w:cs="仿宋_GB2312"/>
          <w:sz w:val="32"/>
          <w:szCs w:val="32"/>
        </w:rPr>
      </w:pPr>
    </w:p>
    <w:p>
      <w:pPr>
        <w:spacing w:line="600" w:lineRule="exact"/>
        <w:jc w:val="center"/>
        <w:outlineLvl w:val="0"/>
        <w:rPr>
          <w:rFonts w:hint="eastAsia" w:ascii="方正小标宋简体" w:hAnsi="方正小标宋简体" w:eastAsia="方正小标宋简体" w:cs="方正小标宋简体"/>
          <w:sz w:val="44"/>
          <w:szCs w:val="44"/>
        </w:rPr>
      </w:pPr>
      <w:bookmarkStart w:id="55" w:name="_Toc15396613"/>
      <w:bookmarkStart w:id="56" w:name="_Toc15377225"/>
      <w:bookmarkStart w:id="57" w:name="_Toc4669"/>
      <w:r>
        <w:rPr>
          <w:rFonts w:hint="eastAsia" w:ascii="方正小标宋简体" w:hAnsi="方正小标宋简体" w:eastAsia="方正小标宋简体" w:cs="方正小标宋简体"/>
          <w:sz w:val="44"/>
          <w:szCs w:val="44"/>
        </w:rPr>
        <w:t>第三部分  名词解释</w:t>
      </w:r>
      <w:bookmarkEnd w:id="55"/>
      <w:bookmarkEnd w:id="56"/>
      <w:bookmarkEnd w:id="57"/>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.年末结转和结余：指单位按有关规定结转到下年或以后年度继续使用的资金。</w:t>
      </w:r>
    </w:p>
    <w:p>
      <w:pPr>
        <w:spacing w:line="600" w:lineRule="exact"/>
        <w:ind w:firstLine="64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3.社会保障和就业支出（类）行政事业单位养老支出（款）事业单位离退休（项）：指事业单位工作人员达到国家规定的退休年龄或满足特定条件后，依法终止工作并享受相应的退休待遇支出。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.社会保障和就业支出（类）行政事业单位养老支出（款）机关事业单位职业年金缴费支出（项）：指反映机关事业单位实施养老保险制度由单位实际缴纳的职业年金支出。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.卫生健康支出（类）行政事业单位医疗（款）事业单位医疗（项）： 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.交通运输支出（类）公路水路运输（款）公路养护（项）：指反映公路养护支出。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.住房保障支出（类）住房改革支出（款）住房公积金（项）：指反映行政事业单位按人力资源和社会保障部、财政部规定的 基本工资和津贴补贴以及规定比例为职工缴纳的住房公积金。</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.住房保障支出（类）住房改革支出（款）购房补贴（项）：指反映按房改政策规定，行政事业单位向符合条件职工（含离 退休人员）、军队（含武警）向转役复员离退休人员发放的用于购买住房的补贴。</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11</w:t>
      </w:r>
      <w:r>
        <w:rPr>
          <w:rFonts w:hint="eastAsia" w:ascii="Times New Roman" w:hAnsi="Times New Roman" w:eastAsia="仿宋_GB2312" w:cs="仿宋_GB2312"/>
          <w:sz w:val="32"/>
          <w:szCs w:val="32"/>
        </w:rPr>
        <w:t>.基本支出：指为保障机构正常运转、完成日常工作任务而发生的人员支出和公用支出。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12</w:t>
      </w:r>
      <w:r>
        <w:rPr>
          <w:rFonts w:hint="eastAsia" w:ascii="Times New Roman" w:hAnsi="Times New Roman" w:eastAsia="仿宋_GB2312" w:cs="仿宋_GB2312"/>
          <w:sz w:val="32"/>
          <w:szCs w:val="32"/>
        </w:rPr>
        <w:t xml:space="preserve">.项目支出：指在基本支出之外为完成特定行政任务和事业发展目标所发生的支出。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13</w:t>
      </w:r>
      <w:r>
        <w:rPr>
          <w:rFonts w:hint="eastAsia" w:ascii="Times New Roman" w:hAnsi="Times New Roman"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Fonts w:eastAsia="黑体" w:cs="黑体"/>
          <w:color w:val="FF0000"/>
          <w:sz w:val="32"/>
          <w:szCs w:val="32"/>
        </w:rPr>
      </w:pPr>
      <w:bookmarkStart w:id="58" w:name="_Toc15377226"/>
      <w:r>
        <w:rPr>
          <w:rFonts w:hint="eastAsia" w:eastAsia="仿宋_GB2312" w:cs="仿宋_GB2312"/>
          <w:sz w:val="32"/>
          <w:szCs w:val="32"/>
        </w:rPr>
        <w:br w:type="page"/>
      </w:r>
      <w:bookmarkStart w:id="59" w:name="_Toc24691"/>
      <w:bookmarkStart w:id="60" w:name="_Toc15396614"/>
      <w:r>
        <w:rPr>
          <w:rFonts w:hint="eastAsia" w:ascii="方正小标宋简体" w:hAnsi="方正小标宋简体" w:eastAsia="方正小标宋简体" w:cs="方正小标宋简体"/>
          <w:sz w:val="44"/>
          <w:szCs w:val="44"/>
        </w:rPr>
        <w:t>第四部分  附件</w:t>
      </w:r>
      <w:bookmarkEnd w:id="59"/>
      <w:bookmarkEnd w:id="60"/>
    </w:p>
    <w:p>
      <w:pPr>
        <w:spacing w:line="578" w:lineRule="exact"/>
        <w:ind w:firstLine="640"/>
        <w:jc w:val="center"/>
        <w:rPr>
          <w:rFonts w:hint="eastAsia" w:eastAsia="黑体"/>
          <w:sz w:val="44"/>
          <w:szCs w:val="44"/>
        </w:rPr>
      </w:pPr>
      <w:r>
        <w:rPr>
          <w:rFonts w:hint="eastAsia" w:eastAsia="仿宋_GB2312" w:cs="仿宋_GB2312"/>
          <w:kern w:val="0"/>
          <w:sz w:val="32"/>
          <w:szCs w:val="32"/>
        </w:rPr>
        <w:t>单位预算项目支出绩效自评表（2024年度）</w:t>
      </w:r>
      <w:bookmarkStart w:id="61" w:name="_Toc15396618"/>
    </w:p>
    <w:p>
      <w:pPr>
        <w:widowControl/>
        <w:jc w:val="center"/>
        <w:rPr>
          <w:rFonts w:hint="eastAsia" w:eastAsia="黑体"/>
          <w:sz w:val="44"/>
          <w:szCs w:val="44"/>
        </w:rPr>
      </w:pPr>
      <w:r>
        <w:drawing>
          <wp:inline distT="0" distB="0" distL="114300" distR="114300">
            <wp:extent cx="5269230" cy="3919855"/>
            <wp:effectExtent l="0" t="0" r="7620" b="4445"/>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6"/>
                    <a:stretch>
                      <a:fillRect/>
                    </a:stretch>
                  </pic:blipFill>
                  <pic:spPr>
                    <a:xfrm>
                      <a:off x="0" y="0"/>
                      <a:ext cx="5269230" cy="3919855"/>
                    </a:xfrm>
                    <a:prstGeom prst="rect">
                      <a:avLst/>
                    </a:prstGeom>
                    <a:noFill/>
                    <a:ln>
                      <a:noFill/>
                    </a:ln>
                  </pic:spPr>
                </pic:pic>
              </a:graphicData>
            </a:graphic>
          </wp:inline>
        </w:drawing>
      </w:r>
      <w:r>
        <w:drawing>
          <wp:inline distT="0" distB="0" distL="114300" distR="114300">
            <wp:extent cx="5269230" cy="3725545"/>
            <wp:effectExtent l="0" t="0" r="762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7"/>
                    <a:stretch>
                      <a:fillRect/>
                    </a:stretch>
                  </pic:blipFill>
                  <pic:spPr>
                    <a:xfrm>
                      <a:off x="0" y="0"/>
                      <a:ext cx="5269230" cy="3725545"/>
                    </a:xfrm>
                    <a:prstGeom prst="rect">
                      <a:avLst/>
                    </a:prstGeom>
                    <a:noFill/>
                    <a:ln>
                      <a:noFill/>
                    </a:ln>
                  </pic:spPr>
                </pic:pic>
              </a:graphicData>
            </a:graphic>
          </wp:inline>
        </w:drawing>
      </w:r>
    </w:p>
    <w:p>
      <w:pPr>
        <w:widowControl/>
        <w:jc w:val="center"/>
        <w:rPr>
          <w:rFonts w:hint="eastAsia" w:eastAsia="黑体"/>
          <w:sz w:val="44"/>
          <w:szCs w:val="44"/>
        </w:rPr>
      </w:pPr>
    </w:p>
    <w:p>
      <w:pPr>
        <w:widowControl/>
        <w:jc w:val="center"/>
        <w:rPr>
          <w:rFonts w:hint="eastAsia" w:eastAsia="黑体"/>
          <w:sz w:val="44"/>
          <w:szCs w:val="44"/>
        </w:rPr>
      </w:pPr>
      <w:r>
        <w:drawing>
          <wp:inline distT="0" distB="0" distL="114300" distR="114300">
            <wp:extent cx="5269230" cy="4599940"/>
            <wp:effectExtent l="0" t="0" r="7620" b="1016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8"/>
                    <a:stretch>
                      <a:fillRect/>
                    </a:stretch>
                  </pic:blipFill>
                  <pic:spPr>
                    <a:xfrm>
                      <a:off x="0" y="0"/>
                      <a:ext cx="5269230" cy="4599940"/>
                    </a:xfrm>
                    <a:prstGeom prst="rect">
                      <a:avLst/>
                    </a:prstGeom>
                    <a:noFill/>
                    <a:ln>
                      <a:noFill/>
                    </a:ln>
                  </pic:spPr>
                </pic:pic>
              </a:graphicData>
            </a:graphic>
          </wp:inline>
        </w:drawing>
      </w:r>
      <w:r>
        <w:drawing>
          <wp:inline distT="0" distB="0" distL="114300" distR="114300">
            <wp:extent cx="5269230" cy="4015105"/>
            <wp:effectExtent l="0" t="0" r="7620"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9"/>
                    <a:stretch>
                      <a:fillRect/>
                    </a:stretch>
                  </pic:blipFill>
                  <pic:spPr>
                    <a:xfrm>
                      <a:off x="0" y="0"/>
                      <a:ext cx="5269230" cy="4015105"/>
                    </a:xfrm>
                    <a:prstGeom prst="rect">
                      <a:avLst/>
                    </a:prstGeom>
                    <a:noFill/>
                    <a:ln>
                      <a:noFill/>
                    </a:ln>
                  </pic:spPr>
                </pic:pic>
              </a:graphicData>
            </a:graphic>
          </wp:inline>
        </w:drawing>
      </w:r>
    </w:p>
    <w:p>
      <w:pPr>
        <w:widowControl/>
        <w:jc w:val="center"/>
        <w:rPr>
          <w:rFonts w:hint="eastAsia" w:eastAsia="黑体"/>
          <w:sz w:val="44"/>
          <w:szCs w:val="44"/>
        </w:rPr>
      </w:pPr>
      <w:r>
        <w:drawing>
          <wp:inline distT="0" distB="0" distL="114300" distR="114300">
            <wp:extent cx="5269230" cy="4062095"/>
            <wp:effectExtent l="0" t="0" r="7620" b="14605"/>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pic:cNvPicPr>
                      <a:picLocks noChangeAspect="1"/>
                    </pic:cNvPicPr>
                  </pic:nvPicPr>
                  <pic:blipFill>
                    <a:blip r:embed="rId20"/>
                    <a:stretch>
                      <a:fillRect/>
                    </a:stretch>
                  </pic:blipFill>
                  <pic:spPr>
                    <a:xfrm>
                      <a:off x="0" y="0"/>
                      <a:ext cx="5269230" cy="4062095"/>
                    </a:xfrm>
                    <a:prstGeom prst="rect">
                      <a:avLst/>
                    </a:prstGeom>
                    <a:noFill/>
                    <a:ln>
                      <a:noFill/>
                    </a:ln>
                  </pic:spPr>
                </pic:pic>
              </a:graphicData>
            </a:graphic>
          </wp:inline>
        </w:drawing>
      </w:r>
      <w:r>
        <w:drawing>
          <wp:inline distT="0" distB="0" distL="114300" distR="114300">
            <wp:extent cx="5269230" cy="4486910"/>
            <wp:effectExtent l="0" t="0" r="7620" b="889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21"/>
                    <a:stretch>
                      <a:fillRect/>
                    </a:stretch>
                  </pic:blipFill>
                  <pic:spPr>
                    <a:xfrm>
                      <a:off x="0" y="0"/>
                      <a:ext cx="5269230" cy="4486910"/>
                    </a:xfrm>
                    <a:prstGeom prst="rect">
                      <a:avLst/>
                    </a:prstGeom>
                    <a:noFill/>
                    <a:ln>
                      <a:noFill/>
                    </a:ln>
                  </pic:spPr>
                </pic:pic>
              </a:graphicData>
            </a:graphic>
          </wp:inline>
        </w:drawing>
      </w:r>
    </w:p>
    <w:p>
      <w:pPr>
        <w:pStyle w:val="3"/>
        <w:ind w:left="0" w:leftChars="0" w:firstLine="0" w:firstLineChars="0"/>
        <w:rPr>
          <w:rFonts w:hint="eastAsia" w:eastAsia="黑体"/>
          <w:sz w:val="44"/>
          <w:szCs w:val="44"/>
        </w:rPr>
      </w:pPr>
      <w:r>
        <w:drawing>
          <wp:inline distT="0" distB="0" distL="114300" distR="114300">
            <wp:extent cx="5269230" cy="4425315"/>
            <wp:effectExtent l="0" t="0" r="7620" b="13335"/>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22"/>
                    <a:stretch>
                      <a:fillRect/>
                    </a:stretch>
                  </pic:blipFill>
                  <pic:spPr>
                    <a:xfrm>
                      <a:off x="0" y="0"/>
                      <a:ext cx="5269230" cy="4425315"/>
                    </a:xfrm>
                    <a:prstGeom prst="rect">
                      <a:avLst/>
                    </a:prstGeom>
                    <a:noFill/>
                    <a:ln>
                      <a:noFill/>
                    </a:ln>
                  </pic:spPr>
                </pic:pic>
              </a:graphicData>
            </a:graphic>
          </wp:inline>
        </w:drawing>
      </w: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pStyle w:val="8"/>
        <w:bidi w:val="0"/>
        <w:rPr>
          <w:rFonts w:hint="eastAsia"/>
        </w:rPr>
      </w:pPr>
    </w:p>
    <w:p>
      <w:pPr>
        <w:spacing w:line="600" w:lineRule="exact"/>
        <w:jc w:val="center"/>
        <w:outlineLvl w:val="0"/>
        <w:rPr>
          <w:rFonts w:hint="eastAsia" w:ascii="方正小标宋简体" w:hAnsi="方正小标宋简体" w:eastAsia="方正小标宋简体" w:cs="方正小标宋简体"/>
          <w:sz w:val="44"/>
          <w:szCs w:val="44"/>
        </w:rPr>
      </w:pPr>
      <w:bookmarkStart w:id="62" w:name="_Toc10508"/>
      <w:r>
        <w:rPr>
          <w:rFonts w:hint="eastAsia" w:ascii="方正小标宋简体" w:hAnsi="方正小标宋简体" w:eastAsia="方正小标宋简体" w:cs="方正小标宋简体"/>
          <w:sz w:val="44"/>
          <w:szCs w:val="44"/>
        </w:rPr>
        <w:t>第五部分 附表</w:t>
      </w:r>
      <w:bookmarkEnd w:id="58"/>
      <w:bookmarkEnd w:id="61"/>
      <w:bookmarkEnd w:id="62"/>
      <w:bookmarkStart w:id="63" w:name="_Toc15396619"/>
    </w:p>
    <w:p>
      <w:pPr>
        <w:pStyle w:val="14"/>
        <w:adjustRightInd w:val="0"/>
        <w:snapToGrid w:val="0"/>
        <w:spacing w:line="560" w:lineRule="exact"/>
        <w:jc w:val="left"/>
        <w:rPr>
          <w:rFonts w:eastAsia="仿宋_GB2312" w:cs="仿宋_GB2312"/>
          <w:sz w:val="32"/>
          <w:szCs w:val="32"/>
        </w:rPr>
      </w:pPr>
    </w:p>
    <w:p>
      <w:pPr>
        <w:pStyle w:val="6"/>
        <w:bidi w:val="0"/>
        <w:rPr>
          <w:rFonts w:hint="eastAsia" w:ascii="仿宋" w:hAnsi="仿宋" w:eastAsia="仿宋" w:cs="仿宋"/>
          <w:b w:val="0"/>
          <w:bCs w:val="0"/>
        </w:rPr>
      </w:pPr>
      <w:bookmarkStart w:id="64" w:name="_Toc23620"/>
      <w:r>
        <w:rPr>
          <w:rFonts w:hint="eastAsia" w:ascii="仿宋" w:hAnsi="仿宋" w:eastAsia="仿宋" w:cs="仿宋"/>
          <w:b w:val="0"/>
          <w:bCs w:val="0"/>
        </w:rPr>
        <w:t>一、收入支出决算总表</w:t>
      </w:r>
      <w:bookmarkEnd w:id="63"/>
      <w:bookmarkEnd w:id="64"/>
    </w:p>
    <w:p>
      <w:pPr>
        <w:pStyle w:val="6"/>
        <w:bidi w:val="0"/>
        <w:rPr>
          <w:rFonts w:hint="eastAsia" w:ascii="仿宋" w:hAnsi="仿宋" w:eastAsia="仿宋" w:cs="仿宋"/>
          <w:b w:val="0"/>
          <w:bCs w:val="0"/>
        </w:rPr>
      </w:pPr>
      <w:bookmarkStart w:id="65" w:name="_Toc26500"/>
      <w:bookmarkStart w:id="66" w:name="_Toc15396620"/>
      <w:r>
        <w:rPr>
          <w:rFonts w:hint="eastAsia" w:ascii="仿宋" w:hAnsi="仿宋" w:eastAsia="仿宋" w:cs="仿宋"/>
          <w:b w:val="0"/>
          <w:bCs w:val="0"/>
        </w:rPr>
        <w:t>二、收入决算表</w:t>
      </w:r>
      <w:bookmarkEnd w:id="65"/>
      <w:bookmarkEnd w:id="66"/>
    </w:p>
    <w:p>
      <w:pPr>
        <w:pStyle w:val="6"/>
        <w:bidi w:val="0"/>
        <w:rPr>
          <w:rFonts w:hint="eastAsia" w:ascii="仿宋" w:hAnsi="仿宋" w:eastAsia="仿宋" w:cs="仿宋"/>
          <w:b w:val="0"/>
          <w:bCs w:val="0"/>
        </w:rPr>
      </w:pPr>
      <w:bookmarkStart w:id="67" w:name="_Toc15396621"/>
      <w:bookmarkStart w:id="68" w:name="_Toc13114"/>
      <w:r>
        <w:rPr>
          <w:rFonts w:hint="eastAsia" w:ascii="仿宋" w:hAnsi="仿宋" w:eastAsia="仿宋" w:cs="仿宋"/>
          <w:b w:val="0"/>
          <w:bCs w:val="0"/>
        </w:rPr>
        <w:t>三、支出决算表</w:t>
      </w:r>
      <w:bookmarkEnd w:id="67"/>
      <w:bookmarkEnd w:id="68"/>
    </w:p>
    <w:p>
      <w:pPr>
        <w:pStyle w:val="6"/>
        <w:bidi w:val="0"/>
        <w:rPr>
          <w:rFonts w:hint="eastAsia" w:ascii="仿宋" w:hAnsi="仿宋" w:eastAsia="仿宋" w:cs="仿宋"/>
          <w:b w:val="0"/>
          <w:bCs w:val="0"/>
        </w:rPr>
      </w:pPr>
      <w:bookmarkStart w:id="69" w:name="_Toc15396622"/>
      <w:bookmarkStart w:id="70" w:name="_Toc13098"/>
      <w:r>
        <w:rPr>
          <w:rFonts w:hint="eastAsia" w:ascii="仿宋" w:hAnsi="仿宋" w:eastAsia="仿宋" w:cs="仿宋"/>
          <w:b w:val="0"/>
          <w:bCs w:val="0"/>
        </w:rPr>
        <w:t>四、财政拨款收入支出决算总表</w:t>
      </w:r>
      <w:bookmarkEnd w:id="69"/>
      <w:bookmarkEnd w:id="70"/>
    </w:p>
    <w:p>
      <w:pPr>
        <w:pStyle w:val="6"/>
        <w:bidi w:val="0"/>
        <w:rPr>
          <w:rFonts w:hint="eastAsia" w:ascii="仿宋" w:hAnsi="仿宋" w:eastAsia="仿宋" w:cs="仿宋"/>
          <w:b w:val="0"/>
          <w:bCs w:val="0"/>
        </w:rPr>
      </w:pPr>
      <w:bookmarkStart w:id="71" w:name="_Toc15396623"/>
      <w:bookmarkStart w:id="72" w:name="_Toc18383"/>
      <w:r>
        <w:rPr>
          <w:rFonts w:hint="eastAsia" w:ascii="仿宋" w:hAnsi="仿宋" w:eastAsia="仿宋" w:cs="仿宋"/>
          <w:b w:val="0"/>
          <w:bCs w:val="0"/>
        </w:rPr>
        <w:t>五、财政拨款支出决算明细表</w:t>
      </w:r>
      <w:bookmarkEnd w:id="71"/>
      <w:bookmarkEnd w:id="72"/>
      <w:bookmarkStart w:id="73" w:name="_Toc15396624"/>
    </w:p>
    <w:p>
      <w:pPr>
        <w:pStyle w:val="6"/>
        <w:bidi w:val="0"/>
        <w:rPr>
          <w:rFonts w:hint="eastAsia" w:ascii="仿宋" w:hAnsi="仿宋" w:eastAsia="仿宋" w:cs="仿宋"/>
          <w:b w:val="0"/>
          <w:bCs w:val="0"/>
        </w:rPr>
      </w:pPr>
      <w:bookmarkStart w:id="74" w:name="_Toc21363"/>
      <w:r>
        <w:rPr>
          <w:rFonts w:hint="eastAsia" w:ascii="仿宋" w:hAnsi="仿宋" w:eastAsia="仿宋" w:cs="仿宋"/>
          <w:b w:val="0"/>
          <w:bCs w:val="0"/>
        </w:rPr>
        <w:t>六、一般公共预算财政拨款支出决算表</w:t>
      </w:r>
      <w:bookmarkEnd w:id="73"/>
      <w:bookmarkEnd w:id="74"/>
    </w:p>
    <w:p>
      <w:pPr>
        <w:pStyle w:val="6"/>
        <w:bidi w:val="0"/>
        <w:rPr>
          <w:rFonts w:hint="eastAsia" w:ascii="仿宋" w:hAnsi="仿宋" w:eastAsia="仿宋" w:cs="仿宋"/>
          <w:b w:val="0"/>
          <w:bCs w:val="0"/>
        </w:rPr>
      </w:pPr>
      <w:bookmarkStart w:id="75" w:name="_Toc15396625"/>
      <w:bookmarkStart w:id="76" w:name="_Toc32515"/>
      <w:r>
        <w:rPr>
          <w:rFonts w:hint="eastAsia" w:ascii="仿宋" w:hAnsi="仿宋" w:eastAsia="仿宋" w:cs="仿宋"/>
          <w:b w:val="0"/>
          <w:bCs w:val="0"/>
        </w:rPr>
        <w:t>七、一般公共预算财政拨款支出决算明细表</w:t>
      </w:r>
      <w:bookmarkEnd w:id="75"/>
      <w:bookmarkEnd w:id="76"/>
    </w:p>
    <w:p>
      <w:pPr>
        <w:pStyle w:val="6"/>
        <w:bidi w:val="0"/>
        <w:rPr>
          <w:rFonts w:hint="eastAsia" w:ascii="仿宋" w:hAnsi="仿宋" w:eastAsia="仿宋" w:cs="仿宋"/>
          <w:b w:val="0"/>
          <w:bCs w:val="0"/>
        </w:rPr>
      </w:pPr>
      <w:bookmarkStart w:id="77" w:name="_Toc20301"/>
      <w:bookmarkStart w:id="78" w:name="_Toc15396626"/>
      <w:r>
        <w:rPr>
          <w:rFonts w:hint="eastAsia" w:ascii="仿宋" w:hAnsi="仿宋" w:eastAsia="仿宋" w:cs="仿宋"/>
          <w:b w:val="0"/>
          <w:bCs w:val="0"/>
        </w:rPr>
        <w:t>八、一般公共预算财政拨款基本支出决算表</w:t>
      </w:r>
      <w:bookmarkEnd w:id="77"/>
      <w:bookmarkEnd w:id="78"/>
    </w:p>
    <w:p>
      <w:pPr>
        <w:pStyle w:val="6"/>
        <w:bidi w:val="0"/>
        <w:rPr>
          <w:rFonts w:hint="eastAsia" w:ascii="仿宋" w:hAnsi="仿宋" w:eastAsia="仿宋" w:cs="仿宋"/>
          <w:b w:val="0"/>
          <w:bCs w:val="0"/>
        </w:rPr>
      </w:pPr>
      <w:bookmarkStart w:id="79" w:name="_Toc15396627"/>
      <w:bookmarkStart w:id="80" w:name="_Toc27186"/>
      <w:r>
        <w:rPr>
          <w:rFonts w:hint="eastAsia" w:ascii="仿宋" w:hAnsi="仿宋" w:eastAsia="仿宋" w:cs="仿宋"/>
          <w:b w:val="0"/>
          <w:bCs w:val="0"/>
        </w:rPr>
        <w:t>九、一般公共预算财政拨款项目支出决算表</w:t>
      </w:r>
      <w:bookmarkEnd w:id="79"/>
      <w:bookmarkEnd w:id="80"/>
    </w:p>
    <w:p>
      <w:pPr>
        <w:pStyle w:val="6"/>
        <w:bidi w:val="0"/>
        <w:rPr>
          <w:rFonts w:hint="eastAsia" w:ascii="仿宋" w:hAnsi="仿宋" w:eastAsia="仿宋" w:cs="仿宋"/>
          <w:b w:val="0"/>
          <w:bCs w:val="0"/>
        </w:rPr>
      </w:pPr>
      <w:bookmarkStart w:id="81" w:name="_Toc15396628"/>
      <w:bookmarkStart w:id="82" w:name="_Toc10280"/>
      <w:r>
        <w:rPr>
          <w:rFonts w:hint="eastAsia" w:ascii="仿宋" w:hAnsi="仿宋" w:eastAsia="仿宋" w:cs="仿宋"/>
          <w:b w:val="0"/>
          <w:bCs w:val="0"/>
        </w:rPr>
        <w:t>十、</w:t>
      </w:r>
      <w:bookmarkEnd w:id="81"/>
      <w:r>
        <w:rPr>
          <w:rFonts w:hint="eastAsia" w:ascii="仿宋" w:hAnsi="仿宋" w:eastAsia="仿宋" w:cs="仿宋"/>
          <w:b w:val="0"/>
          <w:bCs w:val="0"/>
        </w:rPr>
        <w:t>政府性基金预算财政拨款收入支出决算表</w:t>
      </w:r>
      <w:bookmarkEnd w:id="82"/>
    </w:p>
    <w:p>
      <w:pPr>
        <w:pStyle w:val="6"/>
        <w:bidi w:val="0"/>
        <w:rPr>
          <w:rFonts w:hint="eastAsia" w:ascii="仿宋" w:hAnsi="仿宋" w:eastAsia="仿宋" w:cs="仿宋"/>
          <w:b w:val="0"/>
          <w:bCs w:val="0"/>
        </w:rPr>
      </w:pPr>
      <w:bookmarkStart w:id="83" w:name="_Toc15396629"/>
      <w:bookmarkStart w:id="84" w:name="_Toc27783"/>
      <w:r>
        <w:rPr>
          <w:rFonts w:hint="eastAsia" w:ascii="仿宋" w:hAnsi="仿宋" w:eastAsia="仿宋" w:cs="仿宋"/>
          <w:b w:val="0"/>
          <w:bCs w:val="0"/>
        </w:rPr>
        <w:t>十一、</w:t>
      </w:r>
      <w:bookmarkEnd w:id="83"/>
      <w:r>
        <w:rPr>
          <w:rFonts w:hint="eastAsia" w:ascii="仿宋" w:hAnsi="仿宋" w:eastAsia="仿宋" w:cs="仿宋"/>
          <w:b w:val="0"/>
          <w:bCs w:val="0"/>
        </w:rPr>
        <w:t>国有资本经营预算财政拨款收入支出决算表</w:t>
      </w:r>
      <w:bookmarkEnd w:id="84"/>
    </w:p>
    <w:p>
      <w:pPr>
        <w:pStyle w:val="6"/>
        <w:bidi w:val="0"/>
        <w:rPr>
          <w:rFonts w:hint="eastAsia" w:ascii="仿宋" w:hAnsi="仿宋" w:eastAsia="仿宋" w:cs="仿宋"/>
          <w:b w:val="0"/>
          <w:bCs w:val="0"/>
        </w:rPr>
      </w:pPr>
      <w:bookmarkStart w:id="85" w:name="_Toc15396630"/>
      <w:bookmarkStart w:id="86" w:name="_Toc26132"/>
      <w:r>
        <w:rPr>
          <w:rFonts w:hint="eastAsia" w:ascii="仿宋" w:hAnsi="仿宋" w:eastAsia="仿宋" w:cs="仿宋"/>
          <w:b w:val="0"/>
          <w:bCs w:val="0"/>
        </w:rPr>
        <w:t>十二、</w:t>
      </w:r>
      <w:bookmarkEnd w:id="85"/>
      <w:r>
        <w:rPr>
          <w:rFonts w:hint="eastAsia" w:ascii="仿宋" w:hAnsi="仿宋" w:eastAsia="仿宋" w:cs="仿宋"/>
          <w:b w:val="0"/>
          <w:bCs w:val="0"/>
        </w:rPr>
        <w:t>国有资本经营预算财政拨款支出决算表</w:t>
      </w:r>
      <w:bookmarkEnd w:id="86"/>
    </w:p>
    <w:p>
      <w:pPr>
        <w:pStyle w:val="6"/>
        <w:bidi w:val="0"/>
        <w:rPr>
          <w:rFonts w:hint="eastAsia" w:ascii="仿宋" w:hAnsi="仿宋" w:eastAsia="仿宋" w:cs="仿宋"/>
          <w:b w:val="0"/>
          <w:bCs w:val="0"/>
        </w:rPr>
      </w:pPr>
      <w:bookmarkStart w:id="87" w:name="_Toc15396631"/>
      <w:bookmarkStart w:id="88" w:name="_Toc8476"/>
      <w:r>
        <w:rPr>
          <w:rFonts w:hint="eastAsia" w:ascii="仿宋" w:hAnsi="仿宋" w:eastAsia="仿宋" w:cs="仿宋"/>
          <w:b w:val="0"/>
          <w:bCs w:val="0"/>
        </w:rPr>
        <w:t>十三、</w:t>
      </w:r>
      <w:bookmarkEnd w:id="87"/>
      <w:r>
        <w:rPr>
          <w:rFonts w:hint="eastAsia" w:ascii="仿宋" w:hAnsi="仿宋" w:eastAsia="仿宋" w:cs="仿宋"/>
          <w:b w:val="0"/>
          <w:bCs w:val="0"/>
        </w:rPr>
        <w:t>财政拨款“三公”经费支出决算表</w:t>
      </w:r>
      <w:bookmarkEnd w:id="88"/>
    </w:p>
    <w:p/>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E3888F-F415-4DCE-B597-56BEE118C53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B34B4D4-57E5-406C-8BD7-45EF018883A2}"/>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22D97D41-E42B-4D71-916B-FDAEDF5618BA}"/>
  </w:font>
  <w:font w:name="仿宋">
    <w:panose1 w:val="02010609060101010101"/>
    <w:charset w:val="86"/>
    <w:family w:val="modern"/>
    <w:pitch w:val="default"/>
    <w:sig w:usb0="800002BF" w:usb1="38CF7CFA" w:usb2="00000016" w:usb3="00000000" w:csb0="00040001" w:csb1="00000000"/>
    <w:embedRegular r:id="rId4" w:fontKey="{C6AA9DBD-5C14-454E-80CB-F3A4969244A2}"/>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5" w:fontKey="{6AFCB0D0-AB51-4E61-ACCB-2069FEA54B83}"/>
  </w:font>
  <w:font w:name="楷体_GB2312">
    <w:altName w:val="楷体"/>
    <w:panose1 w:val="00000000000000000000"/>
    <w:charset w:val="86"/>
    <w:family w:val="auto"/>
    <w:pitch w:val="default"/>
    <w:sig w:usb0="00000000" w:usb1="00000000" w:usb2="00000000" w:usb3="00000000" w:csb0="00040000" w:csb1="00000000"/>
    <w:embedRegular r:id="rId6" w:fontKey="{D0AA9C2F-2CA2-452F-9955-35DCDAAC758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1D41DD"/>
    <w:rsid w:val="25A718F0"/>
    <w:rsid w:val="25BB59F6"/>
    <w:rsid w:val="260F557C"/>
    <w:rsid w:val="26970054"/>
    <w:rsid w:val="281408E2"/>
    <w:rsid w:val="28FC4700"/>
    <w:rsid w:val="29FD04D3"/>
    <w:rsid w:val="2BFF7BC6"/>
    <w:rsid w:val="2C8A61B5"/>
    <w:rsid w:val="2DF04E50"/>
    <w:rsid w:val="2E586DFA"/>
    <w:rsid w:val="2F040D46"/>
    <w:rsid w:val="2F6B035B"/>
    <w:rsid w:val="2FAE5751"/>
    <w:rsid w:val="2FB1A395"/>
    <w:rsid w:val="2FD9A7D8"/>
    <w:rsid w:val="2FDBF714"/>
    <w:rsid w:val="303B3E53"/>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D513F6"/>
    <w:rsid w:val="3CEBA265"/>
    <w:rsid w:val="3D98207C"/>
    <w:rsid w:val="3DEE7CF3"/>
    <w:rsid w:val="3E740A63"/>
    <w:rsid w:val="3E78745D"/>
    <w:rsid w:val="3EE17838"/>
    <w:rsid w:val="3F55381A"/>
    <w:rsid w:val="3F7F7599"/>
    <w:rsid w:val="3FF4CAE0"/>
    <w:rsid w:val="3FF7B227"/>
    <w:rsid w:val="449A0FAE"/>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A07F3F"/>
    <w:rsid w:val="4FE9BD67"/>
    <w:rsid w:val="4FFB052F"/>
    <w:rsid w:val="51B36318"/>
    <w:rsid w:val="537E6D0A"/>
    <w:rsid w:val="53F74C96"/>
    <w:rsid w:val="55170BA8"/>
    <w:rsid w:val="553218C9"/>
    <w:rsid w:val="567E1AA5"/>
    <w:rsid w:val="56E47B74"/>
    <w:rsid w:val="57175D52"/>
    <w:rsid w:val="57BD3DD4"/>
    <w:rsid w:val="5ADE1FC9"/>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110B94"/>
    <w:rsid w:val="664B1D71"/>
    <w:rsid w:val="664B4E8E"/>
    <w:rsid w:val="67277B67"/>
    <w:rsid w:val="67AA3209"/>
    <w:rsid w:val="6975655B"/>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endParaRPr>
          </a:p>
          <a:p>
            <a:pPr algn="ctr" defTabSz="914400">
              <a:defRPr lang="zh-CN"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General</c:formatCode>
                <c:ptCount val="2"/>
                <c:pt idx="0">
                  <c:v>2828.71</c:v>
                </c:pt>
                <c:pt idx="1">
                  <c:v>2828.71</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#,##0.00</c:formatCode>
                <c:ptCount val="2"/>
                <c:pt idx="0">
                  <c:v>2588.5</c:v>
                </c:pt>
                <c:pt idx="1">
                  <c:v>2567.82</c:v>
                </c:pt>
              </c:numCache>
            </c:numRef>
          </c:val>
        </c:ser>
        <c:dLbls>
          <c:showLegendKey val="0"/>
          <c:showVal val="0"/>
          <c:showCatName val="0"/>
          <c:showSerName val="0"/>
          <c:showPercent val="0"/>
          <c:showBubbleSize val="0"/>
        </c:dLbls>
        <c:gapWidth val="219"/>
        <c:overlap val="-27"/>
        <c:axId val="284937758"/>
        <c:axId val="21498398"/>
      </c:barChart>
      <c:catAx>
        <c:axId val="28493775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498398"/>
        <c:crosses val="autoZero"/>
        <c:auto val="1"/>
        <c:lblAlgn val="ctr"/>
        <c:lblOffset val="100"/>
        <c:noMultiLvlLbl val="0"/>
      </c:catAx>
      <c:valAx>
        <c:axId val="2149839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4937758"/>
        <c:crosses val="autoZero"/>
        <c:crossBetween val="between"/>
      </c:valAx>
      <c:spPr>
        <a:noFill/>
        <a:ln>
          <a:noFill/>
        </a:ln>
        <a:effectLst/>
      </c:spPr>
    </c:plotArea>
    <c:legend>
      <c:legendPos val="r"/>
      <c:layout>
        <c:manualLayout>
          <c:xMode val="edge"/>
          <c:yMode val="edge"/>
          <c:x val="0.3875"/>
          <c:y val="0.9"/>
          <c:w val="0.222"/>
          <c:h val="0.0727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2,588.50, 100%</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0.0%" sourceLinked="0"/>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2588.5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85"/>
          <c:y val="0.748"/>
          <c:w val="0.90275"/>
          <c:h val="0.22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202416273006361"/>
                  <c:y val="-0.00520720182553668"/>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34991909385114"/>
                  <c:y val="-0.000928632116045454"/>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#,##0.00</c:formatCode>
                <c:ptCount val="2"/>
                <c:pt idx="0">
                  <c:v>2400.38</c:v>
                </c:pt>
                <c:pt idx="1" c:formatCode="General">
                  <c:v>167.44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475"/>
          <c:y val="0.84175"/>
          <c:w val="0.91"/>
          <c:h val="0.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General</c:formatCode>
                <c:ptCount val="3"/>
                <c:pt idx="0">
                  <c:v>2828.71</c:v>
                </c:pt>
                <c:pt idx="1" c:formatCode="#,##0.00">
                  <c:v>2588.5</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General</c:formatCode>
                <c:ptCount val="3"/>
                <c:pt idx="0">
                  <c:v>2828.71</c:v>
                </c:pt>
                <c:pt idx="1" c:formatCode="#,##0.00">
                  <c:v>2567.82</c:v>
                </c:pt>
              </c:numCache>
            </c:numRef>
          </c:val>
        </c:ser>
        <c:dLbls>
          <c:showLegendKey val="0"/>
          <c:showVal val="0"/>
          <c:showCatName val="0"/>
          <c:showSerName val="0"/>
          <c:showPercent val="0"/>
          <c:showBubbleSize val="0"/>
        </c:dLbls>
        <c:gapWidth val="219"/>
        <c:overlap val="-27"/>
        <c:axId val="891395332"/>
        <c:axId val="52894433"/>
      </c:barChart>
      <c:catAx>
        <c:axId val="89139533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894433"/>
        <c:crosses val="autoZero"/>
        <c:auto val="1"/>
        <c:lblAlgn val="ctr"/>
        <c:lblOffset val="100"/>
        <c:noMultiLvlLbl val="0"/>
      </c:catAx>
      <c:valAx>
        <c:axId val="52894433"/>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1395332"/>
        <c:crosses val="autoZero"/>
        <c:crossBetween val="between"/>
      </c:valAx>
      <c:spPr>
        <a:noFill/>
        <a:ln>
          <a:noFill/>
        </a:ln>
        <a:effectLst/>
      </c:spPr>
    </c:plotArea>
    <c:legend>
      <c:legendPos val="b"/>
      <c:layout>
        <c:manualLayout>
          <c:xMode val="edge"/>
          <c:yMode val="edge"/>
          <c:x val="0.4035"/>
          <c:y val="0.90075"/>
          <c:w val="0.1925"/>
          <c:h val="0.072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rgbClr val="C00000"/>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General</c:formatCode>
                <c:ptCount val="2"/>
                <c:pt idx="0">
                  <c:v>2828.71</c:v>
                </c:pt>
                <c:pt idx="1" c:formatCode="#,##0.00">
                  <c:v>2567.82</c:v>
                </c:pt>
              </c:numCache>
            </c:numRef>
          </c:val>
        </c:ser>
        <c:dLbls>
          <c:showLegendKey val="0"/>
          <c:showVal val="0"/>
          <c:showCatName val="0"/>
          <c:showSerName val="0"/>
          <c:showPercent val="0"/>
          <c:showBubbleSize val="0"/>
        </c:dLbls>
        <c:gapWidth val="219"/>
        <c:overlap val="-27"/>
        <c:axId val="439853886"/>
        <c:axId val="599045406"/>
      </c:barChart>
      <c:catAx>
        <c:axId val="43985388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599045406"/>
        <c:crosses val="autoZero"/>
        <c:auto val="1"/>
        <c:lblAlgn val="ctr"/>
        <c:lblOffset val="100"/>
        <c:noMultiLvlLbl val="0"/>
      </c:catAx>
      <c:valAx>
        <c:axId val="59904540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439853886"/>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3969849246231"/>
          <c:y val="0.0106398070648319"/>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073115182824624"/>
                  <c:y val="-0.020515274022705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12031923067344"/>
                  <c:y val="0.00357532508053256"/>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35373833608038"/>
                  <c:y val="0.043273051930369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153.62, 6%</a:t>
                    </a: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38164538383448"/>
                  <c:y val="-0.021902922402173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268.8</c:v>
                </c:pt>
                <c:pt idx="1">
                  <c:v>122.25</c:v>
                </c:pt>
                <c:pt idx="2">
                  <c:v>153.62</c:v>
                </c:pt>
                <c:pt idx="3" c:formatCode="#,##0.00">
                  <c:v>2023.15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9775"/>
          <c:y val="0.879"/>
          <c:w val="0.804"/>
          <c:h val="0.10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0210130553902449"/>
                  <c:y val="-0.1667412695126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76286917147176"/>
                  <c:y val="0.0252670273560244"/>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0, 0%</a:t>
                    </a:r>
                    <a:endParaRPr sz="9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'[决算图表(1)(1).et]Sheet1'!$B$128:$B$130</c:f>
              <c:numCache>
                <c:formatCode>General</c:formatCode>
                <c:ptCount val="3"/>
                <c:pt idx="0">
                  <c:v>18.5</c:v>
                </c:pt>
                <c:pt idx="1">
                  <c:v>0.17</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35"/>
          <c:y val="0.834"/>
          <c:w val="0.79275"/>
          <c:h val="0.1382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6143</Words>
  <Characters>6683</Characters>
  <Lines>60</Lines>
  <Paragraphs>17</Paragraphs>
  <TotalTime>3</TotalTime>
  <ScaleCrop>false</ScaleCrop>
  <LinksUpToDate>false</LinksUpToDate>
  <CharactersWithSpaces>6799</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2025-09-18T07:44:13Z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51CADFE0893746C9B796454B24CE29AB</vt:lpwstr>
  </property>
  <property fmtid="{D5CDD505-2E9C-101B-9397-08002B2CF9AE}" pid="4" name="KSOTemplateDocerSaveRecord">
    <vt:lpwstr>eyJoZGlkIjoiZjNlZDEwZjgzZTZmMmI5ZTE1ODYzMjM4YzgyM2UyYTEiLCJ1c2VySWQiOiI0MTc2NTcyMTMifQ==</vt:lpwstr>
  </property>
</Properties>
</file>