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before="93"/>
        <w:rPr>
          <w:rFonts w:ascii="Times New Roman" w:eastAsia="方正小标宋简体"/>
          <w:kern w:val="2"/>
          <w:sz w:val="72"/>
          <w:szCs w:val="72"/>
        </w:rPr>
      </w:pPr>
      <w:bookmarkStart w:id="0" w:name="_Toc15396475"/>
      <w:bookmarkStart w:id="1" w:name="_Toc15377425"/>
      <w:bookmarkStart w:id="2" w:name="_Toc15377193"/>
      <w:bookmarkStart w:id="3" w:name="_Toc15378441"/>
      <w:bookmarkStart w:id="4" w:name="_Toc15396597"/>
      <w:bookmarkStart w:id="5" w:name="_Toc15306267"/>
    </w:p>
    <w:p>
      <w:pPr>
        <w:pStyle w:val="8"/>
        <w:spacing w:before="93"/>
        <w:rPr>
          <w:rFonts w:ascii="Times New Roman" w:eastAsia="方正小标宋简体"/>
          <w:kern w:val="2"/>
          <w:sz w:val="72"/>
          <w:szCs w:val="72"/>
        </w:rPr>
      </w:pPr>
    </w:p>
    <w:p>
      <w:pPr>
        <w:pStyle w:val="8"/>
        <w:bidi w:val="0"/>
      </w:pPr>
    </w:p>
    <w:p>
      <w:pPr>
        <w:pStyle w:val="8"/>
        <w:spacing w:before="93"/>
        <w:jc w:val="center"/>
        <w:rPr>
          <w:rFonts w:hint="eastAsia" w:ascii="方正小标宋简体" w:hAnsi="宋体" w:eastAsia="方正小标宋简体"/>
          <w:kern w:val="2"/>
          <w:sz w:val="44"/>
          <w:szCs w:val="44"/>
        </w:rPr>
      </w:pPr>
      <w:r>
        <w:rPr>
          <w:rFonts w:hint="eastAsia" w:ascii="方正小标宋简体" w:hAnsi="宋体" w:eastAsia="方正小标宋简体"/>
          <w:kern w:val="2"/>
          <w:sz w:val="44"/>
          <w:szCs w:val="44"/>
        </w:rPr>
        <w:t>2024年度阿坝藏族羌族自治州公路管理局</w:t>
      </w:r>
    </w:p>
    <w:p>
      <w:pPr>
        <w:pStyle w:val="8"/>
        <w:spacing w:before="93"/>
        <w:jc w:val="center"/>
        <w:rPr>
          <w:rFonts w:hint="eastAsia"/>
          <w:lang w:val="en-US" w:eastAsia="zh-CN"/>
        </w:rPr>
      </w:pPr>
      <w:r>
        <w:rPr>
          <w:rFonts w:hint="eastAsia" w:ascii="方正小标宋简体" w:hAnsi="宋体" w:eastAsia="方正小标宋简体"/>
          <w:kern w:val="2"/>
          <w:sz w:val="44"/>
          <w:szCs w:val="44"/>
        </w:rPr>
        <w:t>红原公路管理分局</w:t>
      </w:r>
      <w:bookmarkStart w:id="91" w:name="_GoBack"/>
      <w:bookmarkEnd w:id="91"/>
      <w:r>
        <w:rPr>
          <w:rFonts w:hint="eastAsia" w:ascii="方正小标宋简体" w:hAnsi="宋体" w:eastAsia="方正小标宋简体"/>
          <w:kern w:val="2"/>
          <w:sz w:val="44"/>
          <w:szCs w:val="44"/>
        </w:rPr>
        <w:t>决算</w:t>
      </w:r>
      <w:r>
        <w:rPr>
          <w:rFonts w:hint="eastAsia" w:ascii="方正小标宋简体" w:hAnsi="宋体" w:eastAsia="方正小标宋简体"/>
          <w:kern w:val="2"/>
          <w:sz w:val="44"/>
          <w:szCs w:val="44"/>
          <w:lang w:val="en-US" w:eastAsia="zh-CN"/>
        </w:rPr>
        <w:t>公开</w:t>
      </w:r>
    </w:p>
    <w:p>
      <w:pPr>
        <w:pStyle w:val="19"/>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bookmarkEnd w:id="0"/>
    <w:bookmarkEnd w:id="1"/>
    <w:bookmarkEnd w:id="2"/>
    <w:bookmarkEnd w:id="3"/>
    <w:bookmarkEnd w:id="4"/>
    <w:bookmarkEnd w:id="5"/>
    <w:p>
      <w:pPr>
        <w:widowControl/>
        <w:jc w:val="center"/>
        <w:rPr>
          <w:rStyle w:val="28"/>
          <w:rFonts w:hint="eastAsia" w:ascii="黑体" w:hAnsi="黑体" w:eastAsia="黑体" w:cs="黑体"/>
          <w:b/>
          <w:bCs/>
          <w:sz w:val="48"/>
          <w:szCs w:val="48"/>
          <w:lang w:val="en-US" w:eastAsia="zh-CN" w:bidi="ar-SA"/>
        </w:rPr>
      </w:pPr>
      <w:r>
        <w:rPr>
          <w:rStyle w:val="28"/>
          <w:rFonts w:hint="eastAsia" w:ascii="黑体" w:hAnsi="黑体" w:eastAsia="黑体" w:cs="黑体"/>
          <w:b/>
          <w:bCs/>
          <w:sz w:val="48"/>
          <w:szCs w:val="48"/>
          <w:lang w:val="en-US" w:eastAsia="zh-CN" w:bidi="ar-SA"/>
        </w:rPr>
        <w:t>目录</w:t>
      </w:r>
    </w:p>
    <w:p>
      <w:pPr>
        <w:widowControl/>
        <w:jc w:val="center"/>
        <w:rPr>
          <w:rFonts w:eastAsia="黑体" w:cstheme="minorBidi"/>
          <w:sz w:val="28"/>
          <w:szCs w:val="28"/>
        </w:rPr>
      </w:pPr>
    </w:p>
    <w:p>
      <w:pPr>
        <w:pStyle w:val="13"/>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日</w:t>
      </w:r>
    </w:p>
    <w:p/>
    <w:sdt>
      <w:sdtPr>
        <w:rPr>
          <w:rFonts w:ascii="宋体" w:hAnsi="宋体" w:eastAsia="宋体" w:cs="Times New Roman"/>
          <w:kern w:val="2"/>
          <w:sz w:val="21"/>
          <w:szCs w:val="24"/>
          <w:lang w:val="en-US" w:eastAsia="zh-CN" w:bidi="ar-SA"/>
        </w:rPr>
        <w:id w:val="147467230"/>
        <w15:color w:val="DBDBDB"/>
        <w:docPartObj>
          <w:docPartGallery w:val="Table of Contents"/>
          <w:docPartUnique/>
        </w:docPartObj>
      </w:sdtPr>
      <w:sdtEndPr>
        <w:rPr>
          <w:rFonts w:ascii="Times New Roman" w:hAnsi="Times New Roman" w:eastAsia="仿宋_GB2312" w:cs="仿宋_GB2312"/>
          <w:bCs/>
          <w:kern w:val="2"/>
          <w:sz w:val="21"/>
          <w:szCs w:val="32"/>
          <w:lang w:val="en-US" w:eastAsia="zh-CN" w:bidi="ar-SA"/>
        </w:rPr>
      </w:sdtEndPr>
      <w:sdtContent>
        <w:p>
          <w:pPr>
            <w:spacing w:before="0" w:beforeLines="0" w:after="0" w:afterLines="0" w:line="240" w:lineRule="auto"/>
            <w:ind w:left="0" w:leftChars="0" w:right="0" w:rightChars="0" w:firstLine="0" w:firstLineChars="0"/>
            <w:jc w:val="center"/>
          </w:pPr>
        </w:p>
        <w:p>
          <w:pPr>
            <w:pStyle w:val="13"/>
            <w:tabs>
              <w:tab w:val="right" w:leader="dot" w:pos="8306"/>
              <w:tab w:val="clear" w:pos="8296"/>
            </w:tabs>
          </w:pPr>
          <w:r>
            <w:rPr>
              <w:rFonts w:eastAsia="仿宋_GB2312" w:cs="仿宋_GB2312"/>
              <w:b/>
              <w:bCs/>
              <w:sz w:val="32"/>
              <w:szCs w:val="32"/>
            </w:rPr>
            <w:fldChar w:fldCharType="begin"/>
          </w:r>
          <w:r>
            <w:rPr>
              <w:rFonts w:eastAsia="仿宋_GB2312" w:cs="仿宋_GB2312"/>
              <w:b/>
              <w:bCs/>
              <w:sz w:val="32"/>
              <w:szCs w:val="32"/>
            </w:rPr>
            <w:instrText xml:space="preserve">TOC \o "1-2" \h \u </w:instrText>
          </w:r>
          <w:r>
            <w:rPr>
              <w:rFonts w:eastAsia="仿宋_GB2312" w:cs="仿宋_GB2312"/>
              <w:b/>
              <w:bCs/>
              <w:sz w:val="32"/>
              <w:szCs w:val="32"/>
            </w:rPr>
            <w:fldChar w:fldCharType="separate"/>
          </w:r>
          <w:r>
            <w:rPr>
              <w:rFonts w:eastAsia="仿宋_GB2312" w:cs="仿宋_GB2312"/>
              <w:bCs/>
              <w:szCs w:val="32"/>
            </w:rPr>
            <w:fldChar w:fldCharType="begin"/>
          </w:r>
          <w:r>
            <w:rPr>
              <w:rFonts w:eastAsia="仿宋_GB2312" w:cs="仿宋_GB2312"/>
              <w:bCs/>
              <w:szCs w:val="32"/>
            </w:rPr>
            <w:instrText xml:space="preserve"> HYPERLINK \l _Toc19849 </w:instrText>
          </w:r>
          <w:r>
            <w:rPr>
              <w:rFonts w:eastAsia="仿宋_GB2312" w:cs="仿宋_GB2312"/>
              <w:bCs/>
              <w:szCs w:val="32"/>
            </w:rPr>
            <w:fldChar w:fldCharType="separate"/>
          </w:r>
          <w:r>
            <w:rPr>
              <w:rFonts w:hint="eastAsia" w:ascii="方正小标宋简体" w:hAnsi="方正小标宋简体" w:eastAsia="方正小标宋简体" w:cs="方正小标宋简体"/>
            </w:rPr>
            <w:t xml:space="preserve">第一部分  </w:t>
          </w:r>
          <w:r>
            <w:rPr>
              <w:rFonts w:hint="eastAsia" w:ascii="方正小标宋简体" w:hAnsi="方正小标宋简体" w:eastAsia="方正小标宋简体" w:cs="方正小标宋简体"/>
              <w:bCs w:val="0"/>
              <w:lang w:val="en-US" w:eastAsia="zh-CN"/>
            </w:rPr>
            <w:t>单位</w:t>
          </w:r>
          <w:r>
            <w:rPr>
              <w:rFonts w:hint="eastAsia" w:ascii="方正小标宋简体" w:hAnsi="方正小标宋简体" w:eastAsia="方正小标宋简体" w:cs="方正小标宋简体"/>
              <w:bCs w:val="0"/>
            </w:rPr>
            <w:t>概况</w:t>
          </w:r>
          <w:r>
            <w:tab/>
          </w:r>
          <w:r>
            <w:fldChar w:fldCharType="begin"/>
          </w:r>
          <w:r>
            <w:instrText xml:space="preserve"> PAGEREF _Toc19849 \h </w:instrText>
          </w:r>
          <w:r>
            <w:fldChar w:fldCharType="separate"/>
          </w:r>
          <w:r>
            <w:t>3</w:t>
          </w:r>
          <w:r>
            <w:fldChar w:fldCharType="end"/>
          </w:r>
          <w:r>
            <w:rPr>
              <w:rFonts w:eastAsia="仿宋_GB2312" w:cs="仿宋_GB2312"/>
              <w:bCs/>
              <w:szCs w:val="32"/>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_Toc12882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lang w:val="en-US" w:eastAsia="zh-CN"/>
            </w:rPr>
            <w:t>一、主要</w:t>
          </w:r>
          <w:r>
            <w:rPr>
              <w:rFonts w:hint="eastAsia" w:ascii="仿宋_GB2312" w:hAnsi="仿宋_GB2312" w:eastAsia="仿宋_GB2312" w:cs="仿宋_GB2312"/>
              <w:sz w:val="28"/>
              <w:szCs w:val="28"/>
            </w:rPr>
            <w:t>职责</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_Toc12882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_Toc14329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二、机</w:t>
          </w:r>
          <w:r>
            <w:rPr>
              <w:rFonts w:hint="eastAsia" w:ascii="仿宋_GB2312" w:hAnsi="仿宋_GB2312" w:eastAsia="仿宋_GB2312" w:cs="仿宋_GB2312"/>
              <w:bCs w:val="0"/>
              <w:sz w:val="28"/>
              <w:szCs w:val="28"/>
            </w:rPr>
            <w:t>构设置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_Toc14329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3"/>
            <w:tabs>
              <w:tab w:val="right" w:leader="dot" w:pos="8306"/>
              <w:tab w:val="clear" w:pos="8296"/>
            </w:tabs>
          </w:pPr>
          <w:r>
            <w:rPr>
              <w:rFonts w:eastAsia="仿宋_GB2312" w:cs="仿宋_GB2312"/>
              <w:bCs/>
              <w:szCs w:val="32"/>
            </w:rPr>
            <w:fldChar w:fldCharType="begin"/>
          </w:r>
          <w:r>
            <w:rPr>
              <w:rFonts w:eastAsia="仿宋_GB2312" w:cs="仿宋_GB2312"/>
              <w:bCs/>
              <w:szCs w:val="32"/>
            </w:rPr>
            <w:instrText xml:space="preserve"> HYPERLINK \l _Toc12908 </w:instrText>
          </w:r>
          <w:r>
            <w:rPr>
              <w:rFonts w:eastAsia="仿宋_GB2312" w:cs="仿宋_GB2312"/>
              <w:bCs/>
              <w:szCs w:val="32"/>
            </w:rPr>
            <w:fldChar w:fldCharType="separate"/>
          </w:r>
          <w:r>
            <w:rPr>
              <w:rFonts w:hint="eastAsia" w:ascii="方正小标宋简体" w:hAnsi="方正小标宋简体" w:eastAsia="方正小标宋简体" w:cs="方正小标宋简体"/>
              <w:szCs w:val="44"/>
            </w:rPr>
            <w:t xml:space="preserve">第二部分  </w:t>
          </w:r>
          <w:r>
            <w:rPr>
              <w:rFonts w:hint="eastAsia" w:ascii="方正小标宋简体" w:hAnsi="方正小标宋简体" w:eastAsia="方正小标宋简体" w:cs="方正小标宋简体"/>
              <w:szCs w:val="44"/>
              <w:lang w:val="en-US" w:eastAsia="zh-CN"/>
            </w:rPr>
            <w:t>2024</w:t>
          </w:r>
          <w:r>
            <w:rPr>
              <w:rFonts w:hint="eastAsia" w:ascii="方正小标宋简体" w:hAnsi="方正小标宋简体" w:eastAsia="方正小标宋简体" w:cs="方正小标宋简体"/>
              <w:szCs w:val="44"/>
            </w:rPr>
            <w:t>年度</w:t>
          </w:r>
          <w:r>
            <w:rPr>
              <w:rFonts w:hint="eastAsia" w:ascii="方正小标宋简体" w:hAnsi="方正小标宋简体" w:eastAsia="方正小标宋简体" w:cs="方正小标宋简体"/>
              <w:szCs w:val="44"/>
              <w:lang w:val="en-US" w:eastAsia="zh-CN"/>
            </w:rPr>
            <w:t>单位</w:t>
          </w:r>
          <w:r>
            <w:rPr>
              <w:rFonts w:hint="eastAsia" w:ascii="方正小标宋简体" w:hAnsi="方正小标宋简体" w:eastAsia="方正小标宋简体" w:cs="方正小标宋简体"/>
              <w:szCs w:val="44"/>
            </w:rPr>
            <w:t>决算情况说明</w:t>
          </w:r>
          <w:r>
            <w:tab/>
          </w:r>
          <w:r>
            <w:fldChar w:fldCharType="begin"/>
          </w:r>
          <w:r>
            <w:instrText xml:space="preserve"> PAGEREF _Toc12908 \h </w:instrText>
          </w:r>
          <w:r>
            <w:fldChar w:fldCharType="separate"/>
          </w:r>
          <w:r>
            <w:t>5</w:t>
          </w:r>
          <w:r>
            <w:fldChar w:fldCharType="end"/>
          </w:r>
          <w:r>
            <w:rPr>
              <w:rFonts w:eastAsia="仿宋_GB2312" w:cs="仿宋_GB2312"/>
              <w:bCs/>
              <w:szCs w:val="32"/>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_Toc27278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一、收入支出决算总体情况说明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_Toc27278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_Toc11940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二、收入决算情况说明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_Toc11940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_Toc13342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三、支出决算情况说明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_Toc13342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_Toc10478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四、财政拨款收入支出决算总体情况说明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_Toc10478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_Toc2936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五、一般公共预算财政拨款支出决算情况说明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_Toc2936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_Toc28377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六、一般公共预算财政拨款基本支出决算情况说明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_Toc28377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_Toc31207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七、财政拨款“三公”经费支出决算情况说明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_Toc31207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_Toc30364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八、政府性基金预算支出决算情况说明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_Toc30364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_Toc11922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九、国有资本经营预算支出决算情况说明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_Toc11922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_Toc9568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sz w:val="28"/>
              <w:szCs w:val="28"/>
            </w:rPr>
            <w:t>十、其他重要事项的情况说明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_Toc9568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3"/>
            <w:tabs>
              <w:tab w:val="right" w:leader="dot" w:pos="8306"/>
              <w:tab w:val="clear" w:pos="8296"/>
            </w:tabs>
          </w:pPr>
          <w:r>
            <w:rPr>
              <w:rFonts w:eastAsia="仿宋_GB2312" w:cs="仿宋_GB2312"/>
              <w:bCs/>
              <w:szCs w:val="32"/>
            </w:rPr>
            <w:fldChar w:fldCharType="begin"/>
          </w:r>
          <w:r>
            <w:rPr>
              <w:rFonts w:eastAsia="仿宋_GB2312" w:cs="仿宋_GB2312"/>
              <w:bCs/>
              <w:szCs w:val="32"/>
            </w:rPr>
            <w:instrText xml:space="preserve"> HYPERLINK \l _Toc10776 </w:instrText>
          </w:r>
          <w:r>
            <w:rPr>
              <w:rFonts w:eastAsia="仿宋_GB2312" w:cs="仿宋_GB2312"/>
              <w:bCs/>
              <w:szCs w:val="32"/>
            </w:rPr>
            <w:fldChar w:fldCharType="separate"/>
          </w:r>
          <w:r>
            <w:rPr>
              <w:rFonts w:hint="eastAsia" w:ascii="方正小标宋简体" w:hAnsi="方正小标宋简体" w:eastAsia="方正小标宋简体" w:cs="方正小标宋简体"/>
              <w:szCs w:val="44"/>
            </w:rPr>
            <w:t>第三部分  名词解释</w:t>
          </w:r>
          <w:r>
            <w:tab/>
          </w:r>
          <w:r>
            <w:fldChar w:fldCharType="begin"/>
          </w:r>
          <w:r>
            <w:instrText xml:space="preserve"> PAGEREF _Toc10776 \h </w:instrText>
          </w:r>
          <w:r>
            <w:fldChar w:fldCharType="separate"/>
          </w:r>
          <w:r>
            <w:t>14</w:t>
          </w:r>
          <w:r>
            <w:fldChar w:fldCharType="end"/>
          </w:r>
          <w:r>
            <w:rPr>
              <w:rFonts w:eastAsia="仿宋_GB2312" w:cs="仿宋_GB2312"/>
              <w:bCs/>
              <w:szCs w:val="32"/>
            </w:rPr>
            <w:fldChar w:fldCharType="end"/>
          </w:r>
        </w:p>
        <w:p>
          <w:pPr>
            <w:pStyle w:val="13"/>
            <w:tabs>
              <w:tab w:val="right" w:leader="dot" w:pos="8306"/>
              <w:tab w:val="clear" w:pos="8296"/>
            </w:tabs>
          </w:pPr>
          <w:r>
            <w:rPr>
              <w:rFonts w:eastAsia="仿宋_GB2312" w:cs="仿宋_GB2312"/>
              <w:bCs/>
              <w:szCs w:val="32"/>
            </w:rPr>
            <w:fldChar w:fldCharType="begin"/>
          </w:r>
          <w:r>
            <w:rPr>
              <w:rFonts w:eastAsia="仿宋_GB2312" w:cs="仿宋_GB2312"/>
              <w:bCs/>
              <w:szCs w:val="32"/>
            </w:rPr>
            <w:instrText xml:space="preserve"> HYPERLINK \l _Toc20731 </w:instrText>
          </w:r>
          <w:r>
            <w:rPr>
              <w:rFonts w:eastAsia="仿宋_GB2312" w:cs="仿宋_GB2312"/>
              <w:bCs/>
              <w:szCs w:val="32"/>
            </w:rPr>
            <w:fldChar w:fldCharType="separate"/>
          </w:r>
          <w:r>
            <w:rPr>
              <w:rFonts w:hint="eastAsia" w:ascii="方正小标宋简体" w:hAnsi="方正小标宋简体" w:eastAsia="方正小标宋简体" w:cs="方正小标宋简体"/>
              <w:szCs w:val="44"/>
            </w:rPr>
            <w:t>第四部分  附件</w:t>
          </w:r>
          <w:r>
            <w:tab/>
          </w:r>
          <w:r>
            <w:fldChar w:fldCharType="begin"/>
          </w:r>
          <w:r>
            <w:instrText xml:space="preserve"> PAGEREF _Toc20731 \h </w:instrText>
          </w:r>
          <w:r>
            <w:fldChar w:fldCharType="separate"/>
          </w:r>
          <w:r>
            <w:t>16</w:t>
          </w:r>
          <w:r>
            <w:fldChar w:fldCharType="end"/>
          </w:r>
          <w:r>
            <w:rPr>
              <w:rFonts w:eastAsia="仿宋_GB2312" w:cs="仿宋_GB2312"/>
              <w:bCs/>
              <w:szCs w:val="32"/>
            </w:rPr>
            <w:fldChar w:fldCharType="end"/>
          </w:r>
        </w:p>
        <w:p>
          <w:pPr>
            <w:pStyle w:val="13"/>
            <w:tabs>
              <w:tab w:val="right" w:leader="dot" w:pos="8306"/>
              <w:tab w:val="clear" w:pos="8296"/>
            </w:tabs>
          </w:pPr>
          <w:r>
            <w:rPr>
              <w:rFonts w:eastAsia="仿宋_GB2312" w:cs="仿宋_GB2312"/>
              <w:bCs/>
              <w:szCs w:val="32"/>
            </w:rPr>
            <w:fldChar w:fldCharType="begin"/>
          </w:r>
          <w:r>
            <w:rPr>
              <w:rFonts w:eastAsia="仿宋_GB2312" w:cs="仿宋_GB2312"/>
              <w:bCs/>
              <w:szCs w:val="32"/>
            </w:rPr>
            <w:instrText xml:space="preserve"> HYPERLINK \l _Toc11229 </w:instrText>
          </w:r>
          <w:r>
            <w:rPr>
              <w:rFonts w:eastAsia="仿宋_GB2312" w:cs="仿宋_GB2312"/>
              <w:bCs/>
              <w:szCs w:val="32"/>
            </w:rPr>
            <w:fldChar w:fldCharType="separate"/>
          </w:r>
          <w:r>
            <w:rPr>
              <w:rFonts w:hint="eastAsia" w:ascii="方正小标宋简体" w:hAnsi="方正小标宋简体" w:eastAsia="方正小标宋简体" w:cs="方正小标宋简体"/>
              <w:szCs w:val="44"/>
            </w:rPr>
            <w:t>第五部分 附表</w:t>
          </w:r>
          <w:r>
            <w:tab/>
          </w:r>
          <w:r>
            <w:fldChar w:fldCharType="begin"/>
          </w:r>
          <w:r>
            <w:instrText xml:space="preserve"> PAGEREF _Toc11229 \h </w:instrText>
          </w:r>
          <w:r>
            <w:fldChar w:fldCharType="separate"/>
          </w:r>
          <w:r>
            <w:t>20</w:t>
          </w:r>
          <w:r>
            <w:fldChar w:fldCharType="end"/>
          </w:r>
          <w:r>
            <w:rPr>
              <w:rFonts w:eastAsia="仿宋_GB2312" w:cs="仿宋_GB2312"/>
              <w:bCs/>
              <w:szCs w:val="32"/>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_Toc8324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一、收入支出决算总表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_Toc8324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_Toc5853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二、收入决算表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_Toc5853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_Toc19032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三、支出决算表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_Toc19032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_Toc29188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四、财政拨款收入支出决算总表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_Toc29188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_Toc25491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五、财政拨款支出决算明细表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_Toc25491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_Toc2141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六、一般公共预算财政拨款支出决算表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_Toc2141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_Toc21514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七、一般公共预算财政拨款支出决算明细表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_Toc21514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_Toc3986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八、一般公共预算财政拨款基本支出决算表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_Toc3986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_Toc23360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九、一般公共预算财政拨款项目支出决算表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_Toc23360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_Toc12179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十、政府性基金预算财政拨款收入支出决算表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_Toc12179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_Toc13815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十一、国有资本经营预算财政拨款收入支出决算表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_Toc13815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_Toc23651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十二、国有资本经营预算财政拨款支出决算表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_Toc23651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tabs>
              <w:tab w:val="right" w:leader="dot" w:pos="8306"/>
              <w:tab w:val="clear" w:pos="8296"/>
            </w:tabs>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_Toc12614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val="0"/>
              <w:sz w:val="28"/>
              <w:szCs w:val="28"/>
            </w:rPr>
            <w:t>十三、财政拨款“三公”经费支出决算表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_Toc12614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bCs/>
              <w:sz w:val="28"/>
              <w:szCs w:val="28"/>
            </w:rPr>
            <w:fldChar w:fldCharType="end"/>
          </w:r>
        </w:p>
        <w:p>
          <w:pPr>
            <w:pStyle w:val="14"/>
            <w:adjustRightInd w:val="0"/>
            <w:snapToGrid w:val="0"/>
            <w:spacing w:line="560" w:lineRule="exact"/>
            <w:ind w:left="0" w:leftChars="0" w:firstLine="420" w:firstLineChars="200"/>
            <w:jc w:val="left"/>
            <w:rPr>
              <w:rFonts w:ascii="Times New Roman" w:hAnsi="Times New Roman" w:eastAsia="仿宋_GB2312" w:cs="仿宋_GB2312"/>
              <w:bCs/>
              <w:kern w:val="2"/>
              <w:sz w:val="21"/>
              <w:szCs w:val="32"/>
              <w:lang w:val="en-US" w:eastAsia="zh-CN" w:bidi="ar-SA"/>
            </w:rPr>
          </w:pPr>
          <w:r>
            <w:rPr>
              <w:rFonts w:eastAsia="仿宋_GB2312" w:cs="仿宋_GB2312"/>
              <w:bCs/>
              <w:szCs w:val="32"/>
            </w:rPr>
            <w:fldChar w:fldCharType="end"/>
          </w:r>
        </w:p>
      </w:sdtContent>
    </w:sdt>
    <w:p/>
    <w:p>
      <w:pPr>
        <w:widowControl/>
        <w:spacing w:line="560" w:lineRule="exact"/>
        <w:jc w:val="left"/>
        <w:rPr>
          <w:rFonts w:eastAsia="仿宋_GB2312" w:cs="仿宋_GB2312"/>
          <w:bCs/>
          <w:kern w:val="44"/>
          <w:sz w:val="32"/>
          <w:szCs w:val="32"/>
        </w:rPr>
      </w:pPr>
      <w:bookmarkStart w:id="6" w:name="_Toc15396599"/>
      <w:bookmarkStart w:id="7" w:name="_Toc15377196"/>
      <w:r>
        <w:rPr>
          <w:rFonts w:hint="eastAsia" w:eastAsia="仿宋_GB2312" w:cs="仿宋_GB2312"/>
          <w:b/>
          <w:sz w:val="32"/>
          <w:szCs w:val="32"/>
        </w:rPr>
        <w:br w:type="page"/>
      </w:r>
    </w:p>
    <w:p>
      <w:pPr>
        <w:pStyle w:val="5"/>
        <w:jc w:val="center"/>
        <w:rPr>
          <w:rStyle w:val="28"/>
          <w:rFonts w:hint="eastAsia" w:ascii="方正小标宋简体" w:hAnsi="方正小标宋简体" w:eastAsia="方正小标宋简体" w:cs="方正小标宋简体"/>
          <w:b/>
          <w:bCs w:val="0"/>
        </w:rPr>
      </w:pPr>
      <w:bookmarkStart w:id="8" w:name="_Toc19849"/>
      <w:r>
        <w:rPr>
          <w:rFonts w:hint="eastAsia" w:ascii="方正小标宋简体" w:hAnsi="方正小标宋简体" w:eastAsia="方正小标宋简体" w:cs="方正小标宋简体"/>
          <w:b w:val="0"/>
        </w:rPr>
        <w:t xml:space="preserve">第一部分  </w:t>
      </w:r>
      <w:r>
        <w:rPr>
          <w:rStyle w:val="28"/>
          <w:rFonts w:hint="eastAsia" w:ascii="方正小标宋简体" w:hAnsi="方正小标宋简体" w:eastAsia="方正小标宋简体" w:cs="方正小标宋简体"/>
          <w:b w:val="0"/>
          <w:bCs w:val="0"/>
          <w:lang w:val="en-US" w:eastAsia="zh-CN"/>
        </w:rPr>
        <w:t>单位</w:t>
      </w:r>
      <w:r>
        <w:rPr>
          <w:rStyle w:val="28"/>
          <w:rFonts w:hint="eastAsia" w:ascii="方正小标宋简体" w:hAnsi="方正小标宋简体" w:eastAsia="方正小标宋简体" w:cs="方正小标宋简体"/>
          <w:b w:val="0"/>
          <w:bCs w:val="0"/>
        </w:rPr>
        <w:t>概况</w:t>
      </w:r>
      <w:bookmarkEnd w:id="6"/>
      <w:bookmarkEnd w:id="7"/>
      <w:bookmarkEnd w:id="8"/>
    </w:p>
    <w:p>
      <w:pPr>
        <w:widowControl/>
        <w:jc w:val="left"/>
        <w:rPr>
          <w:rFonts w:eastAsia="黑体"/>
          <w:sz w:val="32"/>
          <w:szCs w:val="32"/>
        </w:rPr>
      </w:pPr>
    </w:p>
    <w:p>
      <w:pPr>
        <w:pStyle w:val="6"/>
        <w:rPr>
          <w:rFonts w:hint="eastAsia" w:ascii="Times New Roman" w:hAnsi="Times New Roman" w:eastAsia="黑体"/>
          <w:b w:val="0"/>
        </w:rPr>
      </w:pPr>
      <w:bookmarkStart w:id="9" w:name="_Toc12882"/>
      <w:r>
        <w:rPr>
          <w:rFonts w:hint="eastAsia" w:ascii="Times New Roman" w:hAnsi="Times New Roman" w:eastAsia="黑体"/>
          <w:b w:val="0"/>
          <w:lang w:val="en-US" w:eastAsia="zh-CN"/>
        </w:rPr>
        <w:t>一、主要</w:t>
      </w:r>
      <w:r>
        <w:rPr>
          <w:rFonts w:hint="eastAsia" w:ascii="Times New Roman" w:hAnsi="Times New Roman" w:eastAsia="黑体"/>
          <w:b w:val="0"/>
        </w:rPr>
        <w:t>职责</w:t>
      </w:r>
      <w:bookmarkEnd w:id="9"/>
    </w:p>
    <w:p>
      <w:pPr>
        <w:pStyle w:val="8"/>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常养护工作：分局以路面养护为重点，突出全面养护目标，结合现代化养护体系建设思路，加大机械使用效率，科学合理利用好现有机械，部署各项公路养护工作，着力提升路况质量、改善路容路貌，精准施策整治安全行车隐患，全力营造“畅、安、舒、美”公路通行环境。</w:t>
      </w:r>
    </w:p>
    <w:p>
      <w:pPr>
        <w:pStyle w:val="8"/>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信息化工作：为扎实推进公路养护信息化建设，工程股技术人员组织养护站和相关股室人员进行信息化系统集中培训及下站培训学习，使各养护站职工能够熟练掌握阿坝州公路养护巡查系统、灾毁采集系统、蜀路通、四川省公路养护分析平台等系统操作，提高巡查系统使用率。实现了养护管理信息化，有效提升了工作效率。</w:t>
      </w:r>
    </w:p>
    <w:p>
      <w:pPr>
        <w:pStyle w:val="8"/>
        <w:adjustRightInd w:val="0"/>
        <w:snapToGrid w:val="0"/>
        <w:spacing w:before="93"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绿化美化工作：因地制宜实施路肩培土、种花植草、打造文化挡墙等。极大地提升了路容路貌，进一步改善了公路路域环境水平。</w:t>
      </w:r>
    </w:p>
    <w:p>
      <w:pPr>
        <w:pStyle w:val="6"/>
        <w:rPr>
          <w:rStyle w:val="29"/>
          <w:rFonts w:ascii="Times New Roman" w:hAnsi="Times New Roman"/>
          <w:b w:val="0"/>
          <w:bCs w:val="0"/>
        </w:rPr>
      </w:pPr>
      <w:bookmarkStart w:id="10" w:name="_Toc15377200"/>
      <w:bookmarkStart w:id="11" w:name="_Toc15396601"/>
      <w:bookmarkStart w:id="12" w:name="_Toc14329"/>
      <w:r>
        <w:rPr>
          <w:rFonts w:hint="eastAsia" w:ascii="Times New Roman" w:hAnsi="Times New Roman" w:eastAsia="黑体"/>
          <w:b w:val="0"/>
        </w:rPr>
        <w:t>二、机</w:t>
      </w:r>
      <w:r>
        <w:rPr>
          <w:rStyle w:val="29"/>
          <w:rFonts w:hint="eastAsia" w:ascii="Times New Roman" w:hAnsi="Times New Roman" w:eastAsia="黑体"/>
          <w:b w:val="0"/>
          <w:bCs w:val="0"/>
        </w:rPr>
        <w:t>构设置</w:t>
      </w:r>
      <w:bookmarkEnd w:id="10"/>
      <w:bookmarkEnd w:id="11"/>
      <w:bookmarkEnd w:id="12"/>
    </w:p>
    <w:p>
      <w:pPr>
        <w:pStyle w:val="8"/>
        <w:adjustRightInd w:val="0"/>
        <w:snapToGrid w:val="0"/>
        <w:spacing w:before="93" w:line="600" w:lineRule="exact"/>
        <w:ind w:firstLine="640" w:firstLineChars="200"/>
        <w:rPr>
          <w:rFonts w:ascii="Times New Roman" w:cs="仿宋_GB2312"/>
          <w:sz w:val="32"/>
          <w:szCs w:val="32"/>
        </w:rPr>
      </w:pPr>
      <w:r>
        <w:rPr>
          <w:rFonts w:hint="eastAsia" w:ascii="仿宋_GB2312" w:hAnsi="仿宋_GB2312" w:eastAsia="仿宋_GB2312" w:cs="仿宋_GB2312"/>
          <w:sz w:val="32"/>
          <w:szCs w:val="32"/>
        </w:rPr>
        <w:t>分局下设两室五股（党支部工会办公室、行政办公室、人事股、安全股、工程股、财务股、机料股），1个红原公路养护和应急保通中心、2个养护管理站（瓦切养护管理站、麦洼养护管理站）。</w:t>
      </w:r>
    </w:p>
    <w:p>
      <w:pPr>
        <w:widowControl/>
        <w:jc w:val="left"/>
        <w:rPr>
          <w:rFonts w:eastAsia="仿宋"/>
          <w:kern w:val="0"/>
          <w:sz w:val="32"/>
          <w:szCs w:val="32"/>
        </w:rPr>
      </w:pPr>
      <w:r>
        <w:rPr>
          <w:rFonts w:eastAsia="仿宋"/>
          <w:sz w:val="32"/>
          <w:szCs w:val="32"/>
        </w:rPr>
        <w:br w:type="page"/>
      </w:r>
    </w:p>
    <w:p>
      <w:pPr>
        <w:pStyle w:val="5"/>
        <w:jc w:val="center"/>
        <w:rPr>
          <w:rFonts w:hint="eastAsia" w:ascii="方正小标宋简体" w:hAnsi="方正小标宋简体" w:eastAsia="方正小标宋简体" w:cs="方正小标宋简体"/>
          <w:b w:val="0"/>
          <w:sz w:val="44"/>
          <w:szCs w:val="44"/>
        </w:rPr>
      </w:pPr>
      <w:bookmarkStart w:id="13" w:name="_Toc15377204"/>
      <w:bookmarkStart w:id="14" w:name="_Toc15396602"/>
      <w:bookmarkStart w:id="15" w:name="_Toc12908"/>
      <w:r>
        <w:rPr>
          <w:rFonts w:hint="eastAsia" w:ascii="方正小标宋简体" w:hAnsi="方正小标宋简体" w:eastAsia="方正小标宋简体" w:cs="方正小标宋简体"/>
          <w:b w:val="0"/>
          <w:sz w:val="44"/>
          <w:szCs w:val="44"/>
        </w:rPr>
        <w:t xml:space="preserve">第二部分  </w:t>
      </w:r>
      <w:r>
        <w:rPr>
          <w:rFonts w:hint="eastAsia" w:ascii="方正小标宋简体" w:hAnsi="方正小标宋简体" w:eastAsia="方正小标宋简体" w:cs="方正小标宋简体"/>
          <w:b w:val="0"/>
          <w:sz w:val="44"/>
          <w:szCs w:val="44"/>
          <w:lang w:val="en-US" w:eastAsia="zh-CN"/>
        </w:rPr>
        <w:t>2024</w:t>
      </w:r>
      <w:r>
        <w:rPr>
          <w:rFonts w:hint="eastAsia" w:ascii="方正小标宋简体" w:hAnsi="方正小标宋简体" w:eastAsia="方正小标宋简体" w:cs="方正小标宋简体"/>
          <w:b w:val="0"/>
          <w:sz w:val="44"/>
          <w:szCs w:val="44"/>
        </w:rPr>
        <w:t>年度</w:t>
      </w:r>
      <w:r>
        <w:rPr>
          <w:rFonts w:hint="eastAsia" w:ascii="方正小标宋简体" w:hAnsi="方正小标宋简体" w:eastAsia="方正小标宋简体" w:cs="方正小标宋简体"/>
          <w:b w:val="0"/>
          <w:sz w:val="44"/>
          <w:szCs w:val="44"/>
          <w:lang w:val="en-US" w:eastAsia="zh-CN"/>
        </w:rPr>
        <w:t>单位</w:t>
      </w:r>
      <w:r>
        <w:rPr>
          <w:rFonts w:hint="eastAsia" w:ascii="方正小标宋简体" w:hAnsi="方正小标宋简体" w:eastAsia="方正小标宋简体" w:cs="方正小标宋简体"/>
          <w:b w:val="0"/>
          <w:sz w:val="44"/>
          <w:szCs w:val="44"/>
        </w:rPr>
        <w:t>决算情况说明</w:t>
      </w:r>
      <w:bookmarkEnd w:id="13"/>
      <w:bookmarkEnd w:id="14"/>
      <w:bookmarkEnd w:id="15"/>
    </w:p>
    <w:p/>
    <w:p>
      <w:pPr>
        <w:pStyle w:val="27"/>
        <w:spacing w:line="600" w:lineRule="exact"/>
        <w:ind w:firstLine="640"/>
        <w:outlineLvl w:val="1"/>
        <w:rPr>
          <w:rStyle w:val="29"/>
          <w:rFonts w:ascii="Times New Roman" w:hAnsi="Times New Roman" w:eastAsia="黑体"/>
          <w:b w:val="0"/>
        </w:rPr>
      </w:pPr>
      <w:bookmarkStart w:id="16" w:name="_Toc15396603"/>
      <w:bookmarkStart w:id="17" w:name="_Toc15377205"/>
      <w:bookmarkStart w:id="18" w:name="_Toc27278"/>
      <w:r>
        <w:rPr>
          <w:rFonts w:hint="eastAsia" w:eastAsia="黑体"/>
          <w:sz w:val="32"/>
          <w:szCs w:val="32"/>
        </w:rPr>
        <w:t>一、收</w:t>
      </w:r>
      <w:r>
        <w:rPr>
          <w:rStyle w:val="29"/>
          <w:rFonts w:hint="eastAsia" w:ascii="Times New Roman" w:hAnsi="Times New Roman" w:eastAsia="黑体"/>
          <w:b w:val="0"/>
        </w:rPr>
        <w:t>入支出决算总体情况说明</w:t>
      </w:r>
      <w:bookmarkEnd w:id="16"/>
      <w:bookmarkEnd w:id="17"/>
      <w:bookmarkEnd w:id="18"/>
    </w:p>
    <w:p>
      <w:pPr>
        <w:pStyle w:val="8"/>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年度收入、支出总计均为</w:t>
      </w:r>
      <w:r>
        <w:rPr>
          <w:rFonts w:hint="eastAsia" w:ascii="Times New Roman" w:hAnsi="Times New Roman" w:eastAsia="仿宋_GB2312" w:cs="仿宋_GB2312"/>
          <w:kern w:val="2"/>
          <w:sz w:val="32"/>
          <w:szCs w:val="32"/>
          <w:lang w:val="en-US" w:eastAsia="zh-CN" w:bidi="ar-SA"/>
        </w:rPr>
        <w:t>3,074.34</w:t>
      </w:r>
      <w:r>
        <w:rPr>
          <w:rFonts w:hint="eastAsia" w:ascii="仿宋_GB2312" w:hAnsi="仿宋_GB2312" w:eastAsia="仿宋_GB2312" w:cs="仿宋_GB2312"/>
          <w:sz w:val="32"/>
          <w:szCs w:val="32"/>
        </w:rPr>
        <w:t>万元。与</w:t>
      </w:r>
      <w:r>
        <w:rPr>
          <w:rFonts w:hint="eastAsia" w:ascii="Times New Roman" w:hAnsi="Times New Roman" w:eastAsia="仿宋_GB2312" w:cs="仿宋_GB2312"/>
          <w:kern w:val="2"/>
          <w:sz w:val="32"/>
          <w:szCs w:val="32"/>
          <w:lang w:val="en-US" w:eastAsia="zh-CN" w:bidi="ar-SA"/>
        </w:rPr>
        <w:t>2023</w:t>
      </w:r>
      <w:r>
        <w:rPr>
          <w:rFonts w:hint="eastAsia" w:ascii="仿宋_GB2312" w:hAnsi="仿宋_GB2312" w:eastAsia="仿宋_GB2312" w:cs="仿宋_GB2312"/>
          <w:sz w:val="32"/>
          <w:szCs w:val="32"/>
        </w:rPr>
        <w:t>年度相比，收入、支出总计各减少</w:t>
      </w:r>
      <w:r>
        <w:rPr>
          <w:rFonts w:hint="eastAsia" w:ascii="Times New Roman" w:hAnsi="Times New Roman" w:eastAsia="仿宋_GB2312" w:cs="仿宋_GB2312"/>
          <w:kern w:val="2"/>
          <w:sz w:val="32"/>
          <w:szCs w:val="32"/>
          <w:lang w:val="en-US" w:eastAsia="zh-CN" w:bidi="ar-SA"/>
        </w:rPr>
        <w:t>193.63</w:t>
      </w:r>
      <w:r>
        <w:rPr>
          <w:rFonts w:hint="eastAsia" w:ascii="仿宋_GB2312" w:hAnsi="仿宋_GB2312" w:eastAsia="仿宋_GB2312" w:cs="仿宋_GB2312"/>
          <w:sz w:val="32"/>
          <w:szCs w:val="32"/>
        </w:rPr>
        <w:t>万元，下降</w:t>
      </w:r>
      <w:r>
        <w:rPr>
          <w:rFonts w:hint="eastAsia" w:ascii="Times New Roman" w:hAnsi="Times New Roman" w:eastAsia="仿宋_GB2312" w:cs="仿宋_GB2312"/>
          <w:kern w:val="2"/>
          <w:sz w:val="32"/>
          <w:szCs w:val="32"/>
          <w:lang w:val="en-US" w:eastAsia="zh-CN" w:bidi="ar-SA"/>
        </w:rPr>
        <w:t>5.9%</w:t>
      </w:r>
      <w:r>
        <w:rPr>
          <w:rFonts w:hint="eastAsia" w:ascii="仿宋_GB2312" w:hAnsi="仿宋_GB2312" w:eastAsia="仿宋_GB2312" w:cs="仿宋_GB2312"/>
          <w:sz w:val="32"/>
          <w:szCs w:val="32"/>
        </w:rPr>
        <w:t>。主要变动原因是人员有变动，人员经费减少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项目经费减少</w:t>
      </w:r>
      <w:r>
        <w:rPr>
          <w:rFonts w:hint="eastAsia" w:ascii="仿宋_GB2312" w:hAnsi="仿宋_GB2312" w:eastAsia="仿宋_GB2312" w:cs="仿宋_GB2312"/>
          <w:sz w:val="32"/>
          <w:szCs w:val="32"/>
          <w:lang w:eastAsia="zh-CN"/>
        </w:rPr>
        <w:t>。</w:t>
      </w:r>
    </w:p>
    <w:p>
      <w:pPr>
        <w:pStyle w:val="3"/>
        <w:jc w:val="center"/>
        <w:rPr>
          <w:rFonts w:hint="eastAsia" w:eastAsia="仿宋_GB2312" w:cs="仿宋_GB2312"/>
          <w:sz w:val="32"/>
          <w:szCs w:val="32"/>
        </w:rPr>
      </w:pPr>
      <w:r>
        <w:drawing>
          <wp:inline distT="0" distB="0" distL="114300" distR="114300">
            <wp:extent cx="4794250" cy="3108960"/>
            <wp:effectExtent l="4445" t="4445" r="20955" b="10795"/>
            <wp:docPr id="2513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ind w:firstLine="640" w:firstLineChars="200"/>
        <w:jc w:val="center"/>
      </w:pPr>
      <w:r>
        <w:rPr>
          <w:rFonts w:hint="eastAsia" w:eastAsia="仿宋_GB2312" w:cs="仿宋_GB2312"/>
          <w:sz w:val="32"/>
          <w:szCs w:val="32"/>
        </w:rPr>
        <w:t>（图1：收入、支出决算总计变动情况图）</w:t>
      </w:r>
    </w:p>
    <w:p>
      <w:pPr>
        <w:pStyle w:val="27"/>
        <w:spacing w:line="600" w:lineRule="exact"/>
        <w:ind w:firstLine="640"/>
        <w:outlineLvl w:val="1"/>
        <w:rPr>
          <w:rFonts w:eastAsia="黑体"/>
          <w:sz w:val="32"/>
          <w:szCs w:val="32"/>
        </w:rPr>
      </w:pPr>
      <w:bookmarkStart w:id="19" w:name="_Toc15396604"/>
      <w:bookmarkStart w:id="20" w:name="_Toc15377206"/>
      <w:bookmarkStart w:id="21" w:name="_Toc11940"/>
      <w:r>
        <w:rPr>
          <w:rFonts w:hint="eastAsia" w:eastAsia="黑体"/>
          <w:sz w:val="32"/>
          <w:szCs w:val="32"/>
        </w:rPr>
        <w:t>二、收入决算情况说明</w:t>
      </w:r>
      <w:bookmarkEnd w:id="19"/>
      <w:bookmarkEnd w:id="20"/>
      <w:bookmarkEnd w:id="21"/>
    </w:p>
    <w:p>
      <w:pPr>
        <w:pStyle w:val="8"/>
        <w:adjustRightInd w:val="0"/>
        <w:snapToGrid w:val="0"/>
        <w:spacing w:before="93" w:line="600" w:lineRule="exact"/>
        <w:ind w:firstLine="640" w:firstLineChars="200"/>
        <w:rPr>
          <w:rFonts w:hint="eastAsia" w:ascii="仿宋_GB2312" w:hAnsi="仿宋_GB2312"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年度本年收入合计</w:t>
      </w:r>
      <w:r>
        <w:rPr>
          <w:rFonts w:hint="eastAsia" w:ascii="Times New Roman" w:hAnsi="Times New Roman" w:eastAsia="仿宋_GB2312" w:cs="仿宋_GB2312"/>
          <w:kern w:val="2"/>
          <w:sz w:val="32"/>
          <w:szCs w:val="32"/>
          <w:lang w:val="en-US" w:eastAsia="zh-CN" w:bidi="ar-SA"/>
        </w:rPr>
        <w:t>3,074.34</w:t>
      </w:r>
      <w:r>
        <w:rPr>
          <w:rFonts w:hint="eastAsia" w:ascii="仿宋_GB2312" w:hAnsi="仿宋_GB2312" w:eastAsia="仿宋_GB2312" w:cs="仿宋_GB2312"/>
          <w:sz w:val="32"/>
          <w:szCs w:val="32"/>
        </w:rPr>
        <w:t>万元，其中：一般公共预算财政拨款收入</w:t>
      </w:r>
      <w:r>
        <w:rPr>
          <w:rFonts w:hint="eastAsia" w:ascii="Times New Roman" w:hAnsi="Times New Roman" w:eastAsia="仿宋_GB2312" w:cs="仿宋_GB2312"/>
          <w:kern w:val="2"/>
          <w:sz w:val="32"/>
          <w:szCs w:val="32"/>
          <w:lang w:val="en-US" w:eastAsia="zh-CN" w:bidi="ar-SA"/>
        </w:rPr>
        <w:t>3,074.34</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100%</w:t>
      </w:r>
      <w:r>
        <w:rPr>
          <w:rFonts w:hint="eastAsia" w:ascii="仿宋_GB2312" w:hAnsi="仿宋_GB2312" w:eastAsia="仿宋_GB2312" w:cs="仿宋_GB2312"/>
          <w:sz w:val="32"/>
          <w:szCs w:val="32"/>
          <w:lang w:eastAsia="zh-CN"/>
        </w:rPr>
        <w:t>。</w:t>
      </w:r>
    </w:p>
    <w:p>
      <w:pPr>
        <w:ind w:firstLine="800" w:firstLineChars="250"/>
        <w:rPr>
          <w:rFonts w:hint="eastAsia" w:eastAsia="仿宋_GB2312" w:cs="仿宋_GB2312"/>
          <w:sz w:val="32"/>
          <w:szCs w:val="32"/>
        </w:rPr>
      </w:pPr>
    </w:p>
    <w:p>
      <w:pPr>
        <w:pStyle w:val="3"/>
        <w:ind w:left="0" w:leftChars="0" w:firstLine="0" w:firstLineChars="0"/>
        <w:rPr>
          <w:rFonts w:hint="eastAsia" w:eastAsia="仿宋_GB2312" w:cs="仿宋_GB2312"/>
          <w:sz w:val="32"/>
          <w:szCs w:val="32"/>
        </w:rPr>
      </w:pPr>
    </w:p>
    <w:p>
      <w:pPr>
        <w:pStyle w:val="3"/>
        <w:jc w:val="center"/>
        <w:rPr>
          <w:rFonts w:hint="eastAsia" w:eastAsia="仿宋_GB2312" w:cs="仿宋_GB2312"/>
          <w:sz w:val="32"/>
          <w:szCs w:val="32"/>
        </w:rPr>
      </w:pPr>
      <w:r>
        <w:drawing>
          <wp:inline distT="0" distB="0" distL="114300" distR="114300">
            <wp:extent cx="4638675" cy="2983230"/>
            <wp:effectExtent l="5080" t="4445" r="4445" b="22225"/>
            <wp:docPr id="25138"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ind w:firstLine="800" w:firstLineChars="250"/>
        <w:jc w:val="center"/>
        <w:rPr>
          <w:rFonts w:eastAsia="仿宋_GB2312" w:cs="仿宋_GB2312"/>
          <w:sz w:val="32"/>
          <w:szCs w:val="32"/>
        </w:rPr>
      </w:pPr>
      <w:r>
        <w:rPr>
          <w:rFonts w:hint="eastAsia" w:eastAsia="仿宋_GB2312" w:cs="仿宋_GB2312"/>
          <w:sz w:val="32"/>
          <w:szCs w:val="32"/>
        </w:rPr>
        <w:t>（图2：收入决算结构图）</w:t>
      </w:r>
    </w:p>
    <w:p>
      <w:pPr>
        <w:pStyle w:val="27"/>
        <w:spacing w:line="600" w:lineRule="exact"/>
        <w:ind w:firstLine="640"/>
        <w:outlineLvl w:val="1"/>
        <w:rPr>
          <w:rStyle w:val="29"/>
          <w:rFonts w:ascii="Times New Roman" w:hAnsi="Times New Roman" w:eastAsia="黑体"/>
          <w:b w:val="0"/>
        </w:rPr>
      </w:pPr>
      <w:bookmarkStart w:id="22" w:name="_Toc15377207"/>
      <w:bookmarkStart w:id="23" w:name="_Toc15396605"/>
      <w:bookmarkStart w:id="24" w:name="_Toc13342"/>
      <w:r>
        <w:rPr>
          <w:rFonts w:hint="eastAsia" w:eastAsia="黑体"/>
          <w:sz w:val="32"/>
          <w:szCs w:val="32"/>
        </w:rPr>
        <w:t>三、支</w:t>
      </w:r>
      <w:r>
        <w:rPr>
          <w:rStyle w:val="29"/>
          <w:rFonts w:hint="eastAsia" w:ascii="Times New Roman" w:hAnsi="Times New Roman" w:eastAsia="黑体"/>
          <w:b w:val="0"/>
        </w:rPr>
        <w:t>出决算情况说明</w:t>
      </w:r>
      <w:bookmarkEnd w:id="22"/>
      <w:bookmarkEnd w:id="23"/>
      <w:bookmarkEnd w:id="24"/>
    </w:p>
    <w:p>
      <w:pPr>
        <w:pStyle w:val="8"/>
        <w:adjustRightInd w:val="0"/>
        <w:snapToGrid w:val="0"/>
        <w:spacing w:before="93" w:line="600" w:lineRule="exact"/>
        <w:ind w:firstLine="640" w:firstLineChars="200"/>
        <w:rPr>
          <w:rFonts w:hint="eastAsia" w:ascii="仿宋_GB2312" w:hAnsi="仿宋_GB2312" w:eastAsia="仿宋_GB2312" w:cs="仿宋_GB2312"/>
          <w:sz w:val="32"/>
          <w:szCs w:val="32"/>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年度本年支出合计</w:t>
      </w:r>
      <w:r>
        <w:rPr>
          <w:rFonts w:hint="eastAsia" w:ascii="Times New Roman" w:hAnsi="Times New Roman" w:eastAsia="仿宋_GB2312" w:cs="仿宋_GB2312"/>
          <w:kern w:val="2"/>
          <w:sz w:val="32"/>
          <w:szCs w:val="32"/>
          <w:lang w:val="en-US" w:eastAsia="zh-CN" w:bidi="ar-SA"/>
        </w:rPr>
        <w:t>3,074.34</w:t>
      </w:r>
      <w:r>
        <w:rPr>
          <w:rFonts w:hint="eastAsia" w:ascii="仿宋_GB2312" w:hAnsi="仿宋_GB2312" w:eastAsia="仿宋_GB2312" w:cs="仿宋_GB2312"/>
          <w:sz w:val="32"/>
          <w:szCs w:val="32"/>
        </w:rPr>
        <w:t>万元，其中：基本支出</w:t>
      </w:r>
      <w:r>
        <w:rPr>
          <w:rFonts w:hint="eastAsia" w:ascii="Times New Roman" w:hAnsi="Times New Roman" w:eastAsia="仿宋_GB2312" w:cs="仿宋_GB2312"/>
          <w:kern w:val="2"/>
          <w:sz w:val="32"/>
          <w:szCs w:val="32"/>
          <w:lang w:val="en-US" w:eastAsia="zh-CN" w:bidi="ar-SA"/>
        </w:rPr>
        <w:t>2,948.99</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95.9%</w:t>
      </w:r>
      <w:r>
        <w:rPr>
          <w:rFonts w:hint="eastAsia" w:ascii="仿宋_GB2312" w:hAnsi="仿宋_GB2312" w:eastAsia="仿宋_GB2312" w:cs="仿宋_GB2312"/>
          <w:sz w:val="32"/>
          <w:szCs w:val="32"/>
        </w:rPr>
        <w:t>；项目支出</w:t>
      </w:r>
      <w:r>
        <w:rPr>
          <w:rFonts w:hint="eastAsia" w:ascii="Times New Roman" w:hAnsi="Times New Roman" w:eastAsia="仿宋_GB2312" w:cs="仿宋_GB2312"/>
          <w:kern w:val="2"/>
          <w:sz w:val="32"/>
          <w:szCs w:val="32"/>
          <w:lang w:val="en-US" w:eastAsia="zh-CN" w:bidi="ar-SA"/>
        </w:rPr>
        <w:t>125.34</w:t>
      </w:r>
      <w:r>
        <w:rPr>
          <w:rFonts w:hint="eastAsia" w:ascii="仿宋_GB2312" w:hAnsi="仿宋_GB2312" w:eastAsia="仿宋_GB2312" w:cs="仿宋_GB2312"/>
          <w:sz w:val="32"/>
          <w:szCs w:val="32"/>
        </w:rPr>
        <w:t>万元，占</w:t>
      </w:r>
      <w:r>
        <w:rPr>
          <w:rFonts w:hint="eastAsia" w:ascii="Times New Roman" w:hAnsi="Times New Roman" w:eastAsia="仿宋_GB2312" w:cs="仿宋_GB2312"/>
          <w:kern w:val="2"/>
          <w:sz w:val="32"/>
          <w:szCs w:val="32"/>
          <w:lang w:val="en-US" w:eastAsia="zh-CN" w:bidi="ar-SA"/>
        </w:rPr>
        <w:t>4.</w:t>
      </w:r>
      <w:r>
        <w:rPr>
          <w:rFonts w:hint="eastAsia" w:ascii="Times New Roman" w:cs="仿宋_GB2312"/>
          <w:kern w:val="2"/>
          <w:sz w:val="32"/>
          <w:szCs w:val="32"/>
          <w:lang w:val="en-US" w:eastAsia="zh-CN" w:bidi="ar-SA"/>
        </w:rPr>
        <w:t>1</w:t>
      </w:r>
      <w:r>
        <w:rPr>
          <w:rFonts w:hint="eastAsia" w:ascii="Times New Roman" w:hAnsi="Times New Roman" w:eastAsia="仿宋_GB2312" w:cs="仿宋_GB2312"/>
          <w:kern w:val="2"/>
          <w:sz w:val="32"/>
          <w:szCs w:val="32"/>
          <w:lang w:val="en-US" w:eastAsia="zh-CN" w:bidi="ar-SA"/>
        </w:rPr>
        <w:t>%</w:t>
      </w:r>
      <w:r>
        <w:rPr>
          <w:rFonts w:hint="eastAsia" w:ascii="仿宋_GB2312" w:hAnsi="仿宋_GB2312" w:eastAsia="仿宋_GB2312" w:cs="仿宋_GB2312"/>
          <w:sz w:val="32"/>
          <w:szCs w:val="32"/>
          <w:lang w:eastAsia="zh-CN"/>
        </w:rPr>
        <w:t>。</w:t>
      </w:r>
    </w:p>
    <w:p>
      <w:pPr>
        <w:pStyle w:val="3"/>
        <w:rPr>
          <w:rFonts w:hint="eastAsia" w:eastAsia="仿宋_GB2312" w:cs="仿宋_GB2312"/>
          <w:sz w:val="32"/>
          <w:szCs w:val="32"/>
        </w:rPr>
      </w:pPr>
      <w:r>
        <w:drawing>
          <wp:inline distT="0" distB="0" distL="114300" distR="114300">
            <wp:extent cx="4791710" cy="3201035"/>
            <wp:effectExtent l="4445" t="4445" r="23495" b="13970"/>
            <wp:docPr id="2515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center"/>
        <w:rPr>
          <w:rFonts w:hint="eastAsia" w:eastAsia="黑体"/>
          <w:sz w:val="32"/>
          <w:szCs w:val="32"/>
        </w:rPr>
      </w:pPr>
      <w:r>
        <w:rPr>
          <w:rFonts w:hint="eastAsia" w:eastAsia="仿宋_GB2312" w:cs="仿宋_GB2312"/>
          <w:sz w:val="32"/>
          <w:szCs w:val="32"/>
        </w:rPr>
        <w:t>（图3：支出决算结构图）</w:t>
      </w:r>
      <w:bookmarkStart w:id="25" w:name="_Toc15377208"/>
      <w:bookmarkStart w:id="26" w:name="_Toc15396606"/>
      <w:bookmarkStart w:id="27" w:name="_Toc10478"/>
    </w:p>
    <w:p>
      <w:pPr>
        <w:spacing w:line="600" w:lineRule="exact"/>
        <w:ind w:firstLine="640" w:firstLineChars="200"/>
        <w:outlineLvl w:val="1"/>
        <w:rPr>
          <w:rStyle w:val="29"/>
          <w:rFonts w:ascii="Times New Roman" w:hAnsi="Times New Roman" w:eastAsia="黑体"/>
          <w:b w:val="0"/>
        </w:rPr>
      </w:pPr>
      <w:r>
        <w:rPr>
          <w:rFonts w:hint="eastAsia" w:eastAsia="黑体"/>
          <w:sz w:val="32"/>
          <w:szCs w:val="32"/>
        </w:rPr>
        <w:t>四、财</w:t>
      </w:r>
      <w:r>
        <w:rPr>
          <w:rStyle w:val="29"/>
          <w:rFonts w:hint="eastAsia" w:ascii="Times New Roman" w:hAnsi="Times New Roman" w:eastAsia="黑体"/>
          <w:b w:val="0"/>
        </w:rPr>
        <w:t>政拨款收入支出决算总体情况说明</w:t>
      </w:r>
      <w:bookmarkEnd w:id="25"/>
      <w:bookmarkEnd w:id="26"/>
      <w:bookmarkEnd w:id="27"/>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2024年度财政拨款收入、支出总计均为</w:t>
      </w:r>
      <w:r>
        <w:rPr>
          <w:rFonts w:hint="eastAsia" w:eastAsia="仿宋_GB2312" w:cs="仿宋_GB2312"/>
          <w:sz w:val="32"/>
          <w:szCs w:val="32"/>
          <w:lang w:val="en-US" w:eastAsia="zh-CN"/>
        </w:rPr>
        <w:t>3,074.34</w:t>
      </w:r>
      <w:r>
        <w:rPr>
          <w:rFonts w:hint="eastAsia" w:eastAsia="仿宋_GB2312" w:cs="仿宋_GB2312"/>
          <w:sz w:val="32"/>
          <w:szCs w:val="32"/>
        </w:rPr>
        <w:t>万元。与2023年度相比，财政拨款收入总计、支出总计各减少193.64万元下降5.9%。主要变动原因是项目经费较上年有所减少</w:t>
      </w:r>
      <w:r>
        <w:rPr>
          <w:rFonts w:hint="eastAsia" w:eastAsia="仿宋_GB2312" w:cs="仿宋_GB2312"/>
          <w:sz w:val="32"/>
          <w:szCs w:val="32"/>
          <w:lang w:eastAsia="zh-CN"/>
        </w:rPr>
        <w:t>；人员有变动，人员经费减少。</w:t>
      </w:r>
    </w:p>
    <w:p>
      <w:pPr>
        <w:pStyle w:val="3"/>
        <w:jc w:val="center"/>
        <w:rPr>
          <w:rFonts w:hint="eastAsia" w:eastAsia="仿宋_GB2312" w:cs="仿宋_GB2312"/>
          <w:sz w:val="32"/>
          <w:szCs w:val="32"/>
          <w:lang w:eastAsia="zh-CN"/>
        </w:rPr>
      </w:pPr>
      <w:r>
        <w:drawing>
          <wp:inline distT="0" distB="0" distL="114300" distR="114300">
            <wp:extent cx="4932045" cy="2667635"/>
            <wp:effectExtent l="0" t="0" r="1905" b="18415"/>
            <wp:docPr id="2514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jc w:val="center"/>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40" w:firstLineChars="200"/>
        <w:outlineLvl w:val="1"/>
        <w:rPr>
          <w:rStyle w:val="29"/>
          <w:rFonts w:ascii="Times New Roman" w:hAnsi="Times New Roman" w:eastAsia="黑体"/>
          <w:b w:val="0"/>
        </w:rPr>
      </w:pPr>
      <w:bookmarkStart w:id="28" w:name="_Toc15377209"/>
      <w:bookmarkStart w:id="29" w:name="_Toc15396607"/>
      <w:bookmarkStart w:id="30" w:name="_Toc2936"/>
      <w:r>
        <w:rPr>
          <w:rFonts w:hint="eastAsia" w:eastAsia="黑体"/>
          <w:sz w:val="32"/>
          <w:szCs w:val="32"/>
        </w:rPr>
        <w:t>五、</w:t>
      </w:r>
      <w:r>
        <w:rPr>
          <w:rFonts w:hint="eastAsia" w:eastAsia="黑体"/>
          <w:b/>
          <w:sz w:val="32"/>
          <w:szCs w:val="32"/>
        </w:rPr>
        <w:t>一</w:t>
      </w:r>
      <w:r>
        <w:rPr>
          <w:rStyle w:val="29"/>
          <w:rFonts w:hint="eastAsia" w:ascii="Times New Roman" w:hAnsi="Times New Roman" w:eastAsia="黑体"/>
          <w:b w:val="0"/>
        </w:rPr>
        <w:t>般公共预算财政拨款支出决算情况说明</w:t>
      </w:r>
      <w:bookmarkEnd w:id="28"/>
      <w:bookmarkEnd w:id="29"/>
      <w:bookmarkEnd w:id="30"/>
    </w:p>
    <w:p>
      <w:pPr>
        <w:spacing w:line="600" w:lineRule="exact"/>
        <w:ind w:firstLine="643" w:firstLineChars="200"/>
        <w:outlineLvl w:val="2"/>
        <w:rPr>
          <w:rFonts w:eastAsia="楷体_GB2312" w:cs="楷体_GB2312"/>
          <w:b/>
          <w:sz w:val="32"/>
          <w:szCs w:val="32"/>
        </w:rPr>
      </w:pPr>
      <w:bookmarkStart w:id="31" w:name="_Toc15377210"/>
      <w:r>
        <w:rPr>
          <w:rFonts w:hint="eastAsia" w:eastAsia="楷体_GB2312" w:cs="楷体_GB2312"/>
          <w:b/>
          <w:sz w:val="32"/>
          <w:szCs w:val="32"/>
        </w:rPr>
        <w:t>（一）一般公共预算财政拨款支出决算总体情况</w:t>
      </w:r>
      <w:bookmarkEnd w:id="31"/>
    </w:p>
    <w:p>
      <w:pPr>
        <w:spacing w:line="600" w:lineRule="exact"/>
        <w:ind w:firstLine="640"/>
        <w:rPr>
          <w:rFonts w:hint="eastAsia" w:ascii="仿宋_GB2312" w:hAnsi="仿宋_GB2312" w:eastAsia="仿宋_GB2312" w:cs="仿宋_GB2312"/>
          <w:sz w:val="32"/>
          <w:szCs w:val="32"/>
          <w:lang w:eastAsia="zh-CN"/>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年度一般公共预算财政拨款支出</w:t>
      </w:r>
      <w:r>
        <w:rPr>
          <w:rFonts w:hint="eastAsia" w:eastAsia="仿宋_GB2312" w:cs="仿宋_GB2312"/>
          <w:sz w:val="32"/>
          <w:szCs w:val="32"/>
          <w:lang w:val="en-US" w:eastAsia="zh-CN"/>
        </w:rPr>
        <w:t>3,074.34</w:t>
      </w:r>
      <w:r>
        <w:rPr>
          <w:rFonts w:hint="eastAsia" w:ascii="仿宋_GB2312" w:hAnsi="仿宋_GB2312" w:eastAsia="仿宋_GB2312" w:cs="仿宋_GB2312"/>
          <w:sz w:val="32"/>
          <w:szCs w:val="32"/>
        </w:rPr>
        <w:t>万元，占本年支出合计的</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。与</w:t>
      </w:r>
      <w:r>
        <w:rPr>
          <w:rFonts w:hint="eastAsia" w:eastAsia="仿宋_GB2312" w:cs="仿宋_GB2312"/>
          <w:sz w:val="32"/>
          <w:szCs w:val="32"/>
          <w:lang w:val="en-US" w:eastAsia="zh-CN"/>
        </w:rPr>
        <w:t>2023</w:t>
      </w:r>
      <w:r>
        <w:rPr>
          <w:rFonts w:hint="eastAsia" w:ascii="仿宋_GB2312" w:hAnsi="仿宋_GB2312" w:eastAsia="仿宋_GB2312" w:cs="仿宋_GB2312"/>
          <w:sz w:val="32"/>
          <w:szCs w:val="32"/>
        </w:rPr>
        <w:t>年度相比，一般公共预算财政拨款支出减少</w:t>
      </w:r>
      <w:r>
        <w:rPr>
          <w:rFonts w:hint="eastAsia" w:eastAsia="仿宋_GB2312" w:cs="仿宋_GB2312"/>
          <w:sz w:val="32"/>
          <w:szCs w:val="32"/>
        </w:rPr>
        <w:t>193.6</w:t>
      </w:r>
      <w:r>
        <w:rPr>
          <w:rFonts w:hint="eastAsia" w:ascii="仿宋_GB2312" w:hAnsi="仿宋_GB2312" w:eastAsia="仿宋_GB2312" w:cs="仿宋_GB2312"/>
          <w:sz w:val="32"/>
          <w:szCs w:val="32"/>
        </w:rPr>
        <w:t>万元，下降</w:t>
      </w:r>
      <w:r>
        <w:rPr>
          <w:rFonts w:hint="eastAsia" w:eastAsia="仿宋_GB2312" w:cs="仿宋_GB2312"/>
          <w:sz w:val="32"/>
          <w:szCs w:val="32"/>
        </w:rPr>
        <w:t>5.9%</w:t>
      </w:r>
      <w:r>
        <w:rPr>
          <w:rFonts w:hint="eastAsia" w:ascii="仿宋_GB2312" w:hAnsi="仿宋_GB2312" w:eastAsia="仿宋_GB2312" w:cs="仿宋_GB2312"/>
          <w:sz w:val="32"/>
          <w:szCs w:val="32"/>
        </w:rPr>
        <w:t>。主要变动原因是项目经费较上年有所减少</w:t>
      </w:r>
      <w:r>
        <w:rPr>
          <w:rFonts w:hint="eastAsia" w:ascii="仿宋_GB2312" w:hAnsi="仿宋_GB2312" w:eastAsia="仿宋_GB2312" w:cs="仿宋_GB2312"/>
          <w:sz w:val="32"/>
          <w:szCs w:val="32"/>
          <w:lang w:eastAsia="zh-CN"/>
        </w:rPr>
        <w:t>；人员有变动，人员经费减少。</w:t>
      </w:r>
    </w:p>
    <w:p>
      <w:pPr>
        <w:spacing w:line="600" w:lineRule="exact"/>
        <w:ind w:firstLine="640"/>
        <w:rPr>
          <w:rFonts w:eastAsia="仿宋_GB2312" w:cs="仿宋_GB2312"/>
          <w:sz w:val="32"/>
          <w:szCs w:val="32"/>
        </w:rPr>
      </w:pPr>
    </w:p>
    <w:p>
      <w:pPr>
        <w:spacing w:line="600" w:lineRule="exact"/>
        <w:ind w:firstLine="640"/>
        <w:rPr>
          <w:rFonts w:hint="eastAsia" w:eastAsia="仿宋_GB2312" w:cs="仿宋_GB2312"/>
          <w:sz w:val="32"/>
          <w:szCs w:val="32"/>
        </w:rPr>
      </w:pPr>
    </w:p>
    <w:p>
      <w:pPr>
        <w:pStyle w:val="2"/>
        <w:rPr>
          <w:rFonts w:hint="eastAsia" w:eastAsia="仿宋_GB2312" w:cs="仿宋_GB2312"/>
          <w:sz w:val="32"/>
          <w:szCs w:val="32"/>
        </w:rPr>
      </w:pPr>
    </w:p>
    <w:p>
      <w:pPr>
        <w:pStyle w:val="3"/>
        <w:rPr>
          <w:rFonts w:hint="eastAsia" w:eastAsia="仿宋_GB2312" w:cs="仿宋_GB2312"/>
          <w:sz w:val="32"/>
          <w:szCs w:val="32"/>
        </w:rPr>
      </w:pPr>
    </w:p>
    <w:p>
      <w:pPr>
        <w:pStyle w:val="3"/>
        <w:rPr>
          <w:rFonts w:hint="eastAsia" w:eastAsia="仿宋_GB2312" w:cs="仿宋_GB2312"/>
          <w:sz w:val="32"/>
          <w:szCs w:val="32"/>
        </w:rPr>
      </w:pPr>
      <w:r>
        <w:drawing>
          <wp:anchor distT="0" distB="0" distL="114300" distR="114300" simplePos="0" relativeHeight="251660288" behindDoc="0" locked="0" layoutInCell="1" allowOverlap="1">
            <wp:simplePos x="0" y="0"/>
            <wp:positionH relativeFrom="column">
              <wp:posOffset>67945</wp:posOffset>
            </wp:positionH>
            <wp:positionV relativeFrom="paragraph">
              <wp:posOffset>26035</wp:posOffset>
            </wp:positionV>
            <wp:extent cx="5059680" cy="2743200"/>
            <wp:effectExtent l="4445" t="4445" r="22225" b="14605"/>
            <wp:wrapNone/>
            <wp:docPr id="2513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ind w:firstLine="640"/>
        <w:jc w:val="center"/>
        <w:rPr>
          <w:rFonts w:hint="eastAsia" w:eastAsia="仿宋_GB2312" w:cs="仿宋_GB2312"/>
          <w:sz w:val="32"/>
          <w:szCs w:val="32"/>
        </w:rPr>
      </w:pPr>
    </w:p>
    <w:p>
      <w:pPr>
        <w:spacing w:line="600" w:lineRule="exact"/>
        <w:jc w:val="both"/>
        <w:rPr>
          <w:rFonts w:hint="eastAsia" w:eastAsia="仿宋_GB2312" w:cs="仿宋_GB2312"/>
          <w:sz w:val="32"/>
          <w:szCs w:val="32"/>
        </w:rPr>
      </w:pPr>
    </w:p>
    <w:p>
      <w:pPr>
        <w:spacing w:line="600" w:lineRule="exact"/>
        <w:ind w:firstLine="640"/>
        <w:jc w:val="center"/>
        <w:rPr>
          <w:rFonts w:hint="eastAsia"/>
        </w:rPr>
      </w:pPr>
      <w:r>
        <w:rPr>
          <w:rFonts w:hint="eastAsia" w:eastAsia="仿宋_GB2312" w:cs="仿宋_GB2312"/>
          <w:sz w:val="32"/>
          <w:szCs w:val="32"/>
        </w:rPr>
        <w:t>（图5：一般公共预算财政拨款支出决算变动情况）</w:t>
      </w:r>
      <w:bookmarkStart w:id="32" w:name="_Toc15377211"/>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（二）一般公共预算财政拨款支出决算结构情况</w:t>
      </w:r>
      <w:bookmarkEnd w:id="32"/>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2024年度一般公共预算财政拨款支出</w:t>
      </w:r>
      <w:r>
        <w:rPr>
          <w:rFonts w:hint="eastAsia" w:eastAsia="仿宋_GB2312" w:cs="仿宋_GB2312"/>
          <w:sz w:val="32"/>
          <w:szCs w:val="32"/>
          <w:lang w:val="en-US" w:eastAsia="zh-CN"/>
        </w:rPr>
        <w:t>3,074.34</w:t>
      </w:r>
      <w:r>
        <w:rPr>
          <w:rFonts w:hint="eastAsia" w:ascii="仿宋_GB2312" w:hAnsi="仿宋_GB2312" w:eastAsia="仿宋_GB2312" w:cs="仿宋_GB2312"/>
          <w:sz w:val="32"/>
          <w:szCs w:val="32"/>
        </w:rPr>
        <w:t>万元</w:t>
      </w:r>
      <w:r>
        <w:rPr>
          <w:rFonts w:hint="eastAsia" w:eastAsia="仿宋_GB2312" w:cs="仿宋_GB2312"/>
          <w:sz w:val="32"/>
          <w:szCs w:val="32"/>
        </w:rPr>
        <w:t>，主要用于以下方面：社会保障和就业支出329.51万元，占</w:t>
      </w:r>
      <w:r>
        <w:rPr>
          <w:rFonts w:hint="eastAsia" w:eastAsia="仿宋_GB2312" w:cs="仿宋_GB2312"/>
          <w:sz w:val="32"/>
          <w:szCs w:val="32"/>
          <w:lang w:val="en-US" w:eastAsia="zh-CN"/>
        </w:rPr>
        <w:t>10.7</w:t>
      </w:r>
      <w:r>
        <w:rPr>
          <w:rFonts w:hint="eastAsia" w:eastAsia="仿宋_GB2312" w:cs="仿宋_GB2312"/>
          <w:sz w:val="32"/>
          <w:szCs w:val="32"/>
        </w:rPr>
        <w:t>%；卫生健康支出150.02万元，占</w:t>
      </w:r>
      <w:r>
        <w:rPr>
          <w:rFonts w:hint="eastAsia" w:eastAsia="仿宋_GB2312" w:cs="仿宋_GB2312"/>
          <w:sz w:val="32"/>
          <w:szCs w:val="32"/>
          <w:lang w:val="en-US" w:eastAsia="zh-CN"/>
        </w:rPr>
        <w:t>4.9</w:t>
      </w:r>
      <w:r>
        <w:rPr>
          <w:rFonts w:hint="eastAsia" w:eastAsia="仿宋_GB2312" w:cs="仿宋_GB2312"/>
          <w:sz w:val="32"/>
          <w:szCs w:val="32"/>
        </w:rPr>
        <w:t>%；交通运输支出2,404.66</w:t>
      </w:r>
      <w:r>
        <w:rPr>
          <w:rFonts w:hint="eastAsia" w:eastAsia="仿宋_GB2312" w:cs="仿宋_GB2312"/>
          <w:sz w:val="32"/>
          <w:szCs w:val="32"/>
          <w:lang w:val="en-US" w:eastAsia="zh-CN"/>
        </w:rPr>
        <w:t>万元，占78.2%；</w:t>
      </w:r>
      <w:r>
        <w:rPr>
          <w:rFonts w:hint="eastAsia" w:eastAsia="仿宋_GB2312" w:cs="仿宋_GB2312"/>
          <w:sz w:val="32"/>
          <w:szCs w:val="32"/>
        </w:rPr>
        <w:t>住房保障支出190.15万元，占</w:t>
      </w:r>
      <w:r>
        <w:rPr>
          <w:rFonts w:hint="eastAsia" w:eastAsia="仿宋_GB2312" w:cs="仿宋_GB2312"/>
          <w:sz w:val="32"/>
          <w:szCs w:val="32"/>
          <w:lang w:val="en-US" w:eastAsia="zh-CN"/>
        </w:rPr>
        <w:t>6.2</w:t>
      </w:r>
      <w:r>
        <w:rPr>
          <w:rFonts w:hint="eastAsia" w:eastAsia="仿宋_GB2312" w:cs="仿宋_GB2312"/>
          <w:sz w:val="32"/>
          <w:szCs w:val="32"/>
        </w:rPr>
        <w:t>%</w:t>
      </w:r>
      <w:r>
        <w:rPr>
          <w:rFonts w:hint="eastAsia" w:eastAsia="仿宋_GB2312" w:cs="仿宋_GB2312"/>
          <w:sz w:val="32"/>
          <w:szCs w:val="32"/>
          <w:lang w:eastAsia="zh-CN"/>
        </w:rPr>
        <w:t>。</w:t>
      </w:r>
    </w:p>
    <w:p>
      <w:pPr>
        <w:pStyle w:val="3"/>
        <w:jc w:val="center"/>
        <w:rPr>
          <w:rFonts w:eastAsia="仿宋_GB2312" w:cs="仿宋_GB2312"/>
          <w:sz w:val="32"/>
          <w:szCs w:val="32"/>
        </w:rPr>
      </w:pPr>
      <w:r>
        <w:drawing>
          <wp:inline distT="0" distB="0" distL="114300" distR="114300">
            <wp:extent cx="4779010" cy="3218180"/>
            <wp:effectExtent l="4445" t="4445" r="17145" b="15875"/>
            <wp:docPr id="25158"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eastAsia="仿宋_GB2312" w:cs="仿宋_GB2312"/>
          <w:sz w:val="32"/>
          <w:szCs w:val="32"/>
        </w:rPr>
        <w:t>（图6：一般公共预算财政拨款支出决算结构）</w:t>
      </w:r>
    </w:p>
    <w:p>
      <w:pPr>
        <w:spacing w:line="600" w:lineRule="exact"/>
        <w:ind w:firstLine="643" w:firstLineChars="200"/>
        <w:outlineLvl w:val="2"/>
        <w:rPr>
          <w:rFonts w:eastAsia="楷体_GB2312" w:cs="楷体_GB2312"/>
          <w:b/>
          <w:sz w:val="32"/>
          <w:szCs w:val="32"/>
        </w:rPr>
      </w:pPr>
      <w:bookmarkStart w:id="33" w:name="_Toc15377212"/>
      <w:r>
        <w:rPr>
          <w:rFonts w:hint="eastAsia" w:eastAsia="楷体_GB2312" w:cs="楷体_GB2312"/>
          <w:b/>
          <w:sz w:val="32"/>
          <w:szCs w:val="32"/>
        </w:rPr>
        <w:t>（三）一般公共预算财政拨款支出决算具体情况</w:t>
      </w:r>
      <w:bookmarkEnd w:id="33"/>
    </w:p>
    <w:p>
      <w:pPr>
        <w:spacing w:line="600" w:lineRule="exact"/>
        <w:ind w:firstLine="640"/>
        <w:rPr>
          <w:rFonts w:eastAsia="仿宋_GB2312" w:cs="仿宋_GB2312"/>
          <w:sz w:val="32"/>
          <w:szCs w:val="32"/>
        </w:rPr>
      </w:pPr>
      <w:bookmarkStart w:id="34" w:name="_Toc15377213"/>
      <w:bookmarkStart w:id="35" w:name="_Toc15378460"/>
      <w:bookmarkStart w:id="36" w:name="_Toc15377444"/>
      <w:r>
        <w:rPr>
          <w:rFonts w:hint="eastAsia" w:eastAsia="仿宋_GB2312" w:cs="仿宋_GB2312"/>
          <w:sz w:val="32"/>
          <w:szCs w:val="32"/>
        </w:rPr>
        <w:t>2024年度一般公共预算财政拨款支出决算数为</w:t>
      </w:r>
      <w:r>
        <w:rPr>
          <w:rFonts w:hint="eastAsia" w:eastAsia="仿宋_GB2312" w:cs="仿宋_GB2312"/>
          <w:sz w:val="32"/>
          <w:szCs w:val="32"/>
          <w:lang w:val="en-US" w:eastAsia="zh-CN"/>
        </w:rPr>
        <w:t>3,074.34万元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34"/>
      <w:bookmarkEnd w:id="35"/>
      <w:bookmarkEnd w:id="36"/>
    </w:p>
    <w:p>
      <w:pPr>
        <w:numPr>
          <w:ilvl w:val="0"/>
          <w:numId w:val="0"/>
        </w:numPr>
        <w:spacing w:line="600" w:lineRule="exact"/>
        <w:ind w:firstLine="640" w:firstLineChars="0"/>
        <w:rPr>
          <w:rFonts w:hint="eastAsia"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1.</w:t>
      </w:r>
      <w:r>
        <w:rPr>
          <w:rFonts w:hint="eastAsia" w:eastAsia="仿宋_GB2312" w:cs="仿宋_GB2312"/>
          <w:sz w:val="32"/>
          <w:szCs w:val="32"/>
        </w:rPr>
        <w:t>社会保障和就业（类）行政事业单位养老支出（款）机关事业单位基本养老保险缴费支出（项）：支出决算为219.67万元，完成预算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numPr>
          <w:ilvl w:val="0"/>
          <w:numId w:val="0"/>
        </w:numPr>
        <w:spacing w:line="600" w:lineRule="exact"/>
        <w:ind w:firstLine="640" w:firstLineChars="0"/>
        <w:rPr>
          <w:rFonts w:hint="eastAsia" w:eastAsia="仿宋_GB2312" w:cs="仿宋_GB2312"/>
          <w:sz w:val="32"/>
          <w:szCs w:val="32"/>
          <w:lang w:val="en-US" w:eastAsia="zh-CN"/>
        </w:rPr>
      </w:pPr>
      <w:r>
        <w:rPr>
          <w:rFonts w:hint="eastAsia" w:eastAsia="仿宋_GB2312" w:cs="仿宋_GB2312"/>
          <w:sz w:val="32"/>
          <w:szCs w:val="32"/>
          <w:lang w:val="en-US" w:eastAsia="zh-CN"/>
        </w:rPr>
        <w:t>2.社会保障和就业（类）行政事业单位养老支出（款）机关事业单位职业年金缴费支出（项）：支出决算为109.84万元，完成预算100%，决算数等于预算数。</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3</w:t>
      </w:r>
      <w:r>
        <w:rPr>
          <w:rFonts w:hint="eastAsia" w:eastAsia="仿宋_GB2312" w:cs="仿宋_GB2312"/>
          <w:sz w:val="32"/>
          <w:szCs w:val="32"/>
        </w:rPr>
        <w:t>.卫生健康（类）行政事业单位医疗（款）事业单位医疗（项）：支出决算为94.92万元，完成预算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4.</w:t>
      </w:r>
      <w:r>
        <w:rPr>
          <w:rFonts w:hint="eastAsia" w:eastAsia="仿宋_GB2312" w:cs="仿宋_GB2312"/>
          <w:sz w:val="32"/>
          <w:szCs w:val="32"/>
        </w:rPr>
        <w:t>卫生健康（类）行政事业单位医疗（款）其他行政事业单位医疗支出（项）：支出决算为55.11万元，完成预算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bookmarkStart w:id="37" w:name="_Toc15377214"/>
      <w:bookmarkStart w:id="38" w:name="_Toc15396608"/>
      <w:r>
        <w:rPr>
          <w:rFonts w:hint="eastAsia" w:eastAsia="仿宋_GB2312" w:cs="仿宋_GB2312"/>
          <w:sz w:val="32"/>
          <w:szCs w:val="32"/>
          <w:lang w:val="en-US" w:eastAsia="zh-CN"/>
        </w:rPr>
        <w:t>5.</w:t>
      </w:r>
      <w:r>
        <w:rPr>
          <w:rFonts w:hint="eastAsia" w:eastAsia="仿宋_GB2312" w:cs="仿宋_GB2312"/>
          <w:sz w:val="32"/>
          <w:szCs w:val="32"/>
        </w:rPr>
        <w:t>交通运输（类）公路水路运输（款）公路养护（项）：支出决算为2,279.31万元，完成预算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lang w:val="en-US" w:eastAsia="zh-CN"/>
        </w:rPr>
        <w:t>6.住房保障（类）住房改革支出（款）住房公积金（项）：支出决算为180.15万元，完成预算100%，决算数等于预算数。</w:t>
      </w:r>
    </w:p>
    <w:p>
      <w:pPr>
        <w:spacing w:line="600" w:lineRule="exact"/>
        <w:ind w:firstLine="640"/>
        <w:rPr>
          <w:rFonts w:hint="eastAsia"/>
        </w:rPr>
      </w:pPr>
      <w:r>
        <w:rPr>
          <w:rFonts w:hint="eastAsia" w:eastAsia="仿宋_GB2312" w:cs="仿宋_GB2312"/>
          <w:sz w:val="32"/>
          <w:szCs w:val="32"/>
          <w:lang w:val="en-US" w:eastAsia="zh-CN"/>
        </w:rPr>
        <w:t>7.住房保障（类）住房改革支出（款）购房补贴（项）：支出决算为10万元，</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tabs>
          <w:tab w:val="right" w:pos="8306"/>
        </w:tabs>
        <w:spacing w:line="600" w:lineRule="exact"/>
        <w:ind w:firstLine="640"/>
        <w:outlineLvl w:val="1"/>
        <w:rPr>
          <w:rStyle w:val="29"/>
          <w:rFonts w:ascii="Times New Roman" w:hAnsi="Times New Roman"/>
        </w:rPr>
      </w:pPr>
      <w:bookmarkStart w:id="39" w:name="_Toc28377"/>
      <w:r>
        <w:rPr>
          <w:rFonts w:hint="eastAsia" w:eastAsia="黑体"/>
          <w:sz w:val="32"/>
          <w:szCs w:val="32"/>
        </w:rPr>
        <w:t>六</w:t>
      </w:r>
      <w:r>
        <w:rPr>
          <w:rFonts w:hint="eastAsia" w:eastAsia="黑体"/>
          <w:b/>
          <w:sz w:val="32"/>
          <w:szCs w:val="32"/>
        </w:rPr>
        <w:t>、一</w:t>
      </w:r>
      <w:r>
        <w:rPr>
          <w:rStyle w:val="29"/>
          <w:rFonts w:hint="eastAsia" w:ascii="Times New Roman" w:hAnsi="Times New Roman" w:eastAsia="黑体"/>
          <w:b w:val="0"/>
        </w:rPr>
        <w:t>般公共预算财政拨款基本支出决算情况说明</w:t>
      </w:r>
      <w:bookmarkEnd w:id="37"/>
      <w:bookmarkEnd w:id="38"/>
      <w:bookmarkEnd w:id="39"/>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2024年度一般公共预算财政拨款基本支出2,948.99</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人员经费2,736.66</w:t>
      </w:r>
      <w:r>
        <w:rPr>
          <w:rFonts w:hint="eastAsia" w:ascii="仿宋_GB2312" w:hAnsi="仿宋_GB2312" w:eastAsia="仿宋_GB2312" w:cs="仿宋_GB2312"/>
          <w:sz w:val="32"/>
          <w:szCs w:val="32"/>
        </w:rPr>
        <w:t>万</w:t>
      </w:r>
      <w:r>
        <w:rPr>
          <w:rFonts w:hint="eastAsia" w:eastAsia="仿宋_GB2312" w:cs="仿宋_GB2312"/>
          <w:sz w:val="32"/>
          <w:szCs w:val="32"/>
        </w:rPr>
        <w:t>元，主要包括：基本工资、津贴补贴、奖金、绩效工资、机关事业单位基本养老保险缴费、职业年金缴费、</w:t>
      </w:r>
      <w:r>
        <w:rPr>
          <w:rFonts w:hint="eastAsia" w:eastAsia="仿宋_GB2312" w:cs="仿宋_GB2312"/>
          <w:sz w:val="32"/>
          <w:szCs w:val="32"/>
          <w:lang w:val="en-US" w:eastAsia="zh-CN"/>
        </w:rPr>
        <w:t>职工基本医疗保险缴费、</w:t>
      </w:r>
      <w:r>
        <w:rPr>
          <w:rFonts w:hint="eastAsia" w:eastAsia="仿宋_GB2312" w:cs="仿宋_GB2312"/>
          <w:sz w:val="32"/>
          <w:szCs w:val="32"/>
        </w:rPr>
        <w:t>其他社会保障缴费、其他工资福利支出、生活补助、奖励金、住房公积金等。</w:t>
      </w:r>
      <w:r>
        <w:rPr>
          <w:rFonts w:hint="eastAsia" w:eastAsia="仿宋_GB2312" w:cs="仿宋_GB2312"/>
          <w:sz w:val="32"/>
          <w:szCs w:val="32"/>
        </w:rPr>
        <w:br w:type="textWrapping"/>
      </w:r>
      <w:r>
        <w:rPr>
          <w:rFonts w:hint="eastAsia" w:eastAsia="仿宋_GB2312" w:cs="仿宋_GB2312"/>
          <w:sz w:val="32"/>
          <w:szCs w:val="32"/>
          <w:lang w:val="en-US" w:eastAsia="zh-CN"/>
        </w:rPr>
        <w:t xml:space="preserve">    </w:t>
      </w:r>
      <w:r>
        <w:rPr>
          <w:rFonts w:hint="eastAsia" w:eastAsia="仿宋_GB2312" w:cs="仿宋_GB2312"/>
          <w:sz w:val="32"/>
          <w:szCs w:val="32"/>
        </w:rPr>
        <w:t>公用经费212.33</w:t>
      </w:r>
      <w:r>
        <w:rPr>
          <w:rFonts w:hint="eastAsia" w:ascii="仿宋_GB2312" w:hAnsi="仿宋_GB2312" w:eastAsia="仿宋_GB2312" w:cs="仿宋_GB2312"/>
          <w:sz w:val="32"/>
          <w:szCs w:val="32"/>
        </w:rPr>
        <w:t>万</w:t>
      </w:r>
      <w:r>
        <w:rPr>
          <w:rFonts w:hint="eastAsia" w:eastAsia="仿宋_GB2312" w:cs="仿宋_GB2312"/>
          <w:sz w:val="32"/>
          <w:szCs w:val="32"/>
        </w:rPr>
        <w:t>元，主要包括：办公费、印刷费、水费、电费、邮电费、差旅费、维修（护）费、租赁费、培训费、公务接待费、</w:t>
      </w:r>
      <w:r>
        <w:rPr>
          <w:rFonts w:hint="eastAsia" w:eastAsia="仿宋_GB2312" w:cs="仿宋_GB2312"/>
          <w:sz w:val="32"/>
          <w:szCs w:val="32"/>
          <w:lang w:val="en-US" w:eastAsia="zh-CN"/>
        </w:rPr>
        <w:t>专用材料费、</w:t>
      </w:r>
      <w:r>
        <w:rPr>
          <w:rFonts w:hint="eastAsia" w:eastAsia="仿宋_GB2312" w:cs="仿宋_GB2312"/>
          <w:sz w:val="32"/>
          <w:szCs w:val="32"/>
        </w:rPr>
        <w:t>劳务费、福利费、公务用车运行维护费、其他商品和服务支出。</w:t>
      </w:r>
    </w:p>
    <w:p>
      <w:pPr>
        <w:spacing w:line="600" w:lineRule="exact"/>
        <w:ind w:firstLine="640"/>
        <w:outlineLvl w:val="1"/>
        <w:rPr>
          <w:rStyle w:val="29"/>
          <w:rFonts w:ascii="Times New Roman" w:hAnsi="Times New Roman" w:eastAsia="黑体"/>
          <w:b w:val="0"/>
        </w:rPr>
      </w:pPr>
      <w:bookmarkStart w:id="40" w:name="_Toc15396609"/>
      <w:bookmarkStart w:id="41" w:name="_Toc31207"/>
      <w:bookmarkStart w:id="42" w:name="_Toc15377215"/>
      <w:r>
        <w:rPr>
          <w:rFonts w:hint="eastAsia" w:eastAsia="黑体"/>
          <w:sz w:val="32"/>
          <w:szCs w:val="32"/>
        </w:rPr>
        <w:t>七、</w:t>
      </w:r>
      <w:r>
        <w:rPr>
          <w:rStyle w:val="29"/>
          <w:rFonts w:hint="eastAsia" w:ascii="Times New Roman" w:hAnsi="Times New Roman" w:eastAsia="黑体"/>
          <w:b w:val="0"/>
        </w:rPr>
        <w:t>财政拨款</w:t>
      </w:r>
      <w:r>
        <w:rPr>
          <w:rStyle w:val="29"/>
          <w:rFonts w:hint="eastAsia" w:ascii="Times New Roman" w:hAnsi="Times New Roman" w:eastAsia="黑体"/>
        </w:rPr>
        <w:t>“</w:t>
      </w:r>
      <w:r>
        <w:rPr>
          <w:rStyle w:val="29"/>
          <w:rFonts w:hint="eastAsia" w:ascii="Times New Roman" w:hAnsi="Times New Roman" w:eastAsia="黑体"/>
          <w:b w:val="0"/>
        </w:rPr>
        <w:t>三公”经费支出决算情况说明</w:t>
      </w:r>
      <w:bookmarkEnd w:id="40"/>
      <w:bookmarkEnd w:id="41"/>
      <w:bookmarkEnd w:id="42"/>
    </w:p>
    <w:p>
      <w:pPr>
        <w:spacing w:line="600" w:lineRule="exact"/>
        <w:ind w:firstLine="643" w:firstLineChars="200"/>
        <w:outlineLvl w:val="2"/>
        <w:rPr>
          <w:rFonts w:eastAsia="楷体_GB2312" w:cs="楷体_GB2312"/>
          <w:b/>
          <w:sz w:val="32"/>
          <w:szCs w:val="32"/>
        </w:rPr>
      </w:pPr>
      <w:bookmarkStart w:id="43" w:name="_Toc15377216"/>
      <w:r>
        <w:rPr>
          <w:rFonts w:hint="eastAsia" w:eastAsia="楷体_GB2312" w:cs="楷体_GB2312"/>
          <w:b/>
          <w:sz w:val="32"/>
          <w:szCs w:val="32"/>
        </w:rPr>
        <w:t>（一）“三公”经费财政拨款支出决算总体情况说明</w:t>
      </w:r>
      <w:bookmarkEnd w:id="43"/>
    </w:p>
    <w:p>
      <w:pPr>
        <w:spacing w:line="600" w:lineRule="exact"/>
        <w:ind w:firstLine="640"/>
      </w:pPr>
      <w:r>
        <w:rPr>
          <w:rFonts w:hint="eastAsia" w:eastAsia="仿宋_GB2312" w:cs="仿宋_GB2312"/>
          <w:sz w:val="32"/>
          <w:szCs w:val="32"/>
        </w:rPr>
        <w:t>2024年度“三公”经费财政拨款支出决算为17.12</w:t>
      </w:r>
      <w:r>
        <w:rPr>
          <w:rFonts w:hint="eastAsia" w:ascii="仿宋_GB2312" w:hAnsi="仿宋_GB2312" w:eastAsia="仿宋_GB2312" w:cs="仿宋_GB2312"/>
          <w:sz w:val="32"/>
          <w:szCs w:val="32"/>
        </w:rPr>
        <w:t>万元，完成预算</w:t>
      </w:r>
      <w:r>
        <w:rPr>
          <w:rFonts w:hint="eastAsia" w:eastAsia="仿宋_GB2312" w:cs="仿宋_GB2312"/>
          <w:sz w:val="32"/>
          <w:szCs w:val="32"/>
          <w:lang w:val="en-US" w:eastAsia="zh-CN"/>
        </w:rPr>
        <w:t>77.8</w:t>
      </w:r>
      <w:r>
        <w:rPr>
          <w:rFonts w:hint="eastAsia" w:eastAsia="仿宋_GB2312" w:cs="仿宋_GB2312"/>
          <w:sz w:val="32"/>
          <w:szCs w:val="32"/>
        </w:rPr>
        <w:t>%</w:t>
      </w:r>
      <w:r>
        <w:rPr>
          <w:rFonts w:hint="eastAsia" w:ascii="仿宋_GB2312" w:hAnsi="仿宋_GB2312" w:eastAsia="仿宋_GB2312" w:cs="仿宋_GB2312"/>
          <w:sz w:val="32"/>
          <w:szCs w:val="32"/>
        </w:rPr>
        <w:t>，</w:t>
      </w:r>
      <w:r>
        <w:rPr>
          <w:rFonts w:hint="eastAsia" w:eastAsia="仿宋_GB2312" w:cs="仿宋_GB2312"/>
          <w:sz w:val="32"/>
          <w:szCs w:val="32"/>
        </w:rPr>
        <w:t>较上年度减少2.26万元，下降11.</w:t>
      </w:r>
      <w:r>
        <w:rPr>
          <w:rFonts w:hint="eastAsia" w:eastAsia="仿宋_GB2312" w:cs="仿宋_GB2312"/>
          <w:sz w:val="32"/>
          <w:szCs w:val="32"/>
          <w:lang w:val="en-US" w:eastAsia="zh-CN"/>
        </w:rPr>
        <w:t>7</w:t>
      </w:r>
      <w:r>
        <w:rPr>
          <w:rFonts w:hint="eastAsia" w:eastAsia="仿宋_GB2312" w:cs="仿宋_GB2312"/>
          <w:sz w:val="32"/>
          <w:szCs w:val="32"/>
        </w:rPr>
        <w:t>%。决算数小于预算数的主要原因是公务用车购置及运行维护费减少</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44" w:name="_Toc15377217"/>
      <w:r>
        <w:rPr>
          <w:rFonts w:hint="eastAsia" w:eastAsia="楷体_GB2312" w:cs="楷体_GB2312"/>
          <w:b/>
          <w:sz w:val="32"/>
          <w:szCs w:val="32"/>
        </w:rPr>
        <w:t>（二）“三公”经费财政拨款支出决算具体情况说明</w:t>
      </w:r>
      <w:bookmarkEnd w:id="44"/>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lang w:val="en-US" w:eastAsia="zh-CN"/>
        </w:rPr>
        <w:t>2024</w:t>
      </w:r>
      <w:r>
        <w:rPr>
          <w:rFonts w:hint="eastAsia" w:ascii="仿宋_GB2312" w:hAnsi="仿宋_GB2312" w:eastAsia="仿宋_GB2312" w:cs="仿宋_GB2312"/>
          <w:sz w:val="32"/>
          <w:szCs w:val="32"/>
        </w:rPr>
        <w:t>年度“三公”经费财政拨款支出决算中，因公出国（境）费支出决算</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；公务用车购置及运行维护费支出决算</w:t>
      </w:r>
      <w:r>
        <w:rPr>
          <w:rFonts w:hint="eastAsia" w:eastAsia="仿宋_GB2312" w:cs="仿宋_GB2312"/>
          <w:sz w:val="32"/>
          <w:szCs w:val="32"/>
          <w:lang w:val="en-US" w:eastAsia="zh-CN"/>
        </w:rPr>
        <w:t>16.91</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98.8%</w:t>
      </w:r>
      <w:r>
        <w:rPr>
          <w:rFonts w:hint="eastAsia" w:ascii="仿宋_GB2312" w:hAnsi="仿宋_GB2312" w:eastAsia="仿宋_GB2312" w:cs="仿宋_GB2312"/>
          <w:sz w:val="32"/>
          <w:szCs w:val="32"/>
        </w:rPr>
        <w:t>；公务接待费支出决算</w:t>
      </w:r>
      <w:r>
        <w:rPr>
          <w:rFonts w:hint="eastAsia" w:eastAsia="仿宋_GB2312" w:cs="仿宋_GB2312"/>
          <w:sz w:val="32"/>
          <w:szCs w:val="32"/>
          <w:lang w:val="en-US" w:eastAsia="zh-CN"/>
        </w:rPr>
        <w:t>0.2万元</w:t>
      </w:r>
      <w:r>
        <w:rPr>
          <w:rFonts w:hint="eastAsia" w:ascii="仿宋_GB2312" w:hAnsi="仿宋_GB2312" w:eastAsia="仿宋_GB2312" w:cs="仿宋_GB2312"/>
          <w:sz w:val="32"/>
          <w:szCs w:val="32"/>
        </w:rPr>
        <w:t>，占</w:t>
      </w:r>
      <w:r>
        <w:rPr>
          <w:rFonts w:hint="eastAsia" w:eastAsia="仿宋_GB2312" w:cs="仿宋_GB2312"/>
          <w:sz w:val="32"/>
          <w:szCs w:val="32"/>
          <w:lang w:val="en-US" w:eastAsia="zh-CN"/>
        </w:rPr>
        <w:t>1.2%</w:t>
      </w:r>
      <w:r>
        <w:rPr>
          <w:rFonts w:hint="eastAsia" w:ascii="仿宋_GB2312" w:hAnsi="仿宋_GB2312" w:eastAsia="仿宋_GB2312" w:cs="仿宋_GB2312"/>
          <w:sz w:val="32"/>
          <w:szCs w:val="32"/>
        </w:rPr>
        <w:t>。具体情况如下：</w:t>
      </w:r>
    </w:p>
    <w:p>
      <w:pPr>
        <w:pStyle w:val="3"/>
        <w:jc w:val="center"/>
        <w:rPr>
          <w:rFonts w:hint="eastAsia" w:ascii="仿宋_GB2312" w:hAnsi="仿宋_GB2312" w:eastAsia="仿宋_GB2312" w:cs="仿宋_GB2312"/>
          <w:sz w:val="32"/>
          <w:szCs w:val="32"/>
        </w:rPr>
      </w:pPr>
      <w:r>
        <w:drawing>
          <wp:inline distT="0" distB="0" distL="114300" distR="114300">
            <wp:extent cx="4794885" cy="2497455"/>
            <wp:effectExtent l="4445" t="4445" r="20320" b="12700"/>
            <wp:docPr id="25150"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jc w:val="center"/>
        <w:rPr>
          <w:rFonts w:hint="eastAsia" w:eastAsia="仿宋_GB2312" w:cs="仿宋_GB2312"/>
          <w:sz w:val="32"/>
          <w:szCs w:val="32"/>
        </w:rPr>
      </w:pPr>
      <w:r>
        <w:rPr>
          <w:rFonts w:hint="eastAsia" w:eastAsia="仿宋_GB2312" w:cs="仿宋_GB2312"/>
          <w:sz w:val="32"/>
          <w:szCs w:val="32"/>
        </w:rPr>
        <w:t>（图7：“三公”经费财政拨款支出结构）</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1.因公出国（境）经费支出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w:t>
      </w:r>
      <w:r>
        <w:rPr>
          <w:rFonts w:hint="eastAsia" w:eastAsia="仿宋_GB2312" w:cs="仿宋_GB2312"/>
          <w:sz w:val="32"/>
          <w:szCs w:val="32"/>
          <w:lang w:val="en-US" w:eastAsia="zh-CN"/>
        </w:rPr>
        <w:t>0</w:t>
      </w:r>
      <w:r>
        <w:rPr>
          <w:rFonts w:hint="eastAsia" w:eastAsia="仿宋_GB2312" w:cs="仿宋_GB2312"/>
          <w:sz w:val="32"/>
          <w:szCs w:val="32"/>
        </w:rPr>
        <w:t>次，出国（境）</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eastAsia="仿宋_GB2312" w:cs="仿宋_GB2312"/>
          <w:sz w:val="32"/>
          <w:szCs w:val="32"/>
        </w:rPr>
        <w:t>。因公出国（境）支出决算</w:t>
      </w:r>
      <w:r>
        <w:rPr>
          <w:rFonts w:hint="eastAsia" w:eastAsia="仿宋_GB2312" w:cs="仿宋_GB2312"/>
          <w:sz w:val="32"/>
          <w:szCs w:val="32"/>
          <w:lang w:val="en-US" w:eastAsia="zh-CN"/>
        </w:rPr>
        <w:t>与2023</w:t>
      </w:r>
      <w:r>
        <w:rPr>
          <w:rFonts w:hint="eastAsia" w:eastAsia="仿宋_GB2312" w:cs="仿宋_GB2312"/>
          <w:sz w:val="32"/>
          <w:szCs w:val="32"/>
        </w:rPr>
        <w:t>年</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r>
        <w:rPr>
          <w:rFonts w:hint="eastAsia" w:eastAsia="仿宋_GB2312" w:cs="仿宋_GB2312"/>
          <w:b/>
          <w:bCs/>
          <w:sz w:val="32"/>
          <w:szCs w:val="32"/>
        </w:rPr>
        <w:t>2.公务用车购置及运行维护费支出</w:t>
      </w:r>
      <w:r>
        <w:rPr>
          <w:rFonts w:hint="eastAsia" w:ascii="仿宋_GB2312" w:hAnsi="仿宋_GB2312" w:eastAsia="仿宋_GB2312" w:cs="仿宋_GB2312"/>
          <w:b/>
          <w:bCs/>
          <w:sz w:val="32"/>
          <w:szCs w:val="32"/>
          <w:lang w:val="en-US" w:eastAsia="zh-CN"/>
        </w:rPr>
        <w:t>16.91</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97.8</w:t>
      </w:r>
      <w:r>
        <w:rPr>
          <w:rFonts w:hint="eastAsia" w:eastAsia="仿宋_GB2312" w:cs="仿宋_GB2312"/>
          <w:b/>
          <w:bCs/>
          <w:sz w:val="32"/>
          <w:szCs w:val="32"/>
        </w:rPr>
        <w:t>%。</w:t>
      </w:r>
      <w:r>
        <w:rPr>
          <w:rFonts w:hint="eastAsia" w:eastAsia="仿宋_GB2312" w:cs="仿宋_GB2312"/>
          <w:sz w:val="32"/>
          <w:szCs w:val="32"/>
        </w:rPr>
        <w:t>公务用车购置及运行维护费支出决算比2023年度减少</w:t>
      </w:r>
      <w:r>
        <w:rPr>
          <w:rFonts w:hint="eastAsia" w:eastAsia="仿宋_GB2312" w:cs="仿宋_GB2312"/>
          <w:sz w:val="32"/>
          <w:szCs w:val="32"/>
          <w:lang w:val="en-US" w:eastAsia="zh-CN"/>
        </w:rPr>
        <w:t>2.06</w:t>
      </w:r>
      <w:r>
        <w:rPr>
          <w:rFonts w:hint="eastAsia" w:eastAsia="仿宋_GB2312" w:cs="仿宋_GB2312"/>
          <w:sz w:val="32"/>
          <w:szCs w:val="32"/>
        </w:rPr>
        <w:t>万元下降</w:t>
      </w:r>
      <w:r>
        <w:rPr>
          <w:rFonts w:hint="eastAsia" w:eastAsia="仿宋_GB2312" w:cs="仿宋_GB2312"/>
          <w:sz w:val="32"/>
          <w:szCs w:val="32"/>
          <w:lang w:val="en-US" w:eastAsia="zh-CN"/>
        </w:rPr>
        <w:t>10.9</w:t>
      </w:r>
      <w:r>
        <w:rPr>
          <w:rFonts w:hint="eastAsia" w:eastAsia="仿宋_GB2312" w:cs="仿宋_GB2312"/>
          <w:sz w:val="32"/>
          <w:szCs w:val="32"/>
        </w:rPr>
        <w:t>%。主要原因是公务用车购置及运行维护费减少</w:t>
      </w:r>
      <w:r>
        <w:rPr>
          <w:rFonts w:hint="eastAsia" w:eastAsia="仿宋_GB2312" w:cs="仿宋_GB2312"/>
          <w:sz w:val="32"/>
          <w:szCs w:val="32"/>
          <w:lang w:eastAsia="zh-CN"/>
        </w:rPr>
        <w:t>。</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eastAsia="仿宋_GB2312" w:cs="仿宋_GB2312"/>
          <w:sz w:val="32"/>
          <w:szCs w:val="32"/>
        </w:rPr>
        <w:t>万元。全年按规定更新购置公务用车</w:t>
      </w:r>
      <w:r>
        <w:rPr>
          <w:rFonts w:hint="eastAsia" w:eastAsia="仿宋_GB2312" w:cs="仿宋_GB2312"/>
          <w:sz w:val="32"/>
          <w:szCs w:val="32"/>
          <w:lang w:val="en-US" w:eastAsia="zh-CN"/>
        </w:rPr>
        <w:t>0</w:t>
      </w:r>
      <w:r>
        <w:rPr>
          <w:rFonts w:hint="eastAsia" w:eastAsia="仿宋_GB2312" w:cs="仿宋_GB2312"/>
          <w:sz w:val="32"/>
          <w:szCs w:val="32"/>
        </w:rPr>
        <w:t>辆。截至2024年12月31日，单位共有公务用车</w:t>
      </w:r>
      <w:r>
        <w:rPr>
          <w:rFonts w:hint="eastAsia" w:eastAsia="仿宋_GB2312" w:cs="仿宋_GB2312"/>
          <w:sz w:val="32"/>
          <w:szCs w:val="32"/>
          <w:lang w:val="en-US" w:eastAsia="zh-CN"/>
        </w:rPr>
        <w:t>3</w:t>
      </w:r>
      <w:r>
        <w:rPr>
          <w:rFonts w:hint="eastAsia" w:eastAsia="仿宋_GB2312" w:cs="仿宋_GB2312"/>
          <w:sz w:val="32"/>
          <w:szCs w:val="32"/>
        </w:rPr>
        <w:t>辆，其中：轿车</w:t>
      </w:r>
      <w:r>
        <w:rPr>
          <w:rFonts w:hint="eastAsia" w:eastAsia="仿宋_GB2312" w:cs="仿宋_GB2312"/>
          <w:sz w:val="32"/>
          <w:szCs w:val="32"/>
          <w:lang w:val="en-US" w:eastAsia="zh-CN"/>
        </w:rPr>
        <w:t>1</w:t>
      </w:r>
      <w:r>
        <w:rPr>
          <w:rFonts w:hint="eastAsia" w:eastAsia="仿宋_GB2312" w:cs="仿宋_GB2312"/>
          <w:sz w:val="32"/>
          <w:szCs w:val="32"/>
        </w:rPr>
        <w:t>辆、越野车</w:t>
      </w:r>
      <w:r>
        <w:rPr>
          <w:rFonts w:hint="eastAsia" w:eastAsia="仿宋_GB2312" w:cs="仿宋_GB2312"/>
          <w:sz w:val="32"/>
          <w:szCs w:val="32"/>
          <w:lang w:val="en-US" w:eastAsia="zh-CN"/>
        </w:rPr>
        <w:t>1</w:t>
      </w:r>
      <w:r>
        <w:rPr>
          <w:rFonts w:hint="eastAsia" w:eastAsia="仿宋_GB2312" w:cs="仿宋_GB2312"/>
          <w:sz w:val="32"/>
          <w:szCs w:val="32"/>
        </w:rPr>
        <w:t>辆、其他车型</w:t>
      </w:r>
      <w:r>
        <w:rPr>
          <w:rFonts w:hint="eastAsia" w:eastAsia="仿宋_GB2312" w:cs="仿宋_GB2312"/>
          <w:sz w:val="32"/>
          <w:szCs w:val="32"/>
          <w:lang w:val="en-US" w:eastAsia="zh-CN"/>
        </w:rPr>
        <w:t>1</w:t>
      </w:r>
      <w:r>
        <w:rPr>
          <w:rFonts w:hint="eastAsia" w:eastAsia="仿宋_GB2312" w:cs="仿宋_GB2312"/>
          <w:sz w:val="32"/>
          <w:szCs w:val="32"/>
        </w:rPr>
        <w:t>辆。</w:t>
      </w:r>
    </w:p>
    <w:p>
      <w:pPr>
        <w:spacing w:line="600" w:lineRule="exact"/>
        <w:ind w:firstLine="640"/>
        <w:rPr>
          <w:rFonts w:hint="eastAsia"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16.91</w:t>
      </w:r>
      <w:r>
        <w:rPr>
          <w:rFonts w:hint="eastAsia" w:eastAsia="仿宋_GB2312" w:cs="仿宋_GB2312"/>
          <w:sz w:val="32"/>
          <w:szCs w:val="32"/>
        </w:rPr>
        <w:t>万元。主要用于公路养护等工作所需的公务用车燃料费、维修费、过路过桥费、保险费等支出。</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lang w:val="en-US" w:eastAsia="zh-CN"/>
        </w:rPr>
        <w:t>0.2</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公务接待费支出决算比2023年度减少</w:t>
      </w:r>
      <w:r>
        <w:rPr>
          <w:rFonts w:hint="eastAsia" w:eastAsia="仿宋_GB2312" w:cs="仿宋_GB2312"/>
          <w:sz w:val="32"/>
          <w:szCs w:val="32"/>
          <w:lang w:val="en-US" w:eastAsia="zh-CN"/>
        </w:rPr>
        <w:t>0.2</w:t>
      </w:r>
      <w:r>
        <w:rPr>
          <w:rFonts w:hint="eastAsia" w:eastAsia="仿宋_GB2312" w:cs="仿宋_GB2312"/>
          <w:sz w:val="32"/>
          <w:szCs w:val="32"/>
        </w:rPr>
        <w:t>万元，下降</w:t>
      </w:r>
      <w:r>
        <w:rPr>
          <w:rFonts w:hint="eastAsia" w:eastAsia="仿宋_GB2312" w:cs="仿宋_GB2312"/>
          <w:sz w:val="32"/>
          <w:szCs w:val="32"/>
          <w:lang w:val="en-US" w:eastAsia="zh-CN"/>
        </w:rPr>
        <w:t>50</w:t>
      </w:r>
      <w:r>
        <w:rPr>
          <w:rFonts w:hint="eastAsia" w:eastAsia="仿宋_GB2312" w:cs="仿宋_GB2312"/>
          <w:sz w:val="32"/>
          <w:szCs w:val="32"/>
        </w:rPr>
        <w:t>%。主要原因是</w:t>
      </w:r>
      <w:r>
        <w:rPr>
          <w:rFonts w:hint="eastAsia" w:eastAsia="仿宋_GB2312" w:cs="仿宋_GB2312"/>
          <w:sz w:val="32"/>
          <w:szCs w:val="32"/>
          <w:lang w:val="en-US" w:eastAsia="zh-CN"/>
        </w:rPr>
        <w:t>厉行节约，严格控制公务接待支出</w:t>
      </w:r>
      <w:r>
        <w:rPr>
          <w:rFonts w:hint="eastAsia" w:eastAsia="仿宋_GB2312" w:cs="仿宋_GB2312"/>
          <w:sz w:val="32"/>
          <w:szCs w:val="32"/>
        </w:rPr>
        <w:t>。其中：</w:t>
      </w:r>
    </w:p>
    <w:p>
      <w:pPr>
        <w:spacing w:line="600" w:lineRule="exact"/>
        <w:ind w:firstLine="640"/>
        <w:rPr>
          <w:rFonts w:hint="default" w:eastAsia="仿宋_GB2312" w:cs="仿宋_GB2312"/>
          <w:sz w:val="32"/>
          <w:szCs w:val="32"/>
          <w:highlight w:val="none"/>
          <w:lang w:val="en-US"/>
        </w:rPr>
      </w:pPr>
      <w:r>
        <w:rPr>
          <w:rFonts w:hint="eastAsia" w:eastAsia="仿宋_GB2312" w:cs="仿宋_GB2312"/>
          <w:sz w:val="32"/>
          <w:szCs w:val="32"/>
          <w:highlight w:val="none"/>
        </w:rPr>
        <w:t>国内公务接待支</w:t>
      </w:r>
      <w:r>
        <w:rPr>
          <w:rFonts w:hint="eastAsia" w:ascii="仿宋_GB2312" w:hAnsi="仿宋_GB2312" w:eastAsia="仿宋_GB2312" w:cs="仿宋_GB2312"/>
          <w:sz w:val="32"/>
          <w:szCs w:val="32"/>
          <w:highlight w:val="none"/>
        </w:rPr>
        <w:t>出</w:t>
      </w:r>
      <w:r>
        <w:rPr>
          <w:rFonts w:hint="eastAsia" w:eastAsia="仿宋_GB2312" w:cs="仿宋_GB2312"/>
          <w:sz w:val="32"/>
          <w:szCs w:val="32"/>
          <w:lang w:val="en-US" w:eastAsia="zh-CN"/>
        </w:rPr>
        <w:t>0.2</w:t>
      </w:r>
      <w:r>
        <w:rPr>
          <w:rFonts w:hint="eastAsia" w:ascii="仿宋_GB2312" w:hAnsi="仿宋_GB2312" w:eastAsia="仿宋_GB2312" w:cs="仿宋_GB2312"/>
          <w:sz w:val="32"/>
          <w:szCs w:val="32"/>
          <w:highlight w:val="none"/>
        </w:rPr>
        <w:t>万</w:t>
      </w:r>
      <w:r>
        <w:rPr>
          <w:rFonts w:hint="eastAsia" w:eastAsia="仿宋_GB2312" w:cs="仿宋_GB2312"/>
          <w:sz w:val="32"/>
          <w:szCs w:val="32"/>
          <w:highlight w:val="none"/>
        </w:rPr>
        <w:t>元，主要用于分局间相互交流学习及州公路局开展全州国省干线公路季度考核工作期间发生的交通费、住宿费、用餐费等。国内公务接</w:t>
      </w:r>
      <w:r>
        <w:rPr>
          <w:rFonts w:hint="eastAsia" w:ascii="仿宋_GB2312" w:hAnsi="仿宋_GB2312" w:eastAsia="仿宋_GB2312" w:cs="仿宋_GB2312"/>
          <w:sz w:val="32"/>
          <w:szCs w:val="32"/>
          <w:highlight w:val="none"/>
        </w:rPr>
        <w:t>待</w:t>
      </w:r>
      <w:r>
        <w:rPr>
          <w:rFonts w:hint="eastAsia" w:eastAsia="仿宋_GB2312" w:cs="仿宋_GB2312"/>
          <w:sz w:val="32"/>
          <w:szCs w:val="32"/>
          <w:lang w:val="en-US" w:eastAsia="zh-CN"/>
        </w:rPr>
        <w:t>3</w:t>
      </w:r>
      <w:r>
        <w:rPr>
          <w:rFonts w:hint="eastAsia" w:ascii="仿宋_GB2312" w:hAnsi="仿宋_GB2312" w:eastAsia="仿宋_GB2312" w:cs="仿宋_GB2312"/>
          <w:sz w:val="32"/>
          <w:szCs w:val="32"/>
          <w:highlight w:val="none"/>
        </w:rPr>
        <w:t>批次，</w:t>
      </w:r>
      <w:r>
        <w:rPr>
          <w:rFonts w:hint="eastAsia" w:eastAsia="仿宋_GB2312" w:cs="仿宋_GB2312"/>
          <w:sz w:val="32"/>
          <w:szCs w:val="32"/>
          <w:lang w:val="en-US" w:eastAsia="zh-CN"/>
        </w:rPr>
        <w:t>41</w:t>
      </w:r>
      <w:r>
        <w:rPr>
          <w:rFonts w:hint="eastAsia" w:eastAsia="仿宋_GB2312" w:cs="仿宋_GB2312"/>
          <w:sz w:val="32"/>
          <w:szCs w:val="32"/>
          <w:highlight w:val="none"/>
        </w:rPr>
        <w:t>人次（不包括陪同人员），共计支出</w:t>
      </w:r>
      <w:r>
        <w:rPr>
          <w:rFonts w:hint="eastAsia" w:eastAsia="仿宋_GB2312" w:cs="仿宋_GB2312"/>
          <w:sz w:val="32"/>
          <w:szCs w:val="32"/>
          <w:highlight w:val="none"/>
          <w:lang w:val="en-US" w:eastAsia="zh-CN"/>
        </w:rPr>
        <w:t>0.2</w:t>
      </w:r>
      <w:r>
        <w:rPr>
          <w:rFonts w:hint="eastAsia" w:eastAsia="仿宋_GB2312" w:cs="仿宋_GB2312"/>
          <w:sz w:val="32"/>
          <w:szCs w:val="32"/>
          <w:highlight w:val="none"/>
        </w:rPr>
        <w:t>万元，具体内容包括：</w:t>
      </w:r>
      <w:r>
        <w:rPr>
          <w:rFonts w:hint="eastAsia" w:eastAsia="仿宋_GB2312" w:cs="仿宋_GB2312"/>
          <w:sz w:val="32"/>
          <w:szCs w:val="32"/>
          <w:highlight w:val="none"/>
          <w:lang w:val="en-US" w:eastAsia="zh-CN"/>
        </w:rPr>
        <w:t>1.</w:t>
      </w:r>
      <w:r>
        <w:rPr>
          <w:rFonts w:hint="eastAsia" w:eastAsia="仿宋_GB2312" w:cs="仿宋_GB2312"/>
          <w:sz w:val="32"/>
          <w:szCs w:val="32"/>
          <w:highlight w:val="none"/>
        </w:rPr>
        <w:t>马尔康公路管理分局开展学习交流养护管理工作</w:t>
      </w:r>
      <w:r>
        <w:rPr>
          <w:rFonts w:hint="eastAsia" w:eastAsia="仿宋_GB2312" w:cs="仿宋_GB2312"/>
          <w:sz w:val="32"/>
          <w:szCs w:val="32"/>
          <w:highlight w:val="none"/>
          <w:lang w:val="en-US" w:eastAsia="zh-CN"/>
        </w:rPr>
        <w:t>共计接待支出1145元；2.州公路局开展年终考核慰问工作共计接待支出340元；</w:t>
      </w:r>
      <w:r>
        <w:rPr>
          <w:rFonts w:hint="eastAsia" w:eastAsia="仿宋_GB2312" w:cs="仿宋_GB2312"/>
          <w:sz w:val="32"/>
          <w:szCs w:val="32"/>
          <w:lang w:val="en-US" w:eastAsia="zh-CN"/>
        </w:rPr>
        <w:t>3.</w:t>
      </w:r>
      <w:r>
        <w:rPr>
          <w:rFonts w:hint="eastAsia" w:eastAsia="仿宋_GB2312" w:cs="仿宋_GB2312"/>
          <w:sz w:val="32"/>
          <w:szCs w:val="32"/>
          <w:highlight w:val="none"/>
          <w:lang w:val="en-US" w:eastAsia="zh-CN"/>
        </w:rPr>
        <w:t>州公路局开展全州国省干线公路第三、第四季度考核工作共计接待支出540元。</w:t>
      </w:r>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外事接待支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bookmarkStart w:id="45" w:name="_Toc15377218"/>
      <w:bookmarkStart w:id="46" w:name="_Toc15396610"/>
      <w:r>
        <w:rPr>
          <w:rFonts w:hint="eastAsia" w:ascii="仿宋_GB2312" w:hAnsi="仿宋_GB2312" w:eastAsia="仿宋_GB2312" w:cs="仿宋_GB2312"/>
          <w:sz w:val="32"/>
          <w:szCs w:val="32"/>
          <w:lang w:eastAsia="zh-CN"/>
        </w:rPr>
        <w:t>。</w:t>
      </w:r>
    </w:p>
    <w:p>
      <w:pPr>
        <w:spacing w:line="600" w:lineRule="exact"/>
        <w:ind w:firstLine="640"/>
        <w:outlineLvl w:val="1"/>
        <w:rPr>
          <w:rStyle w:val="29"/>
          <w:rFonts w:ascii="Times New Roman" w:hAnsi="Times New Roman" w:eastAsia="黑体"/>
        </w:rPr>
      </w:pPr>
      <w:bookmarkStart w:id="47" w:name="_Toc30364"/>
      <w:r>
        <w:rPr>
          <w:rFonts w:hint="eastAsia" w:eastAsia="黑体"/>
          <w:sz w:val="32"/>
          <w:szCs w:val="32"/>
        </w:rPr>
        <w:t>八、</w:t>
      </w:r>
      <w:r>
        <w:rPr>
          <w:rStyle w:val="29"/>
          <w:rFonts w:hint="eastAsia" w:ascii="Times New Roman" w:hAnsi="Times New Roman" w:eastAsia="黑体"/>
          <w:b w:val="0"/>
        </w:rPr>
        <w:t>政府性基金预算支出决算情况说明</w:t>
      </w:r>
      <w:bookmarkEnd w:id="45"/>
      <w:bookmarkEnd w:id="46"/>
      <w:bookmarkEnd w:id="47"/>
    </w:p>
    <w:p>
      <w:pPr>
        <w:spacing w:line="600" w:lineRule="exact"/>
        <w:ind w:firstLine="640"/>
        <w:rPr>
          <w:rFonts w:hint="eastAsia"/>
          <w:lang w:eastAsia="zh-CN"/>
        </w:rPr>
      </w:pPr>
      <w:r>
        <w:rPr>
          <w:rFonts w:hint="eastAsia" w:eastAsia="仿宋_GB2312" w:cs="仿宋_GB2312"/>
          <w:sz w:val="32"/>
          <w:szCs w:val="32"/>
        </w:rPr>
        <w:t>2024</w:t>
      </w:r>
      <w:r>
        <w:rPr>
          <w:rFonts w:hint="eastAsia" w:ascii="仿宋_GB2312" w:hAnsi="仿宋_GB2312" w:eastAsia="仿宋_GB2312" w:cs="仿宋_GB2312"/>
          <w:sz w:val="32"/>
          <w:szCs w:val="32"/>
        </w:rPr>
        <w:t>年度政府性基金预算财政拨款支出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48" w:name="_Toc15396611"/>
      <w:bookmarkStart w:id="49" w:name="_Toc15377219"/>
      <w:bookmarkStart w:id="50" w:name="_Toc11922"/>
      <w:r>
        <w:rPr>
          <w:rStyle w:val="29"/>
          <w:rFonts w:hint="eastAsia" w:ascii="Times New Roman" w:hAnsi="Times New Roman" w:eastAsia="黑体"/>
          <w:b w:val="0"/>
        </w:rPr>
        <w:t>九、国有资本经营预算支出决算情况说明</w:t>
      </w:r>
      <w:bookmarkEnd w:id="48"/>
      <w:bookmarkEnd w:id="49"/>
      <w:bookmarkEnd w:id="50"/>
    </w:p>
    <w:p>
      <w:pPr>
        <w:spacing w:line="600" w:lineRule="exact"/>
        <w:ind w:firstLine="640"/>
        <w:rPr>
          <w:rFonts w:hint="eastAsia"/>
          <w:lang w:eastAsia="zh-CN"/>
        </w:rPr>
      </w:pPr>
      <w:r>
        <w:rPr>
          <w:rFonts w:hint="eastAsia" w:eastAsia="仿宋_GB2312" w:cs="仿宋_GB2312"/>
          <w:sz w:val="32"/>
          <w:szCs w:val="32"/>
        </w:rPr>
        <w:t>2024年度国有资本经营预算财政拨款支出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eastAsia="仿宋_GB2312" w:cs="仿宋_GB2312"/>
          <w:sz w:val="32"/>
          <w:szCs w:val="32"/>
        </w:rPr>
        <w:t>。与2023年度</w:t>
      </w:r>
      <w:r>
        <w:rPr>
          <w:rFonts w:hint="eastAsia" w:eastAsia="仿宋_GB2312" w:cs="仿宋_GB2312"/>
          <w:sz w:val="32"/>
          <w:szCs w:val="32"/>
          <w:lang w:val="en-US" w:eastAsia="zh-CN"/>
        </w:rPr>
        <w:t>一致</w:t>
      </w:r>
      <w:r>
        <w:rPr>
          <w:rFonts w:hint="eastAsia" w:eastAsia="仿宋_GB2312" w:cs="仿宋_GB2312"/>
          <w:sz w:val="32"/>
          <w:szCs w:val="32"/>
          <w:lang w:eastAsia="zh-CN"/>
        </w:rPr>
        <w:t>。</w:t>
      </w:r>
    </w:p>
    <w:p>
      <w:pPr>
        <w:spacing w:line="600" w:lineRule="exact"/>
        <w:ind w:left="630"/>
        <w:outlineLvl w:val="1"/>
        <w:rPr>
          <w:rStyle w:val="29"/>
          <w:rFonts w:ascii="Times New Roman" w:hAnsi="Times New Roman" w:eastAsia="黑体"/>
          <w:b w:val="0"/>
        </w:rPr>
      </w:pPr>
      <w:bookmarkStart w:id="51" w:name="_Toc15396612"/>
      <w:bookmarkStart w:id="52" w:name="_Toc9568"/>
      <w:bookmarkStart w:id="53" w:name="_Toc15377221"/>
      <w:r>
        <w:rPr>
          <w:rStyle w:val="29"/>
          <w:rFonts w:hint="eastAsia" w:ascii="Times New Roman" w:hAnsi="Times New Roman" w:eastAsia="黑体"/>
          <w:b w:val="0"/>
        </w:rPr>
        <w:t>十、其他重要事项的情况说明</w:t>
      </w:r>
      <w:bookmarkEnd w:id="51"/>
      <w:bookmarkEnd w:id="52"/>
      <w:bookmarkEnd w:id="53"/>
    </w:p>
    <w:p>
      <w:pPr>
        <w:spacing w:line="600" w:lineRule="exact"/>
        <w:ind w:firstLine="643" w:firstLineChars="200"/>
        <w:outlineLvl w:val="2"/>
        <w:rPr>
          <w:rFonts w:eastAsia="楷体_GB2312" w:cs="楷体_GB2312"/>
          <w:b/>
          <w:sz w:val="32"/>
          <w:szCs w:val="32"/>
        </w:rPr>
      </w:pPr>
      <w:bookmarkStart w:id="54" w:name="_Toc15377222"/>
      <w:r>
        <w:rPr>
          <w:rFonts w:hint="eastAsia" w:eastAsia="楷体_GB2312" w:cs="楷体_GB2312"/>
          <w:b/>
          <w:sz w:val="32"/>
          <w:szCs w:val="32"/>
        </w:rPr>
        <w:t>（一）机关运行经费支出情况</w:t>
      </w:r>
      <w:bookmarkEnd w:id="54"/>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阿坝藏族羌族自治州公路管理局红原公路管理分局</w:t>
      </w:r>
      <w:r>
        <w:rPr>
          <w:rFonts w:hint="eastAsia" w:ascii="仿宋_GB2312" w:hAnsi="仿宋_GB2312" w:eastAsia="仿宋_GB2312" w:cs="仿宋_GB2312"/>
          <w:sz w:val="32"/>
          <w:szCs w:val="32"/>
        </w:rPr>
        <w:t>机关运行经费支出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元，与2023年度决算数持平</w:t>
      </w:r>
      <w:r>
        <w:rPr>
          <w:rFonts w:hint="eastAsia" w:eastAsia="仿宋_GB2312" w:cs="仿宋_GB2312"/>
          <w:sz w:val="32"/>
          <w:szCs w:val="32"/>
          <w:lang w:eastAsia="zh-CN"/>
        </w:rPr>
        <w:t>。</w:t>
      </w:r>
    </w:p>
    <w:p>
      <w:pPr>
        <w:spacing w:line="600" w:lineRule="exact"/>
        <w:ind w:firstLine="643" w:firstLineChars="200"/>
        <w:outlineLvl w:val="2"/>
        <w:rPr>
          <w:rFonts w:eastAsia="楷体_GB2312" w:cs="楷体_GB2312"/>
          <w:b/>
          <w:sz w:val="32"/>
          <w:szCs w:val="32"/>
        </w:rPr>
      </w:pPr>
      <w:bookmarkStart w:id="55" w:name="_Toc15377223"/>
      <w:r>
        <w:rPr>
          <w:rFonts w:hint="eastAsia" w:eastAsia="楷体_GB2312" w:cs="楷体_GB2312"/>
          <w:b/>
          <w:sz w:val="32"/>
          <w:szCs w:val="32"/>
        </w:rPr>
        <w:t>（二）政府采购支出情况</w:t>
      </w:r>
      <w:bookmarkEnd w:id="55"/>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rPr>
        <w:t>2024</w:t>
      </w:r>
      <w:r>
        <w:rPr>
          <w:rFonts w:hint="eastAsia" w:ascii="仿宋_GB2312" w:hAnsi="仿宋_GB2312" w:eastAsia="仿宋_GB2312" w:cs="仿宋_GB2312"/>
          <w:sz w:val="32"/>
          <w:szCs w:val="32"/>
        </w:rPr>
        <w:t>年度，阿坝藏族羌族自治州公路管理局红原公路管理分局政府采购支出总额</w:t>
      </w:r>
      <w:r>
        <w:rPr>
          <w:rFonts w:hint="eastAsia" w:eastAsia="仿宋_GB2312" w:cs="仿宋_GB2312"/>
          <w:sz w:val="32"/>
          <w:szCs w:val="32"/>
        </w:rPr>
        <w:t>15.57</w:t>
      </w:r>
      <w:r>
        <w:rPr>
          <w:rFonts w:hint="eastAsia" w:ascii="仿宋_GB2312" w:hAnsi="仿宋_GB2312" w:eastAsia="仿宋_GB2312" w:cs="仿宋_GB2312"/>
          <w:sz w:val="32"/>
          <w:szCs w:val="32"/>
        </w:rPr>
        <w:t>万元，其中：政府采购货物支出</w:t>
      </w:r>
      <w:r>
        <w:rPr>
          <w:rFonts w:hint="eastAsia" w:eastAsia="仿宋_GB2312" w:cs="仿宋_GB2312"/>
          <w:sz w:val="32"/>
          <w:szCs w:val="32"/>
        </w:rPr>
        <w:t>5.21</w:t>
      </w:r>
      <w:r>
        <w:rPr>
          <w:rFonts w:hint="eastAsia" w:ascii="仿宋_GB2312" w:hAnsi="仿宋_GB2312" w:eastAsia="仿宋_GB2312" w:cs="仿宋_GB2312"/>
          <w:sz w:val="32"/>
          <w:szCs w:val="32"/>
        </w:rPr>
        <w:t>万元、政府采购工程支出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万元、政府采购服务支</w:t>
      </w:r>
      <w:r>
        <w:rPr>
          <w:rFonts w:hint="eastAsia" w:ascii="仿宋_GB2312" w:hAnsi="仿宋_GB2312" w:eastAsia="仿宋_GB2312" w:cs="仿宋_GB2312"/>
          <w:sz w:val="32"/>
          <w:szCs w:val="32"/>
          <w:lang w:val="en-US" w:eastAsia="zh-CN"/>
        </w:rPr>
        <w:t>出</w:t>
      </w:r>
      <w:r>
        <w:rPr>
          <w:rFonts w:hint="eastAsia" w:eastAsia="仿宋_GB2312" w:cs="仿宋_GB2312"/>
          <w:sz w:val="32"/>
          <w:szCs w:val="32"/>
          <w:lang w:val="en-US" w:eastAsia="zh-CN"/>
        </w:rPr>
        <w:t>10.35</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单位日常工作开展</w:t>
      </w:r>
      <w:r>
        <w:rPr>
          <w:rFonts w:hint="eastAsia" w:ascii="仿宋_GB2312" w:hAnsi="仿宋_GB2312" w:eastAsia="仿宋_GB2312" w:cs="仿宋_GB2312"/>
          <w:sz w:val="32"/>
          <w:szCs w:val="32"/>
        </w:rPr>
        <w:t>。授予中小企业合同金额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eastAsia="仿宋_GB2312" w:cs="仿宋_GB2312"/>
          <w:sz w:val="32"/>
          <w:szCs w:val="32"/>
          <w:lang w:val="en-US" w:eastAsia="zh-CN"/>
        </w:rPr>
        <w:t>0万</w:t>
      </w:r>
      <w:r>
        <w:rPr>
          <w:rFonts w:hint="eastAsia" w:ascii="仿宋_GB2312" w:hAnsi="仿宋_GB2312" w:eastAsia="仿宋_GB2312" w:cs="仿宋_GB2312"/>
          <w:sz w:val="32"/>
          <w:szCs w:val="32"/>
        </w:rPr>
        <w:t>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6" w:name="_Toc15377224"/>
      <w:r>
        <w:rPr>
          <w:rFonts w:hint="eastAsia" w:eastAsia="楷体_GB2312" w:cs="楷体_GB2312"/>
          <w:b/>
          <w:sz w:val="32"/>
          <w:szCs w:val="32"/>
        </w:rPr>
        <w:t>（三）国有资产占有使用情况</w:t>
      </w:r>
      <w:bookmarkEnd w:id="56"/>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w:t>
      </w:r>
      <w:r>
        <w:rPr>
          <w:rFonts w:hint="eastAsia" w:eastAsia="仿宋_GB2312" w:cs="仿宋_GB2312"/>
          <w:sz w:val="32"/>
          <w:szCs w:val="32"/>
          <w:lang w:val="en-US" w:eastAsia="zh-CN"/>
        </w:rPr>
        <w:t>至2024</w:t>
      </w:r>
      <w:r>
        <w:rPr>
          <w:rFonts w:hint="eastAsia" w:ascii="仿宋_GB2312" w:hAnsi="仿宋_GB2312" w:eastAsia="仿宋_GB2312" w:cs="仿宋_GB2312"/>
          <w:sz w:val="32"/>
          <w:szCs w:val="32"/>
        </w:rPr>
        <w:t>年</w:t>
      </w:r>
      <w:r>
        <w:rPr>
          <w:rFonts w:hint="eastAsia" w:eastAsia="仿宋_GB2312" w:cs="仿宋_GB2312"/>
          <w:sz w:val="32"/>
          <w:szCs w:val="32"/>
          <w:lang w:val="en-US" w:eastAsia="zh-CN"/>
        </w:rPr>
        <w:t>12</w:t>
      </w:r>
      <w:r>
        <w:rPr>
          <w:rFonts w:hint="eastAsia" w:ascii="仿宋_GB2312" w:hAnsi="仿宋_GB2312" w:eastAsia="仿宋_GB2312" w:cs="仿宋_GB2312"/>
          <w:sz w:val="32"/>
          <w:szCs w:val="32"/>
        </w:rPr>
        <w:t>月</w:t>
      </w:r>
      <w:r>
        <w:rPr>
          <w:rFonts w:hint="eastAsia" w:eastAsia="仿宋_GB2312" w:cs="仿宋_GB2312"/>
          <w:sz w:val="32"/>
          <w:szCs w:val="32"/>
          <w:lang w:val="en-US" w:eastAsia="zh-CN"/>
        </w:rPr>
        <w:t>31</w:t>
      </w:r>
      <w:r>
        <w:rPr>
          <w:rFonts w:hint="eastAsia" w:ascii="仿宋_GB2312" w:hAnsi="仿宋_GB2312" w:eastAsia="仿宋_GB2312" w:cs="仿宋_GB2312"/>
          <w:sz w:val="32"/>
          <w:szCs w:val="32"/>
        </w:rPr>
        <w:t>日，阿坝藏族羌族自治州公路管理局红原公路管理分局共有车辆</w:t>
      </w:r>
      <w:r>
        <w:rPr>
          <w:rFonts w:hint="eastAsia" w:eastAsia="仿宋_GB2312" w:cs="仿宋_GB2312"/>
          <w:sz w:val="32"/>
          <w:szCs w:val="32"/>
          <w:lang w:val="en-US" w:eastAsia="zh-CN"/>
        </w:rPr>
        <w:t>3</w:t>
      </w:r>
      <w:r>
        <w:rPr>
          <w:rFonts w:hint="eastAsia" w:ascii="仿宋_GB2312" w:hAnsi="仿宋_GB2312" w:eastAsia="仿宋_GB2312" w:cs="仿宋_GB2312"/>
          <w:sz w:val="32"/>
          <w:szCs w:val="32"/>
        </w:rPr>
        <w:t>辆，其中：主要负责人用车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辆、机要通信用车</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辆、应急保障用车</w:t>
      </w:r>
      <w:r>
        <w:rPr>
          <w:rFonts w:hint="eastAsia" w:eastAsia="仿宋_GB2312" w:cs="仿宋_GB2312"/>
          <w:sz w:val="32"/>
          <w:szCs w:val="32"/>
          <w:lang w:val="en-US" w:eastAsia="zh-CN"/>
        </w:rPr>
        <w:t>2</w:t>
      </w:r>
      <w:r>
        <w:rPr>
          <w:rFonts w:hint="eastAsia" w:ascii="仿宋_GB2312" w:hAnsi="仿宋_GB2312" w:eastAsia="仿宋_GB2312" w:cs="仿宋_GB2312"/>
          <w:sz w:val="32"/>
          <w:szCs w:val="32"/>
        </w:rPr>
        <w:t>辆、其他用车</w:t>
      </w:r>
      <w:r>
        <w:rPr>
          <w:rFonts w:hint="eastAsia" w:eastAsia="仿宋_GB2312" w:cs="仿宋_GB2312"/>
          <w:sz w:val="32"/>
          <w:szCs w:val="32"/>
          <w:lang w:val="en-US" w:eastAsia="zh-CN"/>
        </w:rPr>
        <w:t>1</w:t>
      </w:r>
      <w:r>
        <w:rPr>
          <w:rFonts w:hint="eastAsia" w:ascii="仿宋_GB2312" w:hAnsi="仿宋_GB2312" w:eastAsia="仿宋_GB2312" w:cs="仿宋_GB2312"/>
          <w:sz w:val="32"/>
          <w:szCs w:val="32"/>
        </w:rPr>
        <w:t>辆，其他用车主要是用于</w:t>
      </w:r>
      <w:r>
        <w:rPr>
          <w:rFonts w:hint="eastAsia" w:ascii="仿宋_GB2312" w:hAnsi="仿宋_GB2312" w:eastAsia="仿宋_GB2312" w:cs="仿宋_GB2312"/>
          <w:sz w:val="32"/>
          <w:szCs w:val="32"/>
          <w:lang w:val="en-US" w:eastAsia="zh-CN"/>
        </w:rPr>
        <w:t>单位日常工作运转</w:t>
      </w:r>
      <w:r>
        <w:rPr>
          <w:rFonts w:hint="eastAsia" w:ascii="仿宋_GB2312" w:hAnsi="仿宋_GB2312" w:eastAsia="仿宋_GB2312" w:cs="仿宋_GB2312"/>
          <w:sz w:val="32"/>
          <w:szCs w:val="32"/>
        </w:rPr>
        <w:t>。单价</w:t>
      </w:r>
      <w:r>
        <w:rPr>
          <w:rFonts w:hint="eastAsia" w:eastAsia="仿宋_GB2312" w:cs="仿宋_GB2312"/>
          <w:sz w:val="32"/>
          <w:szCs w:val="32"/>
          <w:lang w:val="en-US" w:eastAsia="zh-CN"/>
        </w:rPr>
        <w:t>100</w:t>
      </w:r>
      <w:r>
        <w:rPr>
          <w:rFonts w:hint="eastAsia" w:ascii="仿宋_GB2312" w:hAnsi="仿宋_GB2312" w:eastAsia="仿宋_GB2312" w:cs="仿宋_GB2312"/>
          <w:sz w:val="32"/>
          <w:szCs w:val="32"/>
        </w:rPr>
        <w:t>万元（含）以上设备（不含车辆）</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根据预算绩效管理要求，阿坝藏族羌族自治州公路管理局红原公路管理分局在2024年度预算编制阶段，组织对国省干线公路小修保养经费</w:t>
      </w:r>
      <w:r>
        <w:rPr>
          <w:rFonts w:hint="eastAsia" w:eastAsia="仿宋_GB2312" w:cs="仿宋_GB2312"/>
          <w:sz w:val="32"/>
          <w:szCs w:val="32"/>
          <w:lang w:eastAsia="zh-CN"/>
        </w:rPr>
        <w:t>、2022年交调站维护费、红原分局养护机械运行维护费、红原公路管理分局丧葬抚恤费、红原分局八一建军节慰问费、红原公路管理分局退休人员春节慰问费、红原分局水毁应急抢险、购买农村公路车辆保险</w:t>
      </w:r>
      <w:r>
        <w:rPr>
          <w:rFonts w:hint="eastAsia" w:eastAsia="仿宋_GB2312" w:cs="仿宋_GB2312"/>
          <w:sz w:val="32"/>
          <w:szCs w:val="32"/>
          <w:lang w:val="en-US" w:eastAsia="zh-CN"/>
        </w:rPr>
        <w:t>8</w:t>
      </w:r>
      <w:r>
        <w:rPr>
          <w:rFonts w:hint="eastAsia" w:eastAsia="仿宋_GB2312" w:cs="仿宋_GB2312"/>
          <w:sz w:val="32"/>
          <w:szCs w:val="32"/>
        </w:rPr>
        <w:t>个项目开展了预算事前绩效评估，对</w:t>
      </w:r>
      <w:r>
        <w:rPr>
          <w:rFonts w:hint="eastAsia" w:eastAsia="仿宋_GB2312" w:cs="仿宋_GB2312"/>
          <w:sz w:val="32"/>
          <w:szCs w:val="32"/>
          <w:lang w:val="en-US" w:eastAsia="zh-CN"/>
        </w:rPr>
        <w:t>8</w:t>
      </w:r>
      <w:r>
        <w:rPr>
          <w:rFonts w:hint="eastAsia" w:eastAsia="仿宋_GB2312" w:cs="仿宋_GB2312"/>
          <w:sz w:val="32"/>
          <w:szCs w:val="32"/>
        </w:rPr>
        <w:t>个项目编制了绩效目标，预算执行过程中，选取</w:t>
      </w:r>
      <w:r>
        <w:rPr>
          <w:rFonts w:hint="eastAsia" w:eastAsia="仿宋_GB2312" w:cs="仿宋_GB2312"/>
          <w:sz w:val="32"/>
          <w:szCs w:val="32"/>
          <w:lang w:val="en-US" w:eastAsia="zh-CN"/>
        </w:rPr>
        <w:t>8</w:t>
      </w:r>
      <w:r>
        <w:rPr>
          <w:rFonts w:hint="eastAsia" w:eastAsia="仿宋_GB2312" w:cs="仿宋_GB2312"/>
          <w:sz w:val="32"/>
          <w:szCs w:val="32"/>
        </w:rPr>
        <w:t>个项目开展绩效监控</w:t>
      </w:r>
      <w:r>
        <w:rPr>
          <w:rFonts w:hint="eastAsia" w:eastAsia="仿宋_GB2312" w:cs="仿宋_GB2312"/>
          <w:sz w:val="32"/>
          <w:szCs w:val="32"/>
          <w:lang w:eastAsia="zh-CN"/>
        </w:rPr>
        <w:t>，</w:t>
      </w:r>
      <w:r>
        <w:rPr>
          <w:rFonts w:hint="eastAsia" w:eastAsia="仿宋_GB2312" w:cs="仿宋_GB2312"/>
          <w:sz w:val="32"/>
          <w:szCs w:val="32"/>
        </w:rPr>
        <w:t>组织对</w:t>
      </w:r>
      <w:r>
        <w:rPr>
          <w:rFonts w:hint="eastAsia" w:eastAsia="仿宋_GB2312" w:cs="仿宋_GB2312"/>
          <w:sz w:val="32"/>
          <w:szCs w:val="32"/>
          <w:lang w:val="en-US" w:eastAsia="zh-CN"/>
        </w:rPr>
        <w:t>8</w:t>
      </w:r>
      <w:r>
        <w:rPr>
          <w:rFonts w:hint="eastAsia" w:eastAsia="仿宋_GB2312" w:cs="仿宋_GB2312"/>
          <w:sz w:val="32"/>
          <w:szCs w:val="32"/>
        </w:rPr>
        <w:t>个项目开展绩效自评，绩效自评表详见第四部分附件。</w:t>
      </w:r>
    </w:p>
    <w:p>
      <w:pPr>
        <w:spacing w:line="600" w:lineRule="exact"/>
        <w:ind w:firstLine="640"/>
        <w:rPr>
          <w:rFonts w:eastAsia="仿宋_GB2312" w:cs="仿宋_GB2312"/>
          <w:sz w:val="32"/>
          <w:szCs w:val="32"/>
        </w:rPr>
      </w:pPr>
    </w:p>
    <w:p>
      <w:pPr>
        <w:pStyle w:val="2"/>
        <w:rPr>
          <w:rFonts w:eastAsia="仿宋_GB2312" w:cs="仿宋_GB2312"/>
          <w:sz w:val="32"/>
          <w:szCs w:val="32"/>
        </w:rPr>
      </w:pPr>
    </w:p>
    <w:p>
      <w:pPr>
        <w:pStyle w:val="3"/>
        <w:ind w:left="0" w:leftChars="0" w:firstLine="0" w:firstLineChars="0"/>
        <w:rPr>
          <w:rFonts w:eastAsia="仿宋_GB2312" w:cs="仿宋_GB2312"/>
          <w:sz w:val="32"/>
          <w:szCs w:val="32"/>
        </w:rPr>
      </w:pPr>
    </w:p>
    <w:p>
      <w:pPr>
        <w:pStyle w:val="2"/>
      </w:pPr>
    </w:p>
    <w:p>
      <w:pPr>
        <w:spacing w:line="600" w:lineRule="exact"/>
        <w:jc w:val="center"/>
        <w:outlineLvl w:val="0"/>
        <w:rPr>
          <w:rFonts w:hint="eastAsia" w:ascii="方正小标宋简体" w:hAnsi="方正小标宋简体" w:eastAsia="方正小标宋简体" w:cs="方正小标宋简体"/>
          <w:sz w:val="44"/>
          <w:szCs w:val="44"/>
        </w:rPr>
      </w:pPr>
      <w:bookmarkStart w:id="57" w:name="_Toc10776"/>
      <w:bookmarkStart w:id="58" w:name="_Toc15396613"/>
      <w:bookmarkStart w:id="59" w:name="_Toc15377225"/>
      <w:r>
        <w:rPr>
          <w:rFonts w:hint="eastAsia" w:ascii="方正小标宋简体" w:hAnsi="方正小标宋简体" w:eastAsia="方正小标宋简体" w:cs="方正小标宋简体"/>
          <w:sz w:val="44"/>
          <w:szCs w:val="44"/>
        </w:rPr>
        <w:t>第三部分  名词解释</w:t>
      </w:r>
      <w:bookmarkEnd w:id="57"/>
      <w:bookmarkEnd w:id="58"/>
      <w:bookmarkEnd w:id="59"/>
    </w:p>
    <w:p>
      <w:pPr>
        <w:spacing w:line="600" w:lineRule="exact"/>
        <w:jc w:val="left"/>
        <w:rPr>
          <w:b/>
          <w:sz w:val="44"/>
          <w:szCs w:val="44"/>
        </w:rPr>
      </w:pPr>
    </w:p>
    <w:p>
      <w:pPr>
        <w:spacing w:line="600" w:lineRule="exact"/>
        <w:ind w:firstLine="640"/>
        <w:rPr>
          <w:rFonts w:eastAsia="仿宋_GB2312" w:cs="仿宋_GB2312"/>
          <w:sz w:val="32"/>
          <w:szCs w:val="32"/>
        </w:rPr>
      </w:pPr>
      <w:r>
        <w:rPr>
          <w:rFonts w:hint="eastAsia" w:eastAsia="仿宋_GB2312" w:cs="仿宋_GB2312"/>
          <w:sz w:val="32"/>
          <w:szCs w:val="32"/>
        </w:rPr>
        <w:t>1.财政拨款收入：指单位从同级财政部门取得的财政预算资金。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2</w:t>
      </w:r>
      <w:r>
        <w:rPr>
          <w:rFonts w:hint="eastAsia" w:eastAsia="仿宋_GB2312" w:cs="仿宋_GB2312"/>
          <w:sz w:val="32"/>
          <w:szCs w:val="32"/>
        </w:rPr>
        <w:t>.社会保障和就业支出（类）行政事业单位养老支出（款）机关事业单位基本养老保险缴费支出（项）：指反映机关事业单位实施养老保险制度由单位缴纳的基本养老保险费支出。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3</w:t>
      </w:r>
      <w:r>
        <w:rPr>
          <w:rFonts w:hint="eastAsia" w:eastAsia="仿宋_GB2312" w:cs="仿宋_GB2312"/>
          <w:sz w:val="32"/>
          <w:szCs w:val="32"/>
        </w:rPr>
        <w:t>.社会保障和就业支出（类）行政事业单位养老支出（款）机关事业单位职业年金缴费支出（项）：指反映机关事业单位实施养老保险制度由单位实际缴纳的职业 年金支出。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4</w:t>
      </w:r>
      <w:r>
        <w:rPr>
          <w:rFonts w:hint="eastAsia" w:eastAsia="仿宋_GB2312" w:cs="仿宋_GB2312"/>
          <w:sz w:val="32"/>
          <w:szCs w:val="32"/>
        </w:rPr>
        <w:t>.卫生健康支出（类）行政事业单位医疗（款）事业单位医疗（项）：指反映财政部门安排的事业单位基本医疗保险缴费经费，未参加医疗保险的事业单位的公费医疗经费，按国家规定享受离休人员待遇的医疗经费。</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5</w:t>
      </w:r>
      <w:r>
        <w:rPr>
          <w:rFonts w:hint="eastAsia" w:eastAsia="仿宋_GB2312" w:cs="仿宋_GB2312"/>
          <w:sz w:val="32"/>
          <w:szCs w:val="32"/>
        </w:rPr>
        <w:t>.卫生健康支出（类）行政事业单位医疗（款）其他行政事业单位医疗支出（项）：指反映除上述项目以外的其他用于行政事业单位医疗方面的支出。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.交通运输支出（类）公路水路运输（款）公路养护（项）：指反映公路养护支出。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7</w:t>
      </w:r>
      <w:r>
        <w:rPr>
          <w:rFonts w:hint="eastAsia" w:eastAsia="仿宋_GB2312" w:cs="仿宋_GB2312"/>
          <w:sz w:val="32"/>
          <w:szCs w:val="32"/>
        </w:rPr>
        <w:t>.住房保障支出（类）住房改革支出（款）住房公积金（项）：指反映行政事业单位按人力资源和社会保障部、财政部规定的基本工资和津贴补贴以及规定比例为职工缴纳的住房公积金。</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8</w:t>
      </w:r>
      <w:r>
        <w:rPr>
          <w:rFonts w:hint="eastAsia" w:eastAsia="仿宋_GB2312" w:cs="仿宋_GB2312"/>
          <w:sz w:val="32"/>
          <w:szCs w:val="32"/>
        </w:rPr>
        <w:t>.住房保障支出（类）住房改革支出（款）购房补贴（项）：指反映按房改政策规定，行政事业单位向符合条</w:t>
      </w:r>
      <w:r>
        <w:rPr>
          <w:rFonts w:hint="eastAsia" w:eastAsia="仿宋_GB2312" w:cs="仿宋_GB2312"/>
          <w:sz w:val="32"/>
          <w:szCs w:val="32"/>
          <w:lang w:eastAsia="zh-CN"/>
        </w:rPr>
        <w:t>件的</w:t>
      </w:r>
      <w:r>
        <w:rPr>
          <w:rFonts w:hint="eastAsia" w:eastAsia="仿宋_GB2312" w:cs="仿宋_GB2312"/>
          <w:sz w:val="32"/>
          <w:szCs w:val="32"/>
        </w:rPr>
        <w:t>职工（含离退休人员）、军队（含武警）向转役复员离退休人员发放的用于购买住房的补贴。</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9</w:t>
      </w:r>
      <w:r>
        <w:rPr>
          <w:rFonts w:hint="eastAsia" w:eastAsia="仿宋_GB2312" w:cs="仿宋_GB2312"/>
          <w:sz w:val="32"/>
          <w:szCs w:val="32"/>
        </w:rPr>
        <w:t>.基本支出：指为保障机构正常运转、完成日常工作任务而发生的人员支出和公用支出。</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10</w:t>
      </w:r>
      <w:r>
        <w:rPr>
          <w:rFonts w:hint="eastAsia" w:eastAsia="仿宋_GB2312" w:cs="仿宋_GB2312"/>
          <w:sz w:val="32"/>
          <w:szCs w:val="32"/>
        </w:rPr>
        <w:t xml:space="preserve">.项目支出：指在基本支出之外为完成特定行政任务和事业发展目标所发生的支出。 </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11</w:t>
      </w:r>
      <w:r>
        <w:rPr>
          <w:rFonts w:hint="eastAsia"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28"/>
          <w:rFonts w:eastAsia="黑体"/>
          <w:b w:val="0"/>
          <w:bCs/>
        </w:rPr>
      </w:pPr>
      <w:bookmarkStart w:id="60" w:name="_Toc15377226"/>
      <w:r>
        <w:rPr>
          <w:rFonts w:hint="eastAsia" w:eastAsia="仿宋_GB2312" w:cs="仿宋_GB2312"/>
          <w:szCs w:val="32"/>
        </w:rPr>
        <w:br w:type="page"/>
      </w:r>
      <w:bookmarkStart w:id="61" w:name="_Toc15396614"/>
      <w:bookmarkStart w:id="62" w:name="_Toc20731"/>
      <w:r>
        <w:rPr>
          <w:rFonts w:hint="eastAsia" w:ascii="方正小标宋简体" w:hAnsi="方正小标宋简体" w:eastAsia="方正小标宋简体" w:cs="方正小标宋简体"/>
          <w:sz w:val="44"/>
          <w:szCs w:val="44"/>
        </w:rPr>
        <w:t>第四部分  附件</w:t>
      </w:r>
      <w:bookmarkEnd w:id="61"/>
      <w:bookmarkEnd w:id="62"/>
    </w:p>
    <w:p>
      <w:pPr>
        <w:pStyle w:val="8"/>
        <w:spacing w:before="93"/>
        <w:jc w:val="center"/>
        <w:rPr>
          <w:rFonts w:ascii="Times New Roman" w:cs="宋体"/>
          <w:color w:val="auto"/>
          <w:sz w:val="32"/>
          <w:szCs w:val="32"/>
          <w:highlight w:val="none"/>
          <w:shd w:val="clear" w:color="auto" w:fill="FFFFFF"/>
          <w:lang w:val="zh-CN"/>
        </w:rPr>
      </w:pPr>
      <w:r>
        <w:rPr>
          <w:rFonts w:hint="eastAsia" w:ascii="Times New Roman" w:cs="宋体"/>
          <w:color w:val="auto"/>
          <w:sz w:val="32"/>
          <w:szCs w:val="32"/>
          <w:highlight w:val="none"/>
          <w:shd w:val="clear" w:color="auto" w:fill="FFFFFF"/>
          <w:lang w:val="zh-CN"/>
        </w:rPr>
        <w:t>单位预算项目支出绩效自评表（202</w:t>
      </w:r>
      <w:r>
        <w:rPr>
          <w:rFonts w:hint="eastAsia" w:ascii="Times New Roman" w:cs="宋体"/>
          <w:color w:val="auto"/>
          <w:sz w:val="32"/>
          <w:szCs w:val="32"/>
          <w:highlight w:val="none"/>
          <w:shd w:val="clear" w:color="auto" w:fill="FFFFFF"/>
          <w:lang w:val="en-US" w:eastAsia="zh-CN"/>
        </w:rPr>
        <w:t>4</w:t>
      </w:r>
      <w:r>
        <w:rPr>
          <w:rFonts w:hint="eastAsia" w:ascii="Times New Roman" w:cs="宋体"/>
          <w:color w:val="auto"/>
          <w:sz w:val="32"/>
          <w:szCs w:val="32"/>
          <w:highlight w:val="none"/>
          <w:shd w:val="clear" w:color="auto" w:fill="FFFFFF"/>
          <w:lang w:val="zh-CN"/>
        </w:rPr>
        <w:t>年度）</w:t>
      </w:r>
    </w:p>
    <w:p>
      <w:pPr>
        <w:jc w:val="center"/>
        <w:rPr>
          <w:rFonts w:eastAsia="黑体" w:cs="黑体"/>
          <w:kern w:val="0"/>
          <w:sz w:val="32"/>
          <w:szCs w:val="32"/>
          <w:shd w:val="clear" w:color="auto" w:fill="FFFFFF"/>
          <w:lang w:val="zh-CN"/>
        </w:rPr>
      </w:pPr>
      <w:r>
        <w:drawing>
          <wp:inline distT="0" distB="0" distL="114300" distR="114300">
            <wp:extent cx="5769610" cy="3815080"/>
            <wp:effectExtent l="0" t="0" r="2540" b="1397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16"/>
                    <a:stretch>
                      <a:fillRect/>
                    </a:stretch>
                  </pic:blipFill>
                  <pic:spPr>
                    <a:xfrm>
                      <a:off x="0" y="0"/>
                      <a:ext cx="5769610" cy="3815080"/>
                    </a:xfrm>
                    <a:prstGeom prst="rect">
                      <a:avLst/>
                    </a:prstGeom>
                    <a:noFill/>
                    <a:ln>
                      <a:noFill/>
                    </a:ln>
                  </pic:spPr>
                </pic:pic>
              </a:graphicData>
            </a:graphic>
          </wp:inline>
        </w:drawing>
      </w:r>
      <w:r>
        <w:drawing>
          <wp:inline distT="0" distB="0" distL="114300" distR="114300">
            <wp:extent cx="5793740" cy="3907155"/>
            <wp:effectExtent l="0" t="0" r="16510" b="17145"/>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7"/>
                    <a:stretch>
                      <a:fillRect/>
                    </a:stretch>
                  </pic:blipFill>
                  <pic:spPr>
                    <a:xfrm>
                      <a:off x="0" y="0"/>
                      <a:ext cx="5793740" cy="3907155"/>
                    </a:xfrm>
                    <a:prstGeom prst="rect">
                      <a:avLst/>
                    </a:prstGeom>
                    <a:noFill/>
                    <a:ln>
                      <a:noFill/>
                    </a:ln>
                  </pic:spPr>
                </pic:pic>
              </a:graphicData>
            </a:graphic>
          </wp:inline>
        </w:drawing>
      </w:r>
      <w:r>
        <w:drawing>
          <wp:inline distT="0" distB="0" distL="114300" distR="114300">
            <wp:extent cx="5855970" cy="4025265"/>
            <wp:effectExtent l="0" t="0" r="11430" b="13335"/>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8"/>
                    <a:stretch>
                      <a:fillRect/>
                    </a:stretch>
                  </pic:blipFill>
                  <pic:spPr>
                    <a:xfrm>
                      <a:off x="0" y="0"/>
                      <a:ext cx="5855970" cy="4025265"/>
                    </a:xfrm>
                    <a:prstGeom prst="rect">
                      <a:avLst/>
                    </a:prstGeom>
                    <a:noFill/>
                    <a:ln>
                      <a:noFill/>
                    </a:ln>
                  </pic:spPr>
                </pic:pic>
              </a:graphicData>
            </a:graphic>
          </wp:inline>
        </w:drawing>
      </w:r>
      <w:r>
        <w:drawing>
          <wp:inline distT="0" distB="0" distL="114300" distR="114300">
            <wp:extent cx="5821045" cy="4330065"/>
            <wp:effectExtent l="0" t="0" r="8255" b="13335"/>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19"/>
                    <a:stretch>
                      <a:fillRect/>
                    </a:stretch>
                  </pic:blipFill>
                  <pic:spPr>
                    <a:xfrm>
                      <a:off x="0" y="0"/>
                      <a:ext cx="5821045" cy="4330065"/>
                    </a:xfrm>
                    <a:prstGeom prst="rect">
                      <a:avLst/>
                    </a:prstGeom>
                    <a:noFill/>
                    <a:ln>
                      <a:noFill/>
                    </a:ln>
                  </pic:spPr>
                </pic:pic>
              </a:graphicData>
            </a:graphic>
          </wp:inline>
        </w:drawing>
      </w:r>
      <w:r>
        <w:drawing>
          <wp:inline distT="0" distB="0" distL="114300" distR="114300">
            <wp:extent cx="5808980" cy="4207510"/>
            <wp:effectExtent l="0" t="0" r="1270" b="254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20"/>
                    <a:stretch>
                      <a:fillRect/>
                    </a:stretch>
                  </pic:blipFill>
                  <pic:spPr>
                    <a:xfrm>
                      <a:off x="0" y="0"/>
                      <a:ext cx="5808980" cy="4207510"/>
                    </a:xfrm>
                    <a:prstGeom prst="rect">
                      <a:avLst/>
                    </a:prstGeom>
                    <a:noFill/>
                    <a:ln>
                      <a:noFill/>
                    </a:ln>
                  </pic:spPr>
                </pic:pic>
              </a:graphicData>
            </a:graphic>
          </wp:inline>
        </w:drawing>
      </w:r>
      <w:r>
        <w:drawing>
          <wp:inline distT="0" distB="0" distL="114300" distR="114300">
            <wp:extent cx="5821045" cy="4206875"/>
            <wp:effectExtent l="0" t="0" r="8255" b="3175"/>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21"/>
                    <a:stretch>
                      <a:fillRect/>
                    </a:stretch>
                  </pic:blipFill>
                  <pic:spPr>
                    <a:xfrm>
                      <a:off x="0" y="0"/>
                      <a:ext cx="5821045" cy="4206875"/>
                    </a:xfrm>
                    <a:prstGeom prst="rect">
                      <a:avLst/>
                    </a:prstGeom>
                    <a:noFill/>
                    <a:ln>
                      <a:noFill/>
                    </a:ln>
                  </pic:spPr>
                </pic:pic>
              </a:graphicData>
            </a:graphic>
          </wp:inline>
        </w:drawing>
      </w:r>
      <w:r>
        <w:drawing>
          <wp:inline distT="0" distB="0" distL="114300" distR="114300">
            <wp:extent cx="5599430" cy="3803650"/>
            <wp:effectExtent l="0" t="0" r="1270" b="635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22"/>
                    <a:stretch>
                      <a:fillRect/>
                    </a:stretch>
                  </pic:blipFill>
                  <pic:spPr>
                    <a:xfrm>
                      <a:off x="0" y="0"/>
                      <a:ext cx="5599430" cy="3803650"/>
                    </a:xfrm>
                    <a:prstGeom prst="rect">
                      <a:avLst/>
                    </a:prstGeom>
                    <a:noFill/>
                    <a:ln>
                      <a:noFill/>
                    </a:ln>
                  </pic:spPr>
                </pic:pic>
              </a:graphicData>
            </a:graphic>
          </wp:inline>
        </w:drawing>
      </w:r>
      <w:r>
        <w:drawing>
          <wp:inline distT="0" distB="0" distL="114300" distR="114300">
            <wp:extent cx="5618480" cy="4552950"/>
            <wp:effectExtent l="0" t="0" r="1270" b="0"/>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pic:cNvPicPr>
                      <a:picLocks noChangeAspect="1"/>
                    </pic:cNvPicPr>
                  </pic:nvPicPr>
                  <pic:blipFill>
                    <a:blip r:embed="rId23"/>
                    <a:stretch>
                      <a:fillRect/>
                    </a:stretch>
                  </pic:blipFill>
                  <pic:spPr>
                    <a:xfrm>
                      <a:off x="0" y="0"/>
                      <a:ext cx="5618480" cy="4552950"/>
                    </a:xfrm>
                    <a:prstGeom prst="rect">
                      <a:avLst/>
                    </a:prstGeom>
                    <a:noFill/>
                    <a:ln>
                      <a:noFill/>
                    </a:ln>
                  </pic:spPr>
                </pic:pic>
              </a:graphicData>
            </a:graphic>
          </wp:inline>
        </w:drawing>
      </w:r>
      <w:r>
        <w:rPr>
          <w:rFonts w:hint="eastAsia" w:eastAsia="黑体" w:cs="黑体"/>
          <w:kern w:val="0"/>
          <w:sz w:val="32"/>
          <w:szCs w:val="32"/>
          <w:shd w:val="clear" w:color="auto" w:fill="FFFFFF"/>
          <w:lang w:val="zh-CN"/>
        </w:rPr>
        <w:br w:type="page"/>
      </w:r>
    </w:p>
    <w:p>
      <w:pPr>
        <w:spacing w:line="600" w:lineRule="exact"/>
        <w:jc w:val="center"/>
        <w:outlineLvl w:val="0"/>
        <w:rPr>
          <w:rFonts w:hint="eastAsia" w:ascii="方正小标宋简体" w:hAnsi="方正小标宋简体" w:eastAsia="方正小标宋简体" w:cs="方正小标宋简体"/>
          <w:sz w:val="44"/>
          <w:szCs w:val="44"/>
        </w:rPr>
      </w:pPr>
      <w:bookmarkStart w:id="63" w:name="_Toc11229"/>
      <w:bookmarkStart w:id="64" w:name="_Toc15396618"/>
      <w:r>
        <w:rPr>
          <w:rFonts w:hint="eastAsia" w:ascii="方正小标宋简体" w:hAnsi="方正小标宋简体" w:eastAsia="方正小标宋简体" w:cs="方正小标宋简体"/>
          <w:sz w:val="44"/>
          <w:szCs w:val="44"/>
        </w:rPr>
        <w:t>第五部分 附表</w:t>
      </w:r>
      <w:bookmarkEnd w:id="60"/>
      <w:bookmarkEnd w:id="63"/>
      <w:bookmarkEnd w:id="64"/>
      <w:bookmarkStart w:id="65" w:name="_Toc15396619"/>
    </w:p>
    <w:p>
      <w:pPr>
        <w:pStyle w:val="14"/>
        <w:adjustRightInd w:val="0"/>
        <w:snapToGrid w:val="0"/>
        <w:spacing w:line="560" w:lineRule="exact"/>
        <w:jc w:val="left"/>
        <w:rPr>
          <w:rFonts w:eastAsia="仿宋_GB2312" w:cs="仿宋_GB2312"/>
          <w:sz w:val="32"/>
          <w:szCs w:val="32"/>
        </w:rPr>
      </w:pPr>
    </w:p>
    <w:p>
      <w:pPr>
        <w:pStyle w:val="6"/>
        <w:rPr>
          <w:rStyle w:val="37"/>
          <w:rFonts w:hint="eastAsia" w:ascii="仿宋" w:hAnsi="仿宋" w:eastAsia="仿宋"/>
          <w:b w:val="0"/>
          <w:bCs w:val="0"/>
        </w:rPr>
      </w:pPr>
      <w:bookmarkStart w:id="66" w:name="_Toc8324"/>
      <w:r>
        <w:rPr>
          <w:rStyle w:val="37"/>
          <w:rFonts w:hint="eastAsia" w:ascii="仿宋" w:hAnsi="仿宋" w:eastAsia="仿宋"/>
          <w:b w:val="0"/>
          <w:bCs w:val="0"/>
        </w:rPr>
        <w:t>一、收入支出决算总表</w:t>
      </w:r>
      <w:bookmarkEnd w:id="65"/>
      <w:bookmarkEnd w:id="66"/>
    </w:p>
    <w:p>
      <w:pPr>
        <w:pStyle w:val="6"/>
        <w:rPr>
          <w:rStyle w:val="37"/>
          <w:rFonts w:hint="eastAsia" w:ascii="仿宋" w:hAnsi="仿宋" w:eastAsia="仿宋"/>
          <w:b w:val="0"/>
          <w:bCs w:val="0"/>
        </w:rPr>
      </w:pPr>
      <w:bookmarkStart w:id="67" w:name="_Toc5853"/>
      <w:bookmarkStart w:id="68" w:name="_Toc15396620"/>
      <w:r>
        <w:rPr>
          <w:rStyle w:val="37"/>
          <w:rFonts w:hint="eastAsia" w:ascii="仿宋" w:hAnsi="仿宋" w:eastAsia="仿宋"/>
          <w:b w:val="0"/>
          <w:bCs w:val="0"/>
        </w:rPr>
        <w:t>二、收入决算表</w:t>
      </w:r>
      <w:bookmarkEnd w:id="67"/>
      <w:bookmarkEnd w:id="68"/>
    </w:p>
    <w:p>
      <w:pPr>
        <w:pStyle w:val="6"/>
        <w:rPr>
          <w:rStyle w:val="37"/>
          <w:rFonts w:hint="eastAsia" w:ascii="仿宋" w:hAnsi="仿宋" w:eastAsia="仿宋"/>
          <w:b w:val="0"/>
          <w:bCs w:val="0"/>
        </w:rPr>
      </w:pPr>
      <w:bookmarkStart w:id="69" w:name="_Toc15396621"/>
      <w:bookmarkStart w:id="70" w:name="_Toc19032"/>
      <w:r>
        <w:rPr>
          <w:rStyle w:val="37"/>
          <w:rFonts w:hint="eastAsia" w:ascii="仿宋" w:hAnsi="仿宋" w:eastAsia="仿宋"/>
          <w:b w:val="0"/>
          <w:bCs w:val="0"/>
        </w:rPr>
        <w:t>三、支出决算表</w:t>
      </w:r>
      <w:bookmarkEnd w:id="69"/>
      <w:bookmarkEnd w:id="70"/>
    </w:p>
    <w:p>
      <w:pPr>
        <w:pStyle w:val="6"/>
        <w:rPr>
          <w:rStyle w:val="37"/>
          <w:rFonts w:hint="eastAsia" w:ascii="仿宋" w:hAnsi="仿宋" w:eastAsia="仿宋"/>
          <w:b w:val="0"/>
          <w:bCs w:val="0"/>
        </w:rPr>
      </w:pPr>
      <w:bookmarkStart w:id="71" w:name="_Toc15396622"/>
      <w:bookmarkStart w:id="72" w:name="_Toc29188"/>
      <w:r>
        <w:rPr>
          <w:rStyle w:val="37"/>
          <w:rFonts w:hint="eastAsia" w:ascii="仿宋" w:hAnsi="仿宋" w:eastAsia="仿宋"/>
          <w:b w:val="0"/>
          <w:bCs w:val="0"/>
        </w:rPr>
        <w:t>四、财政拨款收入支出决算总表</w:t>
      </w:r>
      <w:bookmarkEnd w:id="71"/>
      <w:bookmarkEnd w:id="72"/>
    </w:p>
    <w:p>
      <w:pPr>
        <w:pStyle w:val="6"/>
        <w:rPr>
          <w:rStyle w:val="37"/>
          <w:rFonts w:hint="eastAsia" w:ascii="仿宋" w:hAnsi="仿宋" w:eastAsia="仿宋"/>
          <w:b w:val="0"/>
          <w:bCs w:val="0"/>
        </w:rPr>
      </w:pPr>
      <w:bookmarkStart w:id="73" w:name="_Toc25491"/>
      <w:bookmarkStart w:id="74" w:name="_Toc15396623"/>
      <w:r>
        <w:rPr>
          <w:rStyle w:val="37"/>
          <w:rFonts w:hint="eastAsia" w:ascii="仿宋" w:hAnsi="仿宋" w:eastAsia="仿宋"/>
          <w:b w:val="0"/>
          <w:bCs w:val="0"/>
        </w:rPr>
        <w:t>五、财政拨款支出决算明细表</w:t>
      </w:r>
      <w:bookmarkEnd w:id="73"/>
      <w:bookmarkEnd w:id="74"/>
      <w:bookmarkStart w:id="75" w:name="_Toc15396624"/>
    </w:p>
    <w:p>
      <w:pPr>
        <w:pStyle w:val="6"/>
        <w:rPr>
          <w:rStyle w:val="37"/>
          <w:rFonts w:hint="eastAsia" w:ascii="仿宋" w:hAnsi="仿宋" w:eastAsia="仿宋"/>
          <w:b w:val="0"/>
          <w:bCs w:val="0"/>
        </w:rPr>
      </w:pPr>
      <w:bookmarkStart w:id="76" w:name="_Toc2141"/>
      <w:r>
        <w:rPr>
          <w:rStyle w:val="37"/>
          <w:rFonts w:hint="eastAsia" w:ascii="仿宋" w:hAnsi="仿宋" w:eastAsia="仿宋"/>
          <w:b w:val="0"/>
          <w:bCs w:val="0"/>
        </w:rPr>
        <w:t>六、一般公共预算财政拨款支出决算表</w:t>
      </w:r>
      <w:bookmarkEnd w:id="75"/>
      <w:bookmarkEnd w:id="76"/>
    </w:p>
    <w:p>
      <w:pPr>
        <w:pStyle w:val="6"/>
        <w:rPr>
          <w:rStyle w:val="37"/>
          <w:rFonts w:hint="eastAsia" w:ascii="仿宋" w:hAnsi="仿宋" w:eastAsia="仿宋"/>
          <w:b w:val="0"/>
          <w:bCs w:val="0"/>
        </w:rPr>
      </w:pPr>
      <w:bookmarkStart w:id="77" w:name="_Toc21514"/>
      <w:bookmarkStart w:id="78" w:name="_Toc15396625"/>
      <w:r>
        <w:rPr>
          <w:rStyle w:val="37"/>
          <w:rFonts w:hint="eastAsia" w:ascii="仿宋" w:hAnsi="仿宋" w:eastAsia="仿宋"/>
          <w:b w:val="0"/>
          <w:bCs w:val="0"/>
        </w:rPr>
        <w:t>七、一般公共预算财政拨款支出决算明细表</w:t>
      </w:r>
      <w:bookmarkEnd w:id="77"/>
      <w:bookmarkEnd w:id="78"/>
    </w:p>
    <w:p>
      <w:pPr>
        <w:pStyle w:val="6"/>
        <w:rPr>
          <w:rStyle w:val="37"/>
          <w:rFonts w:hint="eastAsia" w:ascii="仿宋" w:hAnsi="仿宋" w:eastAsia="仿宋"/>
          <w:b w:val="0"/>
          <w:bCs w:val="0"/>
        </w:rPr>
      </w:pPr>
      <w:bookmarkStart w:id="79" w:name="_Toc3986"/>
      <w:bookmarkStart w:id="80" w:name="_Toc15396626"/>
      <w:r>
        <w:rPr>
          <w:rStyle w:val="37"/>
          <w:rFonts w:hint="eastAsia" w:ascii="仿宋" w:hAnsi="仿宋" w:eastAsia="仿宋"/>
          <w:b w:val="0"/>
          <w:bCs w:val="0"/>
        </w:rPr>
        <w:t>八、一般公共预算财政拨款基本支出决算表</w:t>
      </w:r>
      <w:bookmarkEnd w:id="79"/>
      <w:bookmarkEnd w:id="80"/>
    </w:p>
    <w:p>
      <w:pPr>
        <w:pStyle w:val="6"/>
        <w:rPr>
          <w:rStyle w:val="37"/>
          <w:rFonts w:hint="eastAsia" w:ascii="仿宋" w:hAnsi="仿宋" w:eastAsia="仿宋"/>
          <w:b w:val="0"/>
          <w:bCs w:val="0"/>
        </w:rPr>
      </w:pPr>
      <w:bookmarkStart w:id="81" w:name="_Toc15396627"/>
      <w:bookmarkStart w:id="82" w:name="_Toc23360"/>
      <w:r>
        <w:rPr>
          <w:rStyle w:val="37"/>
          <w:rFonts w:hint="eastAsia" w:ascii="仿宋" w:hAnsi="仿宋" w:eastAsia="仿宋"/>
          <w:b w:val="0"/>
          <w:bCs w:val="0"/>
        </w:rPr>
        <w:t>九、一般公共预算财政拨款项目支出决算表</w:t>
      </w:r>
      <w:bookmarkEnd w:id="81"/>
      <w:bookmarkEnd w:id="82"/>
    </w:p>
    <w:p>
      <w:pPr>
        <w:pStyle w:val="6"/>
        <w:rPr>
          <w:rStyle w:val="37"/>
          <w:rFonts w:hint="eastAsia" w:ascii="仿宋" w:hAnsi="仿宋" w:eastAsia="仿宋"/>
          <w:b w:val="0"/>
          <w:bCs w:val="0"/>
        </w:rPr>
      </w:pPr>
      <w:bookmarkStart w:id="83" w:name="_Toc15396628"/>
      <w:bookmarkStart w:id="84" w:name="_Toc12179"/>
      <w:r>
        <w:rPr>
          <w:rStyle w:val="37"/>
          <w:rFonts w:hint="eastAsia" w:ascii="仿宋" w:hAnsi="仿宋" w:eastAsia="仿宋"/>
          <w:b w:val="0"/>
          <w:bCs w:val="0"/>
        </w:rPr>
        <w:t>十、</w:t>
      </w:r>
      <w:bookmarkEnd w:id="83"/>
      <w:r>
        <w:rPr>
          <w:rStyle w:val="37"/>
          <w:rFonts w:hint="eastAsia" w:ascii="仿宋" w:hAnsi="仿宋" w:eastAsia="仿宋"/>
          <w:b w:val="0"/>
          <w:bCs w:val="0"/>
        </w:rPr>
        <w:t>政府性基金预算财政拨款收入支出决算表</w:t>
      </w:r>
      <w:bookmarkEnd w:id="84"/>
    </w:p>
    <w:p>
      <w:pPr>
        <w:pStyle w:val="6"/>
        <w:rPr>
          <w:rStyle w:val="37"/>
          <w:rFonts w:hint="eastAsia" w:ascii="仿宋" w:hAnsi="仿宋" w:eastAsia="仿宋"/>
          <w:b w:val="0"/>
          <w:bCs w:val="0"/>
        </w:rPr>
      </w:pPr>
      <w:bookmarkStart w:id="85" w:name="_Toc15396629"/>
      <w:bookmarkStart w:id="86" w:name="_Toc13815"/>
      <w:r>
        <w:rPr>
          <w:rStyle w:val="37"/>
          <w:rFonts w:hint="eastAsia" w:ascii="仿宋" w:hAnsi="仿宋" w:eastAsia="仿宋"/>
          <w:b w:val="0"/>
          <w:bCs w:val="0"/>
        </w:rPr>
        <w:t>十一、</w:t>
      </w:r>
      <w:bookmarkEnd w:id="85"/>
      <w:r>
        <w:rPr>
          <w:rStyle w:val="37"/>
          <w:rFonts w:hint="eastAsia" w:ascii="仿宋" w:hAnsi="仿宋" w:eastAsia="仿宋"/>
          <w:b w:val="0"/>
          <w:bCs w:val="0"/>
        </w:rPr>
        <w:t>国有资本经营预算财政拨款收入支出决算表</w:t>
      </w:r>
      <w:bookmarkEnd w:id="86"/>
    </w:p>
    <w:p>
      <w:pPr>
        <w:pStyle w:val="6"/>
        <w:rPr>
          <w:rStyle w:val="37"/>
          <w:rFonts w:hint="eastAsia" w:ascii="仿宋" w:hAnsi="仿宋" w:eastAsia="仿宋"/>
          <w:b w:val="0"/>
          <w:bCs w:val="0"/>
        </w:rPr>
      </w:pPr>
      <w:bookmarkStart w:id="87" w:name="_Toc15396630"/>
      <w:bookmarkStart w:id="88" w:name="_Toc23651"/>
      <w:r>
        <w:rPr>
          <w:rStyle w:val="37"/>
          <w:rFonts w:hint="eastAsia" w:ascii="仿宋" w:hAnsi="仿宋" w:eastAsia="仿宋"/>
          <w:b w:val="0"/>
          <w:bCs w:val="0"/>
        </w:rPr>
        <w:t>十二、</w:t>
      </w:r>
      <w:bookmarkEnd w:id="87"/>
      <w:r>
        <w:rPr>
          <w:rStyle w:val="37"/>
          <w:rFonts w:hint="eastAsia" w:ascii="仿宋" w:hAnsi="仿宋" w:eastAsia="仿宋"/>
          <w:b w:val="0"/>
          <w:bCs w:val="0"/>
        </w:rPr>
        <w:t>国有资本经营预算财政拨款支出决算表</w:t>
      </w:r>
      <w:bookmarkEnd w:id="88"/>
    </w:p>
    <w:p>
      <w:pPr>
        <w:pStyle w:val="6"/>
        <w:rPr>
          <w:rStyle w:val="37"/>
          <w:rFonts w:hint="eastAsia" w:ascii="仿宋" w:hAnsi="仿宋" w:eastAsia="仿宋"/>
          <w:b w:val="0"/>
          <w:bCs w:val="0"/>
        </w:rPr>
      </w:pPr>
      <w:bookmarkStart w:id="89" w:name="_Toc15396631"/>
      <w:bookmarkStart w:id="90" w:name="_Toc12614"/>
      <w:r>
        <w:rPr>
          <w:rStyle w:val="37"/>
          <w:rFonts w:hint="eastAsia" w:ascii="仿宋" w:hAnsi="仿宋" w:eastAsia="仿宋"/>
          <w:b w:val="0"/>
          <w:bCs w:val="0"/>
        </w:rPr>
        <w:t>十三、</w:t>
      </w:r>
      <w:bookmarkEnd w:id="89"/>
      <w:r>
        <w:rPr>
          <w:rStyle w:val="37"/>
          <w:rFonts w:hint="eastAsia" w:ascii="仿宋" w:hAnsi="仿宋" w:eastAsia="仿宋"/>
          <w:b w:val="0"/>
          <w:bCs w:val="0"/>
        </w:rPr>
        <w:t>财政拨款“三公”经费支出决算表</w:t>
      </w:r>
      <w:bookmarkEnd w:id="90"/>
    </w:p>
    <w:p/>
    <w:sectPr>
      <w:footerReference r:id="rId7" w:type="first"/>
      <w:footerReference r:id="rId6"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AF847D-70DA-43D0-A0F2-A12C80B451C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C6029EE6-4FCA-4BB1-90DB-F99346C4BC01}"/>
  </w:font>
  <w:font w:name="仿宋">
    <w:panose1 w:val="02010609060101010101"/>
    <w:charset w:val="86"/>
    <w:family w:val="modern"/>
    <w:pitch w:val="default"/>
    <w:sig w:usb0="800002BF" w:usb1="38CF7CFA" w:usb2="00000016" w:usb3="00000000" w:csb0="00040001" w:csb1="00000000"/>
    <w:embedRegular r:id="rId3" w:fontKey="{2FC3AB0E-6464-40F6-B978-1ACC5BCD50B6}"/>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auto"/>
    <w:pitch w:val="default"/>
    <w:sig w:usb0="A00002EF" w:usb1="4000207B" w:usb2="00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4" w:fontKey="{D2968B95-294A-4F93-BF46-656D51A835E5}"/>
  </w:font>
  <w:font w:name="楷体_GB2312">
    <w:altName w:val="楷体"/>
    <w:panose1 w:val="00000000000000000000"/>
    <w:charset w:val="86"/>
    <w:family w:val="auto"/>
    <w:pitch w:val="default"/>
    <w:sig w:usb0="00000000" w:usb1="00000000" w:usb2="00000000" w:usb3="00000000" w:csb0="00040000" w:csb1="00000000"/>
    <w:embedRegular r:id="rId5" w:fontKey="{C5C5438B-0ADE-45B7-BF9B-D232DD11789F}"/>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- 1 -</w:t>
                    </w:r>
                    <w:r>
                      <w:fldChar w:fldCharType="end"/>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w:t>
                    </w:r>
                    <w:r>
                      <w:fldChar w:fldCharType="end"/>
                    </w:r>
                  </w:p>
                </w:txbxContent>
              </v:textbox>
            </v:shape>
          </w:pict>
        </mc:Fallback>
      </mc:AlternateContent>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1A7022B"/>
    <w:rsid w:val="02FEBE30"/>
    <w:rsid w:val="04916F1E"/>
    <w:rsid w:val="061E35DE"/>
    <w:rsid w:val="066E0107"/>
    <w:rsid w:val="071F31DF"/>
    <w:rsid w:val="07996F6E"/>
    <w:rsid w:val="07DFD8BA"/>
    <w:rsid w:val="09867E8F"/>
    <w:rsid w:val="0A2032A3"/>
    <w:rsid w:val="0CA8290A"/>
    <w:rsid w:val="0D35B1ED"/>
    <w:rsid w:val="0E254B6B"/>
    <w:rsid w:val="0F98263C"/>
    <w:rsid w:val="101860EC"/>
    <w:rsid w:val="101F47CC"/>
    <w:rsid w:val="10C055FF"/>
    <w:rsid w:val="10C94508"/>
    <w:rsid w:val="11694EBD"/>
    <w:rsid w:val="11772AA4"/>
    <w:rsid w:val="118107EC"/>
    <w:rsid w:val="12E24EE2"/>
    <w:rsid w:val="13D50BC4"/>
    <w:rsid w:val="14B17F78"/>
    <w:rsid w:val="165E0673"/>
    <w:rsid w:val="16B831D5"/>
    <w:rsid w:val="16BB723D"/>
    <w:rsid w:val="17E50567"/>
    <w:rsid w:val="186504BB"/>
    <w:rsid w:val="19A445FC"/>
    <w:rsid w:val="1BE8440E"/>
    <w:rsid w:val="1CC6347C"/>
    <w:rsid w:val="1D155CEE"/>
    <w:rsid w:val="1D1638FE"/>
    <w:rsid w:val="1E312DEB"/>
    <w:rsid w:val="1E740ACF"/>
    <w:rsid w:val="1EC05A3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5E6413B"/>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1914F71"/>
    <w:rsid w:val="423C6822"/>
    <w:rsid w:val="44E268DA"/>
    <w:rsid w:val="450D13D7"/>
    <w:rsid w:val="45506656"/>
    <w:rsid w:val="486A6C7A"/>
    <w:rsid w:val="4A627F82"/>
    <w:rsid w:val="4B0E749A"/>
    <w:rsid w:val="4B2477C4"/>
    <w:rsid w:val="4B4F25DA"/>
    <w:rsid w:val="4BAD7CEB"/>
    <w:rsid w:val="4BE068DB"/>
    <w:rsid w:val="4D577224"/>
    <w:rsid w:val="4DBF1CEB"/>
    <w:rsid w:val="4DF0007C"/>
    <w:rsid w:val="4EAB630A"/>
    <w:rsid w:val="4ECE2238"/>
    <w:rsid w:val="4F833267"/>
    <w:rsid w:val="4FE9BD67"/>
    <w:rsid w:val="4FFB052F"/>
    <w:rsid w:val="518C7E71"/>
    <w:rsid w:val="537E6D0A"/>
    <w:rsid w:val="53F74C96"/>
    <w:rsid w:val="55170BA8"/>
    <w:rsid w:val="553218C9"/>
    <w:rsid w:val="567E1AA5"/>
    <w:rsid w:val="56E47B74"/>
    <w:rsid w:val="57175D52"/>
    <w:rsid w:val="57BD3DD4"/>
    <w:rsid w:val="57D72CAA"/>
    <w:rsid w:val="5ADE1FC9"/>
    <w:rsid w:val="5AF92295"/>
    <w:rsid w:val="5B250254"/>
    <w:rsid w:val="5BDD79E6"/>
    <w:rsid w:val="5BF561CA"/>
    <w:rsid w:val="5BFF5DFC"/>
    <w:rsid w:val="5CD71FC4"/>
    <w:rsid w:val="5D1F11B5"/>
    <w:rsid w:val="5D47459D"/>
    <w:rsid w:val="5D695134"/>
    <w:rsid w:val="5DAE1B18"/>
    <w:rsid w:val="5DE7D9E5"/>
    <w:rsid w:val="5ECEC941"/>
    <w:rsid w:val="5FBF9FF3"/>
    <w:rsid w:val="5FCD4E2C"/>
    <w:rsid w:val="5FEF394A"/>
    <w:rsid w:val="5FF67715"/>
    <w:rsid w:val="62BF3928"/>
    <w:rsid w:val="63B3701E"/>
    <w:rsid w:val="647F5392"/>
    <w:rsid w:val="65E66580"/>
    <w:rsid w:val="65FB553F"/>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AF1A71"/>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6A6FE3"/>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szCs w:val="32"/>
    </w:rPr>
  </w:style>
  <w:style w:type="paragraph" w:styleId="8">
    <w:name w:val="Body Text"/>
    <w:basedOn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5"/>
    <w:qFormat/>
    <w:uiPriority w:val="9"/>
    <w:rPr>
      <w:rFonts w:ascii="Times New Roman" w:hAnsi="Times New Roman"/>
      <w:b/>
      <w:bCs/>
      <w:kern w:val="44"/>
      <w:sz w:val="44"/>
      <w:szCs w:val="44"/>
    </w:rPr>
  </w:style>
  <w:style w:type="character" w:customStyle="1" w:styleId="29">
    <w:name w:val="标题 2 字符"/>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10"/>
    <w:semiHidden/>
    <w:qFormat/>
    <w:uiPriority w:val="99"/>
    <w:rPr>
      <w:rFonts w:ascii="Times New Roman" w:hAnsi="Times New Roman"/>
      <w:kern w:val="2"/>
      <w:sz w:val="18"/>
      <w:szCs w:val="18"/>
    </w:rPr>
  </w:style>
  <w:style w:type="character" w:customStyle="1" w:styleId="32">
    <w:name w:val="标题 3 字符"/>
    <w:basedOn w:val="16"/>
    <w:link w:val="7"/>
    <w:qFormat/>
    <w:uiPriority w:val="9"/>
    <w:rPr>
      <w:rFonts w:ascii="Times New Roman" w:hAnsi="Times New Roman"/>
      <w:b/>
      <w:bCs/>
      <w:kern w:val="2"/>
      <w:sz w:val="32"/>
      <w:szCs w:val="32"/>
    </w:rPr>
  </w:style>
  <w:style w:type="paragraph" w:customStyle="1" w:styleId="33">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36">
    <w:name w:val="WPSOffice手动目录 1"/>
    <w:qFormat/>
    <w:uiPriority w:val="99"/>
    <w:rPr>
      <w:rFonts w:ascii="Times New Roman" w:hAnsi="Times New Roman" w:eastAsia="宋体" w:cs="Times New Roman"/>
      <w:kern w:val="0"/>
      <w:sz w:val="20"/>
      <w:szCs w:val="20"/>
      <w:lang w:val="en-US" w:eastAsia="zh-CN" w:bidi="ar-SA"/>
    </w:rPr>
  </w:style>
  <w:style w:type="character" w:customStyle="1" w:styleId="37">
    <w:name w:val="Heading 2 Char"/>
    <w:basedOn w:val="16"/>
    <w:link w:val="6"/>
    <w:qFormat/>
    <w:locked/>
    <w:uiPriority w:val="99"/>
    <w:rPr>
      <w:rFonts w:ascii="Calibri Light" w:hAnsi="Calibri Light"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8.png"/><Relationship Id="rId22" Type="http://schemas.openxmlformats.org/officeDocument/2006/relationships/image" Target="media/image7.png"/><Relationship Id="rId21" Type="http://schemas.openxmlformats.org/officeDocument/2006/relationships/image" Target="media/image6.png"/><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png"/><Relationship Id="rId15" Type="http://schemas.openxmlformats.org/officeDocument/2006/relationships/chart" Target="charts/chart7.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oleObject" Target="file:///F:\2024&#24180;2222\&#20915;&#31639;\&#22270;&#34920;&#24037;&#20855;\&#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2024&#24180;2222\&#20915;&#31639;\&#22270;&#34920;&#24037;&#20855;\&#20915;&#31639;&#22270;&#34920;(1)(1).et"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32418;&#21407;&#20844;&#36335;&#31649;&#29702;&#23616;\&#20915;&#31639;&#22270;&#34920;(1)(1).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2024&#24180;2222\&#20915;&#31639;\&#22270;&#34920;&#24037;&#20855;\&#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2024&#24180;2222\&#20915;&#31639;\&#22270;&#34920;&#24037;&#20855;\&#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32418;&#21407;&#20844;&#36335;&#31649;&#29702;&#23616;\&#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Desktop\2024&#24180;&#20915;&#31639;&#20844;&#24320;%20&#27784;&#21033;&#33778;\&#32418;&#21407;&#20844;&#36335;&#31649;&#29702;&#23616;\&#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endPar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endParaRPr>
          </a:p>
          <a:p>
            <a:pPr algn="ctr" defTabSz="914400">
              <a:defRPr lang="zh-CN" sz="1200" b="0" i="0" u="none" strike="noStrike" kern="1200" spc="0" baseline="0">
                <a:solidFill>
                  <a:schemeClr val="tx1">
                    <a:lumMod val="65000"/>
                    <a:lumOff val="35000"/>
                  </a:schemeClr>
                </a:solidFill>
                <a:latin typeface="+mn-lt"/>
                <a:ea typeface="+mn-ea"/>
                <a:cs typeface="+mn-cs"/>
              </a:defRPr>
            </a:pP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6919332198985"/>
          <c:y val="0.015083213977778"/>
        </c:manualLayout>
      </c:layout>
      <c:overlay val="0"/>
    </c:title>
    <c:autoTitleDeleted val="0"/>
    <c:plotArea>
      <c:layout/>
      <c:barChart>
        <c:barDir val="col"/>
        <c:grouping val="clustered"/>
        <c:varyColors val="0"/>
        <c:ser>
          <c:idx val="0"/>
          <c:order val="0"/>
          <c:tx>
            <c:strRef>
              <c:f>'[决算图表(1)(1).et]Sheet1'!$E$5</c:f>
              <c:strCache>
                <c:ptCount val="1"/>
                <c:pt idx="0">
                  <c:v>2023年</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'[决算图表(1)(1).et]Sheet1'!$F$5:$G$5</c:f>
              <c:numCache>
                <c:formatCode>#,##0.00</c:formatCode>
                <c:ptCount val="2"/>
                <c:pt idx="0">
                  <c:v>3267.97</c:v>
                </c:pt>
                <c:pt idx="1">
                  <c:v>3267.97</c:v>
                </c:pt>
              </c:numCache>
            </c:numRef>
          </c:val>
        </c:ser>
        <c:ser>
          <c:idx val="1"/>
          <c:order val="1"/>
          <c:tx>
            <c:strRef>
              <c:f>'[决算图表(1)(1).et]Sheet1'!$E$6</c:f>
              <c:strCache>
                <c:ptCount val="1"/>
                <c:pt idx="0">
                  <c:v>2024年</c:v>
                </c:pt>
              </c:strCache>
            </c:strRef>
          </c:tx>
          <c:spPr>
            <a:solidFill>
              <a:schemeClr val="accent2"/>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'[决算图表(1)(1).et]Sheet1'!$F$6:$G$6</c:f>
              <c:numCache>
                <c:formatCode>#,##0.00</c:formatCode>
                <c:ptCount val="2"/>
                <c:pt idx="0">
                  <c:v>3074.34</c:v>
                </c:pt>
                <c:pt idx="1">
                  <c:v>3074.34</c:v>
                </c:pt>
              </c:numCache>
            </c:numRef>
          </c:val>
        </c:ser>
        <c:dLbls>
          <c:showLegendKey val="0"/>
          <c:showVal val="0"/>
          <c:showCatName val="0"/>
          <c:showSerName val="0"/>
          <c:showPercent val="0"/>
          <c:showBubbleSize val="0"/>
        </c:dLbls>
        <c:gapWidth val="219"/>
        <c:overlap val="-27"/>
        <c:axId val="385587282"/>
        <c:axId val="558612473"/>
      </c:barChart>
      <c:catAx>
        <c:axId val="38558728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58612473"/>
        <c:crosses val="autoZero"/>
        <c:auto val="1"/>
        <c:lblAlgn val="ctr"/>
        <c:lblOffset val="100"/>
        <c:noMultiLvlLbl val="0"/>
      </c:catAx>
      <c:valAx>
        <c:axId val="558612473"/>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85587282"/>
        <c:crosses val="autoZero"/>
        <c:crossBetween val="between"/>
      </c:valAx>
      <c:spPr>
        <a:noFill/>
        <a:ln>
          <a:noFill/>
        </a:ln>
        <a:effectLst/>
      </c:spPr>
    </c:plotArea>
    <c:legend>
      <c:legendPos val="r"/>
      <c:layout>
        <c:manualLayout>
          <c:xMode val="edge"/>
          <c:yMode val="edge"/>
          <c:x val="0.3875"/>
          <c:y val="0.9"/>
          <c:w val="0.222"/>
          <c:h val="0.073"/>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415807809551459"/>
          <c:y val="0.0304709141274238"/>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extLst>
            </c:dLbl>
            <c:numFmt formatCode="General" sourceLinked="1"/>
            <c:spPr>
              <a:noFill/>
              <a:ln w="3175">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'[决算图表(1)(1).et]Sheet1'!$A$67</c:f>
              <c:strCache>
                <c:ptCount val="1"/>
                <c:pt idx="0">
                  <c:v>一般公共预算财政拨款收入</c:v>
                </c:pt>
              </c:strCache>
            </c:strRef>
          </c:cat>
          <c:val>
            <c:numRef>
              <c:f>'[决算图表(1)(1).et]Sheet1'!$B$67</c:f>
              <c:numCache>
                <c:formatCode>#,##0.00</c:formatCode>
                <c:ptCount val="1"/>
                <c:pt idx="0">
                  <c:v>3074.34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485"/>
          <c:y val="0.744734871571615"/>
          <c:w val="0.90275"/>
          <c:h val="0.22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Lbls>
            <c:dLbl>
              <c:idx val="0"/>
              <c:layout>
                <c:manualLayout>
                  <c:x val="-0.202416273006361"/>
                  <c:y val="-0.00520720182553668"/>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255825242718447"/>
                  <c:y val="0.00774188811516841"/>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'[决算图表(1)(1).et]Sheet1'!$A$86:$A$87</c:f>
              <c:strCache>
                <c:ptCount val="2"/>
                <c:pt idx="0">
                  <c:v>基本支出</c:v>
                </c:pt>
                <c:pt idx="1">
                  <c:v>项目支出</c:v>
                </c:pt>
              </c:strCache>
            </c:strRef>
          </c:cat>
          <c:val>
            <c:numRef>
              <c:f>'[决算图表(1)(1).et]Sheet1'!$B$86:$B$87</c:f>
              <c:numCache>
                <c:formatCode>#,##0.00</c:formatCode>
                <c:ptCount val="2"/>
                <c:pt idx="0">
                  <c:v>2948.99</c:v>
                </c:pt>
                <c:pt idx="1" c:formatCode="General">
                  <c:v>125.34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4475"/>
          <c:y val="0.84175"/>
          <c:w val="0.91"/>
          <c:h val="0.13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'[决算图表(1)(1).et]Sheet1'!$E$35</c:f>
              <c:strCache>
                <c:ptCount val="1"/>
                <c:pt idx="0">
                  <c:v>收入</c:v>
                </c:pt>
              </c:strCache>
            </c:strRef>
          </c:tx>
          <c:spPr>
            <a:solidFill>
              <a:schemeClr val="accent1"/>
            </a:solidFill>
            <a:ln>
              <a:noFill/>
            </a:ln>
            <a:effectLst/>
          </c:spPr>
          <c:invertIfNegative val="0"/>
          <c:dLbls>
            <c:dLbl>
              <c:idx val="0"/>
              <c:layout>
                <c:manualLayout>
                  <c:x val="-0.0314766239777812"/>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2023年</c:v>
                </c:pt>
                <c:pt idx="1">
                  <c:v>2024年</c:v>
                </c:pt>
              </c:strCache>
            </c:strRef>
          </c:cat>
          <c:val>
            <c:numRef>
              <c:f>'[决算图表(1)(1).et]Sheet1'!$E$36:$E$38</c:f>
              <c:numCache>
                <c:formatCode>#,##0.00</c:formatCode>
                <c:ptCount val="3"/>
                <c:pt idx="0">
                  <c:v>3267.97</c:v>
                </c:pt>
                <c:pt idx="1" c:formatCode="General">
                  <c:v>3074.34</c:v>
                </c:pt>
              </c:numCache>
            </c:numRef>
          </c:val>
        </c:ser>
        <c:ser>
          <c:idx val="1"/>
          <c:order val="1"/>
          <c:tx>
            <c:strRef>
              <c:f>'[决算图表(1)(1).et]Sheet1'!$F$35</c:f>
              <c:strCache>
                <c:ptCount val="1"/>
                <c:pt idx="0">
                  <c:v>支出</c:v>
                </c:pt>
              </c:strCache>
            </c:strRef>
          </c:tx>
          <c:spPr>
            <a:solidFill>
              <a:schemeClr val="accent2"/>
            </a:solidFill>
            <a:ln>
              <a:noFill/>
            </a:ln>
            <a:effectLst/>
          </c:spPr>
          <c:invertIfNegative val="0"/>
          <c:dLbls>
            <c:dLbl>
              <c:idx val="0"/>
              <c:layout>
                <c:manualLayout>
                  <c:x val="0.0370313223268014"/>
                  <c:y val="0.005247048535198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55469834902021"/>
                  <c:y val="-0.0078705728027984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2023年</c:v>
                </c:pt>
                <c:pt idx="1">
                  <c:v>2024年</c:v>
                </c:pt>
              </c:strCache>
            </c:strRef>
          </c:cat>
          <c:val>
            <c:numRef>
              <c:f>'[决算图表(1)(1).et]Sheet1'!$F$36:$F$38</c:f>
              <c:numCache>
                <c:formatCode>#,##0.00</c:formatCode>
                <c:ptCount val="3"/>
                <c:pt idx="0">
                  <c:v>3267.97</c:v>
                </c:pt>
                <c:pt idx="1" c:formatCode="General">
                  <c:v>3074.34</c:v>
                </c:pt>
              </c:numCache>
            </c:numRef>
          </c:val>
        </c:ser>
        <c:dLbls>
          <c:showLegendKey val="0"/>
          <c:showVal val="0"/>
          <c:showCatName val="0"/>
          <c:showSerName val="0"/>
          <c:showPercent val="0"/>
          <c:showBubbleSize val="0"/>
        </c:dLbls>
        <c:gapWidth val="219"/>
        <c:overlap val="-27"/>
        <c:axId val="574328404"/>
        <c:axId val="190922799"/>
      </c:barChart>
      <c:catAx>
        <c:axId val="57432840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0922799"/>
        <c:crosses val="autoZero"/>
        <c:auto val="1"/>
        <c:lblAlgn val="ctr"/>
        <c:lblOffset val="100"/>
        <c:noMultiLvlLbl val="0"/>
      </c:catAx>
      <c:valAx>
        <c:axId val="190922799"/>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74328404"/>
        <c:crosses val="autoZero"/>
        <c:crossBetween val="between"/>
      </c:valAx>
      <c:spPr>
        <a:noFill/>
        <a:ln>
          <a:noFill/>
        </a:ln>
        <a:effectLst/>
      </c:spPr>
    </c:plotArea>
    <c:legend>
      <c:legendPos val="b"/>
      <c:layout>
        <c:manualLayout>
          <c:xMode val="edge"/>
          <c:yMode val="edge"/>
          <c:x val="0.4035"/>
          <c:y val="0.90075"/>
          <c:w val="0.1925"/>
          <c:h val="0.0727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一般公共预算财政拨款支出决算变动情况</a:t>
            </a:r>
            <a:endPar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单位：万元</a:t>
            </a:r>
            <a:endParaRPr sz="1200" b="0" i="0" u="none" strike="noStrike" baseline="0">
              <a:solidFill>
                <a:srgbClr val="000000"/>
              </a:solidFill>
              <a:effectLst/>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135672115674405"/>
          <c:y val="0.0470002710410111"/>
        </c:manualLayout>
      </c:layout>
      <c:overlay val="0"/>
    </c:title>
    <c:autoTitleDeleted val="0"/>
    <c:plotArea>
      <c:layout/>
      <c:barChart>
        <c:barDir val="col"/>
        <c:grouping val="clustered"/>
        <c:varyColors val="0"/>
        <c:ser>
          <c:idx val="0"/>
          <c:order val="0"/>
          <c:tx>
            <c:strRef>
              <c:f>'[决算图表(1)(1).et]Sheet1'!$A$111</c:f>
              <c:strCache>
                <c:ptCount val="1"/>
                <c:pt idx="0">
                  <c:v>支出</c:v>
                </c:pt>
              </c:strCache>
            </c:strRef>
          </c:tx>
          <c:spPr>
            <a:solidFill>
              <a:schemeClr val="accent1"/>
            </a:solidFill>
            <a:ln>
              <a:noFill/>
            </a:ln>
            <a:effectLst/>
          </c:spPr>
          <c:invertIfNegative val="0"/>
          <c:dPt>
            <c:idx val="0"/>
            <c:invertIfNegative val="0"/>
            <c:bubble3D val="0"/>
            <c:explosion val="0"/>
            <c:spPr>
              <a:solidFill>
                <a:srgbClr val="C00000"/>
              </a:solidFill>
              <a:ln>
                <a:no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'[决算图表(1)(1).et]Sheet1'!$B$110:$C$110</c:f>
              <c:strCache>
                <c:ptCount val="2"/>
                <c:pt idx="0">
                  <c:v>2023年</c:v>
                </c:pt>
                <c:pt idx="1">
                  <c:v>2024年</c:v>
                </c:pt>
              </c:strCache>
            </c:strRef>
          </c:cat>
          <c:val>
            <c:numRef>
              <c:f>'[决算图表(1)(1).et]Sheet1'!$B$111:$C$111</c:f>
              <c:numCache>
                <c:formatCode>#,##0.00</c:formatCode>
                <c:ptCount val="2"/>
                <c:pt idx="0">
                  <c:v>3267.97</c:v>
                </c:pt>
                <c:pt idx="1" c:formatCode="General">
                  <c:v>3074.34</c:v>
                </c:pt>
              </c:numCache>
            </c:numRef>
          </c:val>
        </c:ser>
        <c:dLbls>
          <c:showLegendKey val="0"/>
          <c:showVal val="0"/>
          <c:showCatName val="0"/>
          <c:showSerName val="0"/>
          <c:showPercent val="0"/>
          <c:showBubbleSize val="0"/>
        </c:dLbls>
        <c:gapWidth val="219"/>
        <c:overlap val="-27"/>
        <c:axId val="364994528"/>
        <c:axId val="502409507"/>
      </c:barChart>
      <c:catAx>
        <c:axId val="364994528"/>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502409507"/>
        <c:crosses val="autoZero"/>
        <c:auto val="1"/>
        <c:lblAlgn val="ctr"/>
        <c:lblOffset val="100"/>
        <c:noMultiLvlLbl val="0"/>
      </c:catAx>
      <c:valAx>
        <c:axId val="502409507"/>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0.00"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364994528"/>
        <c:crosses val="autoZero"/>
        <c:crossBetween val="between"/>
      </c:valAx>
      <c:spPr>
        <a:noFill/>
        <a:ln>
          <a:noFill/>
        </a:ln>
        <a:effectLst/>
      </c:spPr>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193969849246231"/>
          <c:y val="0.0106398070648319"/>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Lbls>
            <c:dLbl>
              <c:idx val="0"/>
              <c:layout>
                <c:manualLayout>
                  <c:x val="0.073115182824624"/>
                  <c:y val="-0.0205152740227059"/>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112031923067344"/>
                  <c:y val="0.00357532508053256"/>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0503521155006843"/>
                  <c:y val="0.0230027816600993"/>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3"/>
              <c:layout>
                <c:manualLayout>
                  <c:x val="-0.0738164538383448"/>
                  <c:y val="-0.0219029224021733"/>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'[决算图表(1)(1).et]Sheet1'!$F$63:$F$66</c:f>
              <c:strCache>
                <c:ptCount val="4"/>
                <c:pt idx="0">
                  <c:v>社会保障和就业支出</c:v>
                </c:pt>
                <c:pt idx="1">
                  <c:v>卫生健康支出</c:v>
                </c:pt>
                <c:pt idx="2">
                  <c:v>住房保障支出</c:v>
                </c:pt>
                <c:pt idx="3">
                  <c:v>交通运输支出</c:v>
                </c:pt>
              </c:strCache>
            </c:strRef>
          </c:cat>
          <c:val>
            <c:numRef>
              <c:f>'[决算图表(1)(1).et]Sheet1'!$G$63:$G$66</c:f>
              <c:numCache>
                <c:formatCode>General</c:formatCode>
                <c:ptCount val="4"/>
                <c:pt idx="0">
                  <c:v>329.51</c:v>
                </c:pt>
                <c:pt idx="1">
                  <c:v>150.02</c:v>
                </c:pt>
                <c:pt idx="2">
                  <c:v>190.15</c:v>
                </c:pt>
                <c:pt idx="3" c:formatCode="#,##0.00">
                  <c:v>2404.66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9775"/>
          <c:y val="0.879"/>
          <c:w val="0.804"/>
          <c:h val="0.1007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chemeClr val="tx1">
                    <a:lumMod val="65000"/>
                    <a:lumOff val="35000"/>
                  </a:schemeClr>
                </a:solidFill>
                <a:effectLst/>
                <a:latin typeface="+mn-lt"/>
                <a:ea typeface="+mn-ea"/>
                <a:cs typeface="+mn-cs"/>
              </a:rPr>
              <a:t>“三公”经费财政拨款支出结构图</a:t>
            </a:r>
            <a:endParaRPr sz="1400" b="0" i="0" u="none" strike="noStrike" kern="1200" cap="none" spc="0" normalizeH="0" baseline="0">
              <a:solidFill>
                <a:schemeClr val="tx1">
                  <a:lumMod val="65000"/>
                  <a:lumOff val="35000"/>
                </a:schemeClr>
              </a:solidFill>
              <a:effectLst/>
              <a:latin typeface="+mn-lt"/>
              <a:ea typeface="+mn-ea"/>
              <a:cs typeface="+mn-cs"/>
            </a:endParaRPr>
          </a:p>
        </c:rich>
      </c:tx>
      <c:layout/>
      <c:overlay val="0"/>
    </c:title>
    <c:autoTitleDeleted val="0"/>
    <c:plotArea>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Lbls>
            <c:dLbl>
              <c:idx val="0"/>
              <c:layout>
                <c:manualLayout>
                  <c:x val="0.0210130553902449"/>
                  <c:y val="-0.16674126951269"/>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131997399592041"/>
                  <c:y val="0.035824380948275"/>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solidFill>
                        <a:latin typeface="+mn-lt"/>
                        <a:ea typeface="+mn-ea"/>
                        <a:cs typeface="+mn-cs"/>
                      </a:defRPr>
                    </a:pPr>
                    <a:r>
                      <a:t>0, 0%</a:t>
                    </a:r>
                    <a:endParaRPr sz="900" b="0" i="0" u="none" strike="noStrike" baseline="0">
                      <a:solidFill>
                        <a:srgbClr val="000000">
                          <a:alpha val="100000"/>
                        </a:srgbClr>
                      </a:solidFill>
                      <a:latin typeface="宋体" panose="02010600030101010101" charset="-122"/>
                      <a:ea typeface="宋体" panose="02010600030101010101" charset="-122"/>
                      <a:cs typeface="宋体" panose="02010600030101010101" charset="-122"/>
                    </a:endParaRPr>
                  </a:p>
                </c:rich>
              </c:tx>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extLst>
            </c:dLbl>
            <c:numFmt formatCode="0.0%" sourceLinked="0"/>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'[决算图表(1)(1).et]Sheet1'!$A$128:$A$130</c:f>
              <c:strCache>
                <c:ptCount val="3"/>
                <c:pt idx="0">
                  <c:v>公务用车购置及运行维护费</c:v>
                </c:pt>
                <c:pt idx="1">
                  <c:v>公务接待费</c:v>
                </c:pt>
                <c:pt idx="2">
                  <c:v>因公出国（境）费支出决算</c:v>
                </c:pt>
              </c:strCache>
            </c:strRef>
          </c:cat>
          <c:val>
            <c:numRef>
              <c:f>'[决算图表(1)(1).et]Sheet1'!$B$128:$B$130</c:f>
              <c:numCache>
                <c:formatCode>General</c:formatCode>
                <c:ptCount val="3"/>
                <c:pt idx="0">
                  <c:v>16.91</c:v>
                </c:pt>
                <c:pt idx="1">
                  <c:v>0.2</c:v>
                </c:pt>
                <c:pt idx="2">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1035"/>
          <c:y val="0.834"/>
          <c:w val="0.79275"/>
          <c:h val="0.13825"/>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21</Pages>
  <Words>4759</Words>
  <Characters>5206</Characters>
  <Lines>60</Lines>
  <Paragraphs>17</Paragraphs>
  <TotalTime>7</TotalTime>
  <ScaleCrop>false</ScaleCrop>
  <LinksUpToDate>false</LinksUpToDate>
  <CharactersWithSpaces>5320</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2025-09-18T07:50:56Z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603EBDB377B54A6D9810C69CB2F4C2E0</vt:lpwstr>
  </property>
  <property fmtid="{D5CDD505-2E9C-101B-9397-08002B2CF9AE}" pid="4" name="KSOTemplateDocerSaveRecord">
    <vt:lpwstr>eyJoZGlkIjoiZjNlZDEwZjgzZTZmMmI5ZTE1ODYzMjM4YzgyM2UyYTEiLCJ1c2VySWQiOiI0MTc2NTcyMTMifQ==</vt:lpwstr>
  </property>
</Properties>
</file>