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96475"/>
      <w:bookmarkStart w:id="1" w:name="_Toc15377425"/>
      <w:bookmarkStart w:id="2" w:name="_Toc15378441"/>
      <w:bookmarkStart w:id="3" w:name="_Toc15306267"/>
      <w:bookmarkStart w:id="4" w:name="_Toc15396597"/>
      <w:bookmarkStart w:id="5" w:name="_Toc15377193"/>
    </w:p>
    <w:p>
      <w:pPr>
        <w:pStyle w:val="2"/>
        <w:spacing w:before="93"/>
        <w:rPr>
          <w:rFonts w:ascii="Times New Roman" w:eastAsia="方正小标宋简体"/>
          <w:kern w:val="2"/>
          <w:sz w:val="72"/>
          <w:szCs w:val="72"/>
        </w:rPr>
      </w:pPr>
    </w:p>
    <w:p>
      <w:pPr>
        <w:pStyle w:val="2"/>
        <w:bidi w:val="0"/>
      </w:pPr>
    </w:p>
    <w:p>
      <w:pPr>
        <w:pStyle w:val="2"/>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2024年度阿坝藏族羌族自治州公路管理局若尔盖公路管理分局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- 16 -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- 21 -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3"/>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4"/>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阿坝藏族羌族自治州公路管理局若尔盖公路管理分局属于服务型事业单位,主要负责国道G213线，省道S248线若尔盖县境内公路的维护和保养工作。</w:t>
      </w:r>
    </w:p>
    <w:p>
      <w:pPr>
        <w:pStyle w:val="4"/>
        <w:rPr>
          <w:rStyle w:val="29"/>
          <w:rFonts w:ascii="Times New Roman" w:hAnsi="Times New Roman"/>
          <w:b w:val="0"/>
          <w:bCs w:val="0"/>
        </w:rPr>
      </w:pPr>
      <w:bookmarkStart w:id="10" w:name="_Toc15377200"/>
      <w:bookmarkStart w:id="11" w:name="_Toc3661"/>
      <w:bookmarkStart w:id="12" w:name="_Toc1539660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snapToGrid w:val="0"/>
        <w:spacing w:line="520" w:lineRule="exact"/>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本单位本年度纳入本套决算编制范围的独立编制机构数共1个，比上年增加0个。</w:t>
      </w:r>
      <w:r>
        <w:rPr>
          <w:rFonts w:hint="eastAsia" w:ascii="仿宋" w:hAnsi="仿宋" w:eastAsia="仿宋"/>
          <w:color w:val="auto"/>
          <w:sz w:val="32"/>
          <w:szCs w:val="32"/>
          <w:highlight w:val="none"/>
          <w:lang w:eastAsia="zh-CN"/>
        </w:rPr>
        <w:t>分局设有党小组办公室、行政办公室、工程股、机料股、财务股、人事股、安全股，各部门各司其职并相互配合。</w:t>
      </w:r>
    </w:p>
    <w:p>
      <w:pPr>
        <w:pStyle w:val="2"/>
        <w:adjustRightInd w:val="0"/>
        <w:snapToGrid w:val="0"/>
        <w:spacing w:before="93" w:line="600" w:lineRule="exact"/>
        <w:ind w:firstLine="640" w:firstLineChars="200"/>
        <w:rPr>
          <w:rFonts w:ascii="Times New Roman" w:cs="仿宋_GB2312"/>
          <w:sz w:val="32"/>
          <w:szCs w:val="32"/>
        </w:rPr>
      </w:pPr>
    </w:p>
    <w:p>
      <w:pPr>
        <w:widowControl/>
        <w:jc w:val="left"/>
        <w:rPr>
          <w:rFonts w:eastAsia="仿宋"/>
          <w:kern w:val="0"/>
          <w:sz w:val="32"/>
          <w:szCs w:val="32"/>
        </w:rPr>
      </w:pPr>
      <w:r>
        <w:rPr>
          <w:rFonts w:eastAsia="仿宋"/>
          <w:sz w:val="32"/>
          <w:szCs w:val="32"/>
        </w:rPr>
        <w:br w:type="page"/>
      </w:r>
    </w:p>
    <w:p>
      <w:pPr>
        <w:pStyle w:val="3"/>
        <w:jc w:val="center"/>
        <w:rPr>
          <w:rFonts w:hint="eastAsia" w:ascii="黑体" w:hAnsi="黑体" w:eastAsia="黑体" w:cs="黑体"/>
          <w:b w:val="0"/>
        </w:rPr>
      </w:pPr>
      <w:bookmarkStart w:id="13" w:name="_Toc15377204"/>
      <w:bookmarkStart w:id="14" w:name="_Toc15396602"/>
      <w:bookmarkStart w:id="15" w:name="_Toc5056"/>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6603"/>
      <w:bookmarkStart w:id="17" w:name="_Toc15377205"/>
      <w:bookmarkStart w:id="18" w:name="_Toc1539"/>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465.83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9.1</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667385</wp:posOffset>
            </wp:positionH>
            <wp:positionV relativeFrom="paragraph">
              <wp:posOffset>66040</wp:posOffset>
            </wp:positionV>
            <wp:extent cx="4161790" cy="2834640"/>
            <wp:effectExtent l="4445" t="4445" r="5715" b="18415"/>
            <wp:wrapTight wrapText="bothSides">
              <wp:wrapPolygon>
                <wp:start x="-23" y="-34"/>
                <wp:lineTo x="-23" y="21450"/>
                <wp:lineTo x="21531" y="21450"/>
                <wp:lineTo x="21531" y="-34"/>
                <wp:lineTo x="-23" y="-34"/>
              </wp:wrapPolygon>
            </wp:wrapTight>
            <wp:docPr id="441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96604"/>
      <w:bookmarkStart w:id="20" w:name="_Toc15377206"/>
      <w:bookmarkStart w:id="21" w:name="_Toc22737"/>
      <w:r>
        <w:rPr>
          <w:rFonts w:hint="eastAsia" w:eastAsia="黑体"/>
          <w:sz w:val="32"/>
          <w:szCs w:val="32"/>
        </w:rPr>
        <w:t>二、收入决算情况说明</w:t>
      </w:r>
      <w:bookmarkEnd w:id="19"/>
      <w:bookmarkEnd w:id="20"/>
      <w:bookmarkEnd w:id="21"/>
    </w:p>
    <w:p>
      <w:pPr>
        <w:pStyle w:val="2"/>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525" w:firstLineChars="250"/>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485140</wp:posOffset>
            </wp:positionH>
            <wp:positionV relativeFrom="page">
              <wp:posOffset>982980</wp:posOffset>
            </wp:positionV>
            <wp:extent cx="4253230" cy="3060065"/>
            <wp:effectExtent l="4445" t="4445" r="9525" b="21590"/>
            <wp:wrapTight wrapText="bothSides">
              <wp:wrapPolygon>
                <wp:start x="-23" y="-31"/>
                <wp:lineTo x="-23" y="21483"/>
                <wp:lineTo x="21552" y="21483"/>
                <wp:lineTo x="21552" y="-31"/>
                <wp:lineTo x="-23" y="-31"/>
              </wp:wrapPolygon>
            </wp:wrapTight>
            <wp:docPr id="4411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96605"/>
      <w:bookmarkStart w:id="23" w:name="_Toc15377207"/>
      <w:bookmarkStart w:id="24" w:name="_Toc3923"/>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4,351.55</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9</w:t>
      </w:r>
      <w:r>
        <w:rPr>
          <w:rFonts w:hint="eastAsia" w:ascii="Times New Roman" w:cs="仿宋_GB2312"/>
          <w:kern w:val="2"/>
          <w:sz w:val="32"/>
          <w:szCs w:val="32"/>
          <w:lang w:val="en-US" w:eastAsia="zh-CN" w:bidi="ar-SA"/>
        </w:rPr>
        <w:t>3.7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293.68</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6.3</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451485</wp:posOffset>
            </wp:positionH>
            <wp:positionV relativeFrom="paragraph">
              <wp:posOffset>206375</wp:posOffset>
            </wp:positionV>
            <wp:extent cx="4392930" cy="2887345"/>
            <wp:effectExtent l="4445" t="4445" r="22225" b="22860"/>
            <wp:wrapTight wrapText="bothSides">
              <wp:wrapPolygon>
                <wp:start x="-22" y="-33"/>
                <wp:lineTo x="-22" y="21486"/>
                <wp:lineTo x="21522" y="21486"/>
                <wp:lineTo x="21522" y="-33"/>
                <wp:lineTo x="-22" y="-33"/>
              </wp:wrapPolygon>
            </wp:wrapTight>
            <wp:docPr id="441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96606"/>
      <w:bookmarkStart w:id="26" w:name="_Toc15377208"/>
    </w:p>
    <w:p>
      <w:pPr>
        <w:spacing w:line="600" w:lineRule="exact"/>
        <w:ind w:firstLine="640" w:firstLineChars="200"/>
        <w:outlineLvl w:val="1"/>
        <w:rPr>
          <w:rFonts w:hint="eastAsia" w:eastAsia="黑体"/>
          <w:sz w:val="32"/>
          <w:szCs w:val="32"/>
        </w:rPr>
      </w:pPr>
      <w:bookmarkStart w:id="27"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hAnsi="Times New Roman" w:eastAsia="仿宋_GB2312" w:cs="仿宋_GB2312"/>
          <w:kern w:val="2"/>
          <w:sz w:val="32"/>
          <w:szCs w:val="32"/>
          <w:lang w:val="en-US" w:eastAsia="zh-CN" w:bidi="ar-SA"/>
        </w:rPr>
        <w:t>465.83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9.1</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370840</wp:posOffset>
            </wp:positionH>
            <wp:positionV relativeFrom="paragraph">
              <wp:posOffset>121285</wp:posOffset>
            </wp:positionV>
            <wp:extent cx="4570095" cy="3133725"/>
            <wp:effectExtent l="0" t="0" r="1905" b="9525"/>
            <wp:wrapTight wrapText="bothSides">
              <wp:wrapPolygon>
                <wp:start x="0" y="0"/>
                <wp:lineTo x="0" y="21534"/>
                <wp:lineTo x="21519" y="21534"/>
                <wp:lineTo x="21519" y="0"/>
                <wp:lineTo x="0" y="0"/>
              </wp:wrapPolygon>
            </wp:wrapTight>
            <wp:docPr id="4412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28319"/>
      <w:bookmarkStart w:id="29" w:name="_Toc15396607"/>
      <w:bookmarkStart w:id="30" w:name="_Toc1537720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hAnsi="Times New Roman" w:eastAsia="仿宋_GB2312" w:cs="仿宋_GB2312"/>
          <w:kern w:val="2"/>
          <w:sz w:val="32"/>
          <w:szCs w:val="32"/>
          <w:lang w:val="en-US" w:eastAsia="zh-CN" w:bidi="ar-SA"/>
        </w:rPr>
        <w:t>465.83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9.1</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r>
        <w:drawing>
          <wp:anchor distT="0" distB="0" distL="114300" distR="114300" simplePos="0" relativeHeight="251667456" behindDoc="1" locked="0" layoutInCell="1" allowOverlap="1">
            <wp:simplePos x="0" y="0"/>
            <wp:positionH relativeFrom="column">
              <wp:posOffset>505460</wp:posOffset>
            </wp:positionH>
            <wp:positionV relativeFrom="paragraph">
              <wp:posOffset>234315</wp:posOffset>
            </wp:positionV>
            <wp:extent cx="4381500" cy="3113405"/>
            <wp:effectExtent l="4445" t="4445" r="14605" b="6350"/>
            <wp:wrapTight wrapText="bothSides">
              <wp:wrapPolygon>
                <wp:start x="-22" y="-31"/>
                <wp:lineTo x="-22" y="21512"/>
                <wp:lineTo x="21578" y="21512"/>
                <wp:lineTo x="21578" y="-31"/>
                <wp:lineTo x="-22" y="-31"/>
              </wp:wrapPolygon>
            </wp:wrapTight>
            <wp:docPr id="441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13"/>
        <w:rPr>
          <w:rFonts w:hint="eastAsia" w:eastAsia="仿宋_GB2312" w:cs="仿宋_GB2312"/>
          <w:sz w:val="32"/>
          <w:szCs w:val="32"/>
        </w:rPr>
      </w:pPr>
    </w:p>
    <w:p>
      <w:pPr>
        <w:pStyle w:val="7"/>
        <w:rPr>
          <w:rFonts w:hint="eastAsia" w:eastAsia="仿宋_GB2312" w:cs="仿宋_GB2312"/>
          <w:sz w:val="32"/>
          <w:szCs w:val="32"/>
        </w:rPr>
      </w:pP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577.06</w:t>
      </w:r>
      <w:r>
        <w:rPr>
          <w:rFonts w:hint="eastAsia" w:eastAsia="仿宋_GB2312" w:cs="仿宋_GB2312"/>
          <w:sz w:val="32"/>
          <w:szCs w:val="32"/>
        </w:rPr>
        <w:t>万元，占</w:t>
      </w:r>
      <w:r>
        <w:rPr>
          <w:rFonts w:hint="eastAsia" w:eastAsia="仿宋_GB2312" w:cs="仿宋_GB2312"/>
          <w:sz w:val="32"/>
          <w:szCs w:val="32"/>
          <w:lang w:val="en-US" w:eastAsia="zh-CN"/>
        </w:rPr>
        <w:t>12.4</w:t>
      </w:r>
      <w:r>
        <w:rPr>
          <w:rFonts w:hint="eastAsia" w:eastAsia="仿宋_GB2312" w:cs="仿宋_GB2312"/>
          <w:sz w:val="32"/>
          <w:szCs w:val="32"/>
        </w:rPr>
        <w:t>%；卫生健康支出</w:t>
      </w:r>
      <w:r>
        <w:rPr>
          <w:rFonts w:hint="eastAsia" w:eastAsia="仿宋_GB2312" w:cs="仿宋_GB2312"/>
          <w:sz w:val="32"/>
          <w:szCs w:val="32"/>
          <w:lang w:val="en-US" w:eastAsia="zh-CN"/>
        </w:rPr>
        <w:t>208.44</w:t>
      </w:r>
      <w:r>
        <w:rPr>
          <w:rFonts w:hint="eastAsia" w:eastAsia="仿宋_GB2312" w:cs="仿宋_GB2312"/>
          <w:sz w:val="32"/>
          <w:szCs w:val="32"/>
        </w:rPr>
        <w:t>万元，占</w:t>
      </w:r>
      <w:r>
        <w:rPr>
          <w:rFonts w:hint="eastAsia" w:eastAsia="仿宋_GB2312" w:cs="仿宋_GB2312"/>
          <w:sz w:val="32"/>
          <w:szCs w:val="32"/>
          <w:lang w:val="en-US" w:eastAsia="zh-CN"/>
        </w:rPr>
        <w:t>4.5</w:t>
      </w:r>
      <w:r>
        <w:rPr>
          <w:rFonts w:hint="eastAsia" w:eastAsia="仿宋_GB2312" w:cs="仿宋_GB2312"/>
          <w:sz w:val="32"/>
          <w:szCs w:val="32"/>
        </w:rPr>
        <w:t>%；交通运输支出</w:t>
      </w:r>
      <w:r>
        <w:rPr>
          <w:rFonts w:hint="eastAsia" w:eastAsia="仿宋_GB2312" w:cs="仿宋_GB2312"/>
          <w:sz w:val="32"/>
          <w:szCs w:val="32"/>
          <w:lang w:val="en-US" w:eastAsia="zh-CN"/>
        </w:rPr>
        <w:t>3,596.91万元，占77.4%；</w:t>
      </w:r>
      <w:r>
        <w:rPr>
          <w:rFonts w:hint="eastAsia" w:eastAsia="仿宋_GB2312" w:cs="仿宋_GB2312"/>
          <w:sz w:val="32"/>
          <w:szCs w:val="32"/>
        </w:rPr>
        <w:t>住房保障支出</w:t>
      </w:r>
      <w:r>
        <w:rPr>
          <w:rFonts w:hint="eastAsia" w:eastAsia="仿宋_GB2312" w:cs="仿宋_GB2312"/>
          <w:sz w:val="32"/>
          <w:szCs w:val="32"/>
          <w:lang w:val="en-US" w:eastAsia="zh-CN"/>
        </w:rPr>
        <w:t>262.82</w:t>
      </w:r>
      <w:r>
        <w:rPr>
          <w:rFonts w:hint="eastAsia" w:eastAsia="仿宋_GB2312" w:cs="仿宋_GB2312"/>
          <w:sz w:val="32"/>
          <w:szCs w:val="32"/>
        </w:rPr>
        <w:t>万元，占</w:t>
      </w:r>
      <w:r>
        <w:rPr>
          <w:rFonts w:hint="eastAsia" w:eastAsia="仿宋_GB2312" w:cs="仿宋_GB2312"/>
          <w:sz w:val="32"/>
          <w:szCs w:val="32"/>
          <w:lang w:val="en-US" w:eastAsia="zh-CN"/>
        </w:rPr>
        <w:t>5.7</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8480" behindDoc="1" locked="0" layoutInCell="1" allowOverlap="1">
            <wp:simplePos x="0" y="0"/>
            <wp:positionH relativeFrom="column">
              <wp:posOffset>320040</wp:posOffset>
            </wp:positionH>
            <wp:positionV relativeFrom="paragraph">
              <wp:posOffset>72390</wp:posOffset>
            </wp:positionV>
            <wp:extent cx="4627880" cy="3728720"/>
            <wp:effectExtent l="4445" t="4445" r="15875" b="19685"/>
            <wp:wrapTight wrapText="bothSides">
              <wp:wrapPolygon>
                <wp:start x="-21" y="-26"/>
                <wp:lineTo x="-21" y="21493"/>
                <wp:lineTo x="21496" y="21493"/>
                <wp:lineTo x="21496" y="-26"/>
                <wp:lineTo x="-21" y="-26"/>
              </wp:wrapPolygon>
            </wp:wrapTight>
            <wp:docPr id="4412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8460"/>
      <w:bookmarkStart w:id="35" w:name="_Toc15377213"/>
      <w:bookmarkStart w:id="36" w:name="_Toc15377444"/>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645.23</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91.02</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323.91</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3.社会保障和就业（类）行政事业单位养老支出（款）机关事业单位职业年金缴费支出（项）：支出决算为162.14万元，完成预算100%，决算数等于预算数。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119.5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88.94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3,596.91</w:t>
      </w:r>
      <w:r>
        <w:rPr>
          <w:rFonts w:hint="eastAsia" w:eastAsia="仿宋_GB2312" w:cs="仿宋_GB2312"/>
          <w:sz w:val="32"/>
          <w:szCs w:val="32"/>
        </w:rPr>
        <w:t>万元，完成预算</w:t>
      </w:r>
      <w:r>
        <w:rPr>
          <w:rFonts w:hint="eastAsia" w:eastAsia="仿宋_GB2312" w:cs="仿宋_GB2312"/>
          <w:sz w:val="32"/>
          <w:szCs w:val="32"/>
          <w:lang w:val="en-US" w:eastAsia="zh-CN"/>
        </w:rPr>
        <w:t>99.9</w:t>
      </w:r>
      <w:r>
        <w:rPr>
          <w:rFonts w:hint="eastAsia" w:eastAsia="仿宋_GB2312" w:cs="仿宋_GB2312"/>
          <w:sz w:val="32"/>
          <w:szCs w:val="32"/>
        </w:rPr>
        <w:t>%，决算数</w:t>
      </w:r>
      <w:r>
        <w:rPr>
          <w:rFonts w:hint="eastAsia" w:eastAsia="仿宋_GB2312" w:cs="仿宋_GB2312"/>
          <w:sz w:val="32"/>
          <w:szCs w:val="32"/>
          <w:lang w:val="en-US" w:eastAsia="zh-CN"/>
        </w:rPr>
        <w:t>小</w:t>
      </w:r>
      <w:r>
        <w:rPr>
          <w:rFonts w:hint="eastAsia" w:eastAsia="仿宋_GB2312" w:cs="仿宋_GB2312"/>
          <w:sz w:val="32"/>
          <w:szCs w:val="32"/>
        </w:rPr>
        <w:t>于预算数</w:t>
      </w:r>
      <w:r>
        <w:rPr>
          <w:rFonts w:hint="eastAsia" w:eastAsia="仿宋_GB2312" w:cs="仿宋_GB2312"/>
          <w:sz w:val="32"/>
          <w:szCs w:val="32"/>
          <w:lang w:val="en-US" w:eastAsia="zh-CN"/>
        </w:rPr>
        <w:t>的主要原因是若尔盖公路分局购置特种专用车（洒水车、洗扫车）项目未全部支出</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7.住房保障（类）住房改革支出（款）住房公积金（项）：支出决算为246.82万元，完成预算100%，决算数等于预算数。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8.住房保障（类）住房改革支出（款）购房补贴（项）：支出决算为16万元，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2024年度一般公共预算财政拨款基本支出4,351.55</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4,132.4</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公用经费2</w:t>
      </w:r>
      <w:r>
        <w:rPr>
          <w:rFonts w:hint="eastAsia" w:eastAsia="仿宋_GB2312" w:cs="仿宋_GB2312"/>
          <w:sz w:val="32"/>
          <w:szCs w:val="32"/>
          <w:lang w:val="en-US" w:eastAsia="zh-CN"/>
        </w:rPr>
        <w:t>19.15</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w:t>
      </w:r>
      <w:r>
        <w:rPr>
          <w:rFonts w:hint="eastAsia" w:eastAsia="仿宋_GB2312" w:cs="仿宋_GB2312"/>
          <w:sz w:val="32"/>
          <w:szCs w:val="32"/>
          <w:lang w:val="en-US" w:eastAsia="zh-CN"/>
        </w:rPr>
        <w:t>水费、</w:t>
      </w:r>
      <w:r>
        <w:rPr>
          <w:rFonts w:hint="eastAsia" w:eastAsia="仿宋_GB2312" w:cs="仿宋_GB2312"/>
          <w:sz w:val="32"/>
          <w:szCs w:val="32"/>
        </w:rPr>
        <w:t>电费、邮电费、差旅费、维修（护）费、培训费、公务接待费、</w:t>
      </w:r>
      <w:r>
        <w:rPr>
          <w:rFonts w:hint="eastAsia" w:eastAsia="仿宋_GB2312" w:cs="仿宋_GB2312"/>
          <w:sz w:val="32"/>
          <w:szCs w:val="32"/>
          <w:lang w:val="en-US" w:eastAsia="zh-CN"/>
        </w:rPr>
        <w:t>专用材料费、</w:t>
      </w:r>
      <w:r>
        <w:rPr>
          <w:rFonts w:hint="eastAsia" w:eastAsia="仿宋_GB2312" w:cs="仿宋_GB2312"/>
          <w:sz w:val="32"/>
          <w:szCs w:val="32"/>
        </w:rPr>
        <w:t>劳务费、福利费、公务用车运行维护费、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0" w:name="_Toc3121"/>
      <w:bookmarkStart w:id="41" w:name="_Toc15377215"/>
      <w:bookmarkStart w:id="42" w:name="_Toc15396609"/>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18.39</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减少0.76</w:t>
      </w:r>
      <w:r>
        <w:rPr>
          <w:rFonts w:hint="eastAsia" w:eastAsia="仿宋_GB2312" w:cs="仿宋_GB2312"/>
          <w:sz w:val="32"/>
          <w:szCs w:val="32"/>
        </w:rPr>
        <w:t>万元，</w:t>
      </w:r>
      <w:r>
        <w:rPr>
          <w:rFonts w:hint="eastAsia" w:eastAsia="仿宋_GB2312" w:cs="仿宋_GB2312"/>
          <w:sz w:val="32"/>
          <w:szCs w:val="32"/>
          <w:lang w:val="en-US" w:eastAsia="zh-CN"/>
        </w:rPr>
        <w:t>下降4</w:t>
      </w:r>
      <w:r>
        <w:rPr>
          <w:rFonts w:hint="eastAsia" w:eastAsia="仿宋_GB2312" w:cs="仿宋_GB2312"/>
          <w:sz w:val="32"/>
          <w:szCs w:val="32"/>
        </w:rPr>
        <w:t>%。决算数</w:t>
      </w:r>
      <w:r>
        <w:rPr>
          <w:rFonts w:hint="eastAsia" w:eastAsia="仿宋_GB2312" w:cs="仿宋_GB2312"/>
          <w:sz w:val="32"/>
          <w:szCs w:val="32"/>
          <w:lang w:val="en-US" w:eastAsia="zh-CN"/>
        </w:rPr>
        <w:t>等于</w:t>
      </w:r>
      <w:r>
        <w:rPr>
          <w:rFonts w:hint="eastAsia" w:eastAsia="仿宋_GB2312" w:cs="仿宋_GB2312"/>
          <w:sz w:val="32"/>
          <w:szCs w:val="32"/>
        </w:rPr>
        <w:t>预算数</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18.28</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99.4%</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0.12万元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0.6%</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571500</wp:posOffset>
            </wp:positionH>
            <wp:positionV relativeFrom="paragraph">
              <wp:posOffset>142875</wp:posOffset>
            </wp:positionV>
            <wp:extent cx="4253865" cy="2973070"/>
            <wp:effectExtent l="4445" t="4445" r="8890" b="13335"/>
            <wp:wrapTight wrapText="bothSides">
              <wp:wrapPolygon>
                <wp:start x="-23" y="-32"/>
                <wp:lineTo x="-23" y="21558"/>
                <wp:lineTo x="21548" y="21558"/>
                <wp:lineTo x="21548" y="-32"/>
                <wp:lineTo x="-23" y="-32"/>
              </wp:wrapPolygon>
            </wp:wrapTight>
            <wp:docPr id="441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18.21</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减少0.79</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下降4.2</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减少</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8</w:t>
      </w:r>
      <w:r>
        <w:rPr>
          <w:rFonts w:hint="eastAsia" w:eastAsia="仿宋_GB2312" w:cs="仿宋_GB2312"/>
          <w:sz w:val="32"/>
          <w:szCs w:val="32"/>
        </w:rPr>
        <w:t>辆，其中：应急保障用车</w:t>
      </w:r>
      <w:r>
        <w:rPr>
          <w:rFonts w:hint="eastAsia" w:eastAsia="仿宋_GB2312" w:cs="仿宋_GB2312"/>
          <w:sz w:val="32"/>
          <w:szCs w:val="32"/>
          <w:lang w:val="en-US" w:eastAsia="zh-CN"/>
        </w:rPr>
        <w:t>3</w:t>
      </w:r>
      <w:r>
        <w:rPr>
          <w:rFonts w:hint="eastAsia"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2辆、其他用车3辆</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18.21</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0.12</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减少0.03</w:t>
      </w:r>
      <w:r>
        <w:rPr>
          <w:rFonts w:hint="eastAsia" w:eastAsia="仿宋_GB2312" w:cs="仿宋_GB2312"/>
          <w:sz w:val="32"/>
          <w:szCs w:val="32"/>
        </w:rPr>
        <w:t>万元，</w:t>
      </w:r>
      <w:r>
        <w:rPr>
          <w:rFonts w:hint="eastAsia" w:eastAsia="仿宋_GB2312" w:cs="仿宋_GB2312"/>
          <w:sz w:val="32"/>
          <w:szCs w:val="32"/>
          <w:lang w:val="en-US" w:eastAsia="zh-CN"/>
        </w:rPr>
        <w:t>下降20</w:t>
      </w:r>
      <w:r>
        <w:rPr>
          <w:rFonts w:hint="eastAsia" w:eastAsia="仿宋_GB2312" w:cs="仿宋_GB2312"/>
          <w:sz w:val="32"/>
          <w:szCs w:val="32"/>
        </w:rPr>
        <w:t>%。主要原因是</w:t>
      </w:r>
      <w:r>
        <w:rPr>
          <w:rFonts w:hint="eastAsia" w:eastAsia="仿宋_GB2312" w:cs="仿宋_GB2312"/>
          <w:sz w:val="32"/>
          <w:szCs w:val="32"/>
          <w:lang w:val="en-US" w:eastAsia="zh-CN"/>
        </w:rPr>
        <w:t>本年减少公务接待支出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0.12</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元，主要用于</w:t>
      </w:r>
      <w:r>
        <w:rPr>
          <w:rFonts w:hint="eastAsia"/>
          <w:sz w:val="32"/>
          <w:szCs w:val="32"/>
          <w:lang w:val="en-US" w:eastAsia="zh-CN"/>
        </w:rPr>
        <w:t>接待一季度、第二季度</w:t>
      </w:r>
      <w:r>
        <w:rPr>
          <w:rFonts w:hint="eastAsia" w:eastAsia="仿宋_GB2312" w:cs="仿宋_GB2312"/>
          <w:sz w:val="32"/>
          <w:szCs w:val="32"/>
          <w:highlight w:val="none"/>
        </w:rPr>
        <w:t>考核工作期间发生的用餐费等。国内公务接</w:t>
      </w:r>
      <w:r>
        <w:rPr>
          <w:rFonts w:hint="eastAsia" w:ascii="仿宋_GB2312" w:hAnsi="仿宋_GB2312" w:eastAsia="仿宋_GB2312" w:cs="仿宋_GB2312"/>
          <w:sz w:val="32"/>
          <w:szCs w:val="32"/>
          <w:highlight w:val="none"/>
        </w:rPr>
        <w:t>待</w:t>
      </w:r>
      <w:r>
        <w:rPr>
          <w:rFonts w:hint="eastAsia" w:ascii="仿宋" w:hAnsi="仿宋" w:eastAsia="仿宋"/>
          <w:color w:val="auto"/>
          <w:sz w:val="32"/>
          <w:szCs w:val="32"/>
          <w:highlight w:val="none"/>
          <w:lang w:val="en-US" w:eastAsia="zh-CN"/>
        </w:rPr>
        <w:t>2</w:t>
      </w:r>
      <w:r>
        <w:rPr>
          <w:rFonts w:hint="eastAsia" w:ascii="仿宋_GB2312" w:hAnsi="仿宋_GB2312" w:eastAsia="仿宋_GB2312" w:cs="仿宋_GB2312"/>
          <w:sz w:val="32"/>
          <w:szCs w:val="32"/>
          <w:highlight w:val="none"/>
        </w:rPr>
        <w:t>批次，</w:t>
      </w:r>
      <w:r>
        <w:rPr>
          <w:rFonts w:hint="eastAsia" w:eastAsia="仿宋_GB2312" w:cs="仿宋_GB2312"/>
          <w:sz w:val="32"/>
          <w:szCs w:val="32"/>
          <w:highlight w:val="none"/>
          <w:lang w:val="en-US" w:eastAsia="zh-CN"/>
        </w:rPr>
        <w:t>16</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0.12</w:t>
      </w:r>
      <w:r>
        <w:rPr>
          <w:rFonts w:hint="eastAsia" w:eastAsia="仿宋_GB2312" w:cs="仿宋_GB2312"/>
          <w:sz w:val="32"/>
          <w:szCs w:val="32"/>
          <w:highlight w:val="none"/>
        </w:rPr>
        <w:t>万元，具体内容包括：</w:t>
      </w:r>
      <w:r>
        <w:rPr>
          <w:rFonts w:hint="eastAsia" w:eastAsia="仿宋_GB2312" w:cs="仿宋_GB2312"/>
          <w:sz w:val="32"/>
          <w:szCs w:val="32"/>
          <w:highlight w:val="none"/>
          <w:lang w:val="en-US" w:eastAsia="zh-CN"/>
        </w:rPr>
        <w:t>接待一季度考核组一餐550元，接待二季度考核组一餐600元。</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96610"/>
      <w:bookmarkStart w:id="46" w:name="_Toc15377218"/>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4890"/>
      <w:bookmarkStart w:id="49" w:name="_Toc15396611"/>
      <w:bookmarkStart w:id="50" w:name="_Toc15377219"/>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96612"/>
      <w:bookmarkStart w:id="52" w:name="_Toc17012"/>
      <w:bookmarkStart w:id="53" w:name="_Toc15377221"/>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阿坝藏族羌族自治州公路管理局若尔盖公路管理分局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阿坝藏族羌族自治州公路管理局若尔盖公路管理分局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95.5</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95.5</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阿坝藏族羌族自治州公路管理局若尔盖公路管理分局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8</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3</w:t>
      </w:r>
      <w:r>
        <w:rPr>
          <w:rFonts w:hint="eastAsia" w:ascii="仿宋_GB2312" w:hAnsi="仿宋_GB2312"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2辆、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3</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lang w:val="en-US" w:eastAsia="zh-CN"/>
        </w:rPr>
        <w:t>阿坝藏族羌族自治州公路管理局若尔盖公路管理分局</w:t>
      </w:r>
      <w:r>
        <w:rPr>
          <w:rFonts w:hint="eastAsia" w:eastAsia="仿宋_GB2312" w:cs="仿宋_GB2312"/>
          <w:sz w:val="32"/>
          <w:szCs w:val="32"/>
        </w:rPr>
        <w:t>在2024年度预算编制阶段，组织对追加州级部门建房补贴</w:t>
      </w:r>
      <w:r>
        <w:rPr>
          <w:rFonts w:hint="eastAsia" w:eastAsia="仿宋_GB2312" w:cs="仿宋_GB2312"/>
          <w:sz w:val="32"/>
          <w:szCs w:val="32"/>
          <w:lang w:eastAsia="zh-CN"/>
        </w:rPr>
        <w:t>、若尔盖县公路分局交调站维护费、若尔盖公路分局养护机械运行维护费、2023年若尔盖公路管理分局丧葬抚恤金、若尔盖公路管理分局八一建军节慰问费、若尔盖公路管理分局退休人员春节慰问费、若尔盖公路管理分局隧道电费、若尔盖公路管理分局水毁应急抢险、若尔盖公路分局购置特种专用车（洒水车、洗扫车）项目</w:t>
      </w:r>
      <w:r>
        <w:rPr>
          <w:rFonts w:hint="eastAsia" w:eastAsia="仿宋_GB2312" w:cs="仿宋_GB2312"/>
          <w:sz w:val="32"/>
          <w:szCs w:val="32"/>
          <w:lang w:val="en-US" w:eastAsia="zh-CN"/>
        </w:rPr>
        <w:t>9</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9</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9</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9</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ind w:left="0" w:leftChars="0" w:firstLine="0" w:firstLineChars="0"/>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15396613"/>
      <w:bookmarkStart w:id="58" w:name="_Toc15377225"/>
      <w:bookmarkStart w:id="59" w:name="_Toc24234"/>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1707"/>
      <w:bookmarkStart w:id="62" w:name="_Toc15396614"/>
      <w:r>
        <w:rPr>
          <w:rFonts w:hint="eastAsia" w:eastAsia="黑体"/>
          <w:sz w:val="44"/>
          <w:szCs w:val="44"/>
        </w:rPr>
        <w:t>第四部分  附件</w:t>
      </w:r>
      <w:bookmarkEnd w:id="61"/>
      <w:bookmarkEnd w:id="62"/>
    </w:p>
    <w:p>
      <w:pPr>
        <w:pStyle w:val="2"/>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r>
        <w:drawing>
          <wp:anchor distT="0" distB="0" distL="114300" distR="114300" simplePos="0" relativeHeight="251670528" behindDoc="1" locked="0" layoutInCell="1" allowOverlap="1">
            <wp:simplePos x="0" y="0"/>
            <wp:positionH relativeFrom="column">
              <wp:posOffset>-259715</wp:posOffset>
            </wp:positionH>
            <wp:positionV relativeFrom="paragraph">
              <wp:posOffset>78105</wp:posOffset>
            </wp:positionV>
            <wp:extent cx="5786755" cy="3822700"/>
            <wp:effectExtent l="0" t="0" r="4445" b="0"/>
            <wp:wrapTight wrapText="bothSides">
              <wp:wrapPolygon>
                <wp:start x="0" y="0"/>
                <wp:lineTo x="0" y="21528"/>
                <wp:lineTo x="21545" y="21528"/>
                <wp:lineTo x="21545" y="0"/>
                <wp:lineTo x="0" y="0"/>
              </wp:wrapPolygon>
            </wp:wrapTight>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786755" cy="3822700"/>
                    </a:xfrm>
                    <a:prstGeom prst="rect">
                      <a:avLst/>
                    </a:prstGeom>
                    <a:noFill/>
                    <a:ln>
                      <a:noFill/>
                    </a:ln>
                  </pic:spPr>
                </pic:pic>
              </a:graphicData>
            </a:graphic>
          </wp:anchor>
        </w:drawing>
      </w:r>
    </w:p>
    <w:p>
      <w:pPr>
        <w:jc w:val="both"/>
      </w:pPr>
      <w:r>
        <w:drawing>
          <wp:anchor distT="0" distB="0" distL="114300" distR="114300" simplePos="0" relativeHeight="251671552" behindDoc="1" locked="0" layoutInCell="1" allowOverlap="1">
            <wp:simplePos x="0" y="0"/>
            <wp:positionH relativeFrom="column">
              <wp:posOffset>-268605</wp:posOffset>
            </wp:positionH>
            <wp:positionV relativeFrom="paragraph">
              <wp:posOffset>78740</wp:posOffset>
            </wp:positionV>
            <wp:extent cx="5803265" cy="3634740"/>
            <wp:effectExtent l="0" t="0" r="6985" b="0"/>
            <wp:wrapTight wrapText="bothSides">
              <wp:wrapPolygon>
                <wp:start x="0" y="0"/>
                <wp:lineTo x="0" y="21509"/>
                <wp:lineTo x="21555" y="21509"/>
                <wp:lineTo x="21555" y="0"/>
                <wp:lineTo x="0" y="0"/>
              </wp:wrapPolygon>
            </wp:wrapTight>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7"/>
                    <a:stretch>
                      <a:fillRect/>
                    </a:stretch>
                  </pic:blipFill>
                  <pic:spPr>
                    <a:xfrm>
                      <a:off x="0" y="0"/>
                      <a:ext cx="5803265" cy="3634740"/>
                    </a:xfrm>
                    <a:prstGeom prst="rect">
                      <a:avLst/>
                    </a:prstGeom>
                    <a:noFill/>
                    <a:ln>
                      <a:noFill/>
                    </a:ln>
                  </pic:spPr>
                </pic:pic>
              </a:graphicData>
            </a:graphic>
          </wp:anchor>
        </w:drawing>
      </w:r>
    </w:p>
    <w:p>
      <w:pPr>
        <w:jc w:val="both"/>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3600" behindDoc="1" locked="0" layoutInCell="1" allowOverlap="1">
            <wp:simplePos x="0" y="0"/>
            <wp:positionH relativeFrom="column">
              <wp:posOffset>-285750</wp:posOffset>
            </wp:positionH>
            <wp:positionV relativeFrom="paragraph">
              <wp:posOffset>4316095</wp:posOffset>
            </wp:positionV>
            <wp:extent cx="5811520" cy="4153535"/>
            <wp:effectExtent l="0" t="0" r="17780" b="0"/>
            <wp:wrapTight wrapText="bothSides">
              <wp:wrapPolygon>
                <wp:start x="0" y="0"/>
                <wp:lineTo x="0" y="21498"/>
                <wp:lineTo x="21524" y="21498"/>
                <wp:lineTo x="21524" y="0"/>
                <wp:lineTo x="0" y="0"/>
              </wp:wrapPolygon>
            </wp:wrapTight>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8"/>
                    <a:stretch>
                      <a:fillRect/>
                    </a:stretch>
                  </pic:blipFill>
                  <pic:spPr>
                    <a:xfrm>
                      <a:off x="0" y="0"/>
                      <a:ext cx="5811520" cy="4153535"/>
                    </a:xfrm>
                    <a:prstGeom prst="rect">
                      <a:avLst/>
                    </a:prstGeom>
                    <a:noFill/>
                    <a:ln>
                      <a:noFill/>
                    </a:ln>
                  </pic:spPr>
                </pic:pic>
              </a:graphicData>
            </a:graphic>
          </wp:anchor>
        </w:drawing>
      </w:r>
      <w:r>
        <w:drawing>
          <wp:anchor distT="0" distB="0" distL="114300" distR="114300" simplePos="0" relativeHeight="251672576" behindDoc="1" locked="0" layoutInCell="1" allowOverlap="1">
            <wp:simplePos x="0" y="0"/>
            <wp:positionH relativeFrom="column">
              <wp:posOffset>-251460</wp:posOffset>
            </wp:positionH>
            <wp:positionV relativeFrom="paragraph">
              <wp:posOffset>124460</wp:posOffset>
            </wp:positionV>
            <wp:extent cx="5751830" cy="3816350"/>
            <wp:effectExtent l="0" t="0" r="1270" b="0"/>
            <wp:wrapTight wrapText="bothSides">
              <wp:wrapPolygon>
                <wp:start x="0" y="0"/>
                <wp:lineTo x="0" y="21456"/>
                <wp:lineTo x="21533" y="21456"/>
                <wp:lineTo x="21533" y="0"/>
                <wp:lineTo x="0" y="0"/>
              </wp:wrapPolygon>
            </wp:wrapTight>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9"/>
                    <a:stretch>
                      <a:fillRect/>
                    </a:stretch>
                  </pic:blipFill>
                  <pic:spPr>
                    <a:xfrm>
                      <a:off x="0" y="0"/>
                      <a:ext cx="5751830" cy="381635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r>
        <w:drawing>
          <wp:anchor distT="0" distB="0" distL="114300" distR="114300" simplePos="0" relativeHeight="251675648" behindDoc="1" locked="0" layoutInCell="1" allowOverlap="1">
            <wp:simplePos x="0" y="0"/>
            <wp:positionH relativeFrom="column">
              <wp:posOffset>-199390</wp:posOffset>
            </wp:positionH>
            <wp:positionV relativeFrom="paragraph">
              <wp:posOffset>4835525</wp:posOffset>
            </wp:positionV>
            <wp:extent cx="5742940" cy="3720465"/>
            <wp:effectExtent l="0" t="0" r="10160" b="0"/>
            <wp:wrapTight wrapText="bothSides">
              <wp:wrapPolygon>
                <wp:start x="0" y="0"/>
                <wp:lineTo x="0" y="21456"/>
                <wp:lineTo x="21495" y="21456"/>
                <wp:lineTo x="21495" y="0"/>
                <wp:lineTo x="0" y="0"/>
              </wp:wrapPolygon>
            </wp:wrapTight>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0"/>
                    <a:stretch>
                      <a:fillRect/>
                    </a:stretch>
                  </pic:blipFill>
                  <pic:spPr>
                    <a:xfrm>
                      <a:off x="0" y="0"/>
                      <a:ext cx="5742940" cy="3720465"/>
                    </a:xfrm>
                    <a:prstGeom prst="rect">
                      <a:avLst/>
                    </a:prstGeom>
                    <a:noFill/>
                    <a:ln>
                      <a:noFill/>
                    </a:ln>
                  </pic:spPr>
                </pic:pic>
              </a:graphicData>
            </a:graphic>
          </wp:anchor>
        </w:drawing>
      </w:r>
      <w:r>
        <w:drawing>
          <wp:anchor distT="0" distB="0" distL="114300" distR="114300" simplePos="0" relativeHeight="251674624" behindDoc="1" locked="0" layoutInCell="1" allowOverlap="1">
            <wp:simplePos x="0" y="0"/>
            <wp:positionH relativeFrom="column">
              <wp:posOffset>-198755</wp:posOffset>
            </wp:positionH>
            <wp:positionV relativeFrom="paragraph">
              <wp:posOffset>184785</wp:posOffset>
            </wp:positionV>
            <wp:extent cx="5725795" cy="4274185"/>
            <wp:effectExtent l="0" t="0" r="8255" b="0"/>
            <wp:wrapTight wrapText="bothSides">
              <wp:wrapPolygon>
                <wp:start x="0" y="0"/>
                <wp:lineTo x="0" y="21468"/>
                <wp:lineTo x="21559" y="21468"/>
                <wp:lineTo x="21559" y="0"/>
                <wp:lineTo x="0" y="0"/>
              </wp:wrapPolygon>
            </wp:wrapTight>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1"/>
                    <a:stretch>
                      <a:fillRect/>
                    </a:stretch>
                  </pic:blipFill>
                  <pic:spPr>
                    <a:xfrm>
                      <a:off x="0" y="0"/>
                      <a:ext cx="5725795" cy="427418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r>
        <w:drawing>
          <wp:anchor distT="0" distB="0" distL="114300" distR="114300" simplePos="0" relativeHeight="251676672" behindDoc="1" locked="0" layoutInCell="1" allowOverlap="1">
            <wp:simplePos x="0" y="0"/>
            <wp:positionH relativeFrom="column">
              <wp:posOffset>-224790</wp:posOffset>
            </wp:positionH>
            <wp:positionV relativeFrom="paragraph">
              <wp:posOffset>236855</wp:posOffset>
            </wp:positionV>
            <wp:extent cx="5742940" cy="3805555"/>
            <wp:effectExtent l="0" t="0" r="10160" b="0"/>
            <wp:wrapTight wrapText="bothSides">
              <wp:wrapPolygon>
                <wp:start x="0" y="0"/>
                <wp:lineTo x="0" y="21517"/>
                <wp:lineTo x="21495" y="21517"/>
                <wp:lineTo x="21495" y="0"/>
                <wp:lineTo x="0" y="0"/>
              </wp:wrapPolygon>
            </wp:wrapTight>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22"/>
                    <a:stretch>
                      <a:fillRect/>
                    </a:stretch>
                  </pic:blipFill>
                  <pic:spPr>
                    <a:xfrm>
                      <a:off x="0" y="0"/>
                      <a:ext cx="5742940" cy="380555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7696" behindDoc="1" locked="0" layoutInCell="1" allowOverlap="1">
            <wp:simplePos x="0" y="0"/>
            <wp:positionH relativeFrom="column">
              <wp:posOffset>-242570</wp:posOffset>
            </wp:positionH>
            <wp:positionV relativeFrom="paragraph">
              <wp:posOffset>66040</wp:posOffset>
            </wp:positionV>
            <wp:extent cx="5785485" cy="3928110"/>
            <wp:effectExtent l="0" t="0" r="5715" b="0"/>
            <wp:wrapTight wrapText="bothSides">
              <wp:wrapPolygon>
                <wp:start x="0" y="0"/>
                <wp:lineTo x="0" y="21474"/>
                <wp:lineTo x="21550" y="21474"/>
                <wp:lineTo x="21550" y="0"/>
                <wp:lineTo x="0" y="0"/>
              </wp:wrapPolygon>
            </wp:wrapTight>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23"/>
                    <a:stretch>
                      <a:fillRect/>
                    </a:stretch>
                  </pic:blipFill>
                  <pic:spPr>
                    <a:xfrm>
                      <a:off x="0" y="0"/>
                      <a:ext cx="5785485" cy="392811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8720" behindDoc="1" locked="0" layoutInCell="1" allowOverlap="1">
            <wp:simplePos x="0" y="0"/>
            <wp:positionH relativeFrom="column">
              <wp:posOffset>-207645</wp:posOffset>
            </wp:positionH>
            <wp:positionV relativeFrom="paragraph">
              <wp:posOffset>340995</wp:posOffset>
            </wp:positionV>
            <wp:extent cx="5742940" cy="4240530"/>
            <wp:effectExtent l="0" t="0" r="10160" b="0"/>
            <wp:wrapTight wrapText="bothSides">
              <wp:wrapPolygon>
                <wp:start x="0" y="0"/>
                <wp:lineTo x="0" y="21542"/>
                <wp:lineTo x="21495" y="21542"/>
                <wp:lineTo x="21495" y="0"/>
                <wp:lineTo x="0" y="0"/>
              </wp:wrapPolygon>
            </wp:wrapTight>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4"/>
                    <a:stretch>
                      <a:fillRect/>
                    </a:stretch>
                  </pic:blipFill>
                  <pic:spPr>
                    <a:xfrm>
                      <a:off x="0" y="0"/>
                      <a:ext cx="5742940" cy="424053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pStyle w:val="2"/>
        <w:rPr>
          <w:rFonts w:hint="eastAsia" w:eastAsia="黑体"/>
          <w:sz w:val="44"/>
          <w:szCs w:val="44"/>
        </w:rPr>
      </w:pPr>
    </w:p>
    <w:p>
      <w:pPr>
        <w:pStyle w:val="2"/>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both"/>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4"/>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4"/>
        <w:rPr>
          <w:rStyle w:val="37"/>
          <w:rFonts w:hint="eastAsia" w:ascii="仿宋" w:hAnsi="仿宋" w:eastAsia="仿宋"/>
          <w:b w:val="0"/>
          <w:bCs w:val="0"/>
        </w:rPr>
      </w:pPr>
      <w:bookmarkStart w:id="67" w:name="_Toc9008"/>
      <w:bookmarkStart w:id="68" w:name="_Toc15396620"/>
      <w:r>
        <w:rPr>
          <w:rStyle w:val="37"/>
          <w:rFonts w:hint="eastAsia" w:ascii="仿宋" w:hAnsi="仿宋" w:eastAsia="仿宋"/>
          <w:b w:val="0"/>
          <w:bCs w:val="0"/>
        </w:rPr>
        <w:t>二、收入决算表</w:t>
      </w:r>
      <w:bookmarkEnd w:id="67"/>
      <w:bookmarkEnd w:id="68"/>
    </w:p>
    <w:p>
      <w:pPr>
        <w:pStyle w:val="4"/>
        <w:rPr>
          <w:rStyle w:val="37"/>
          <w:rFonts w:hint="eastAsia" w:ascii="仿宋" w:hAnsi="仿宋" w:eastAsia="仿宋"/>
          <w:b w:val="0"/>
          <w:bCs w:val="0"/>
        </w:rPr>
      </w:pPr>
      <w:bookmarkStart w:id="69" w:name="_Toc15396621"/>
      <w:bookmarkStart w:id="70" w:name="_Toc4521"/>
      <w:r>
        <w:rPr>
          <w:rStyle w:val="37"/>
          <w:rFonts w:hint="eastAsia" w:ascii="仿宋" w:hAnsi="仿宋" w:eastAsia="仿宋"/>
          <w:b w:val="0"/>
          <w:bCs w:val="0"/>
        </w:rPr>
        <w:t>三、支出决算表</w:t>
      </w:r>
      <w:bookmarkEnd w:id="69"/>
      <w:bookmarkEnd w:id="70"/>
    </w:p>
    <w:p>
      <w:pPr>
        <w:pStyle w:val="4"/>
        <w:rPr>
          <w:rStyle w:val="37"/>
          <w:rFonts w:hint="eastAsia" w:ascii="仿宋" w:hAnsi="仿宋" w:eastAsia="仿宋"/>
          <w:b w:val="0"/>
          <w:bCs w:val="0"/>
        </w:rPr>
      </w:pPr>
      <w:bookmarkStart w:id="71" w:name="_Toc32579"/>
      <w:bookmarkStart w:id="72" w:name="_Toc15396622"/>
      <w:r>
        <w:rPr>
          <w:rStyle w:val="37"/>
          <w:rFonts w:hint="eastAsia" w:ascii="仿宋" w:hAnsi="仿宋" w:eastAsia="仿宋"/>
          <w:b w:val="0"/>
          <w:bCs w:val="0"/>
        </w:rPr>
        <w:t>四、财政拨款收入支出决算总表</w:t>
      </w:r>
      <w:bookmarkEnd w:id="71"/>
      <w:bookmarkEnd w:id="72"/>
    </w:p>
    <w:p>
      <w:pPr>
        <w:pStyle w:val="4"/>
        <w:rPr>
          <w:rStyle w:val="37"/>
          <w:rFonts w:hint="eastAsia" w:ascii="仿宋" w:hAnsi="仿宋" w:eastAsia="仿宋"/>
          <w:b w:val="0"/>
          <w:bCs w:val="0"/>
        </w:rPr>
      </w:pPr>
      <w:bookmarkStart w:id="73" w:name="_Toc15396623"/>
      <w:bookmarkStart w:id="74" w:name="_Toc23065"/>
      <w:r>
        <w:rPr>
          <w:rStyle w:val="37"/>
          <w:rFonts w:hint="eastAsia" w:ascii="仿宋" w:hAnsi="仿宋" w:eastAsia="仿宋"/>
          <w:b w:val="0"/>
          <w:bCs w:val="0"/>
        </w:rPr>
        <w:t>五、财政拨款支出决算明细表</w:t>
      </w:r>
      <w:bookmarkEnd w:id="73"/>
      <w:bookmarkEnd w:id="74"/>
      <w:bookmarkStart w:id="75" w:name="_Toc15396624"/>
    </w:p>
    <w:p>
      <w:pPr>
        <w:pStyle w:val="4"/>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4"/>
        <w:rPr>
          <w:rStyle w:val="37"/>
          <w:rFonts w:hint="eastAsia" w:ascii="仿宋" w:hAnsi="仿宋" w:eastAsia="仿宋"/>
          <w:b w:val="0"/>
          <w:bCs w:val="0"/>
        </w:rPr>
      </w:pPr>
      <w:bookmarkStart w:id="77" w:name="_Toc12867"/>
      <w:bookmarkStart w:id="78" w:name="_Toc15396625"/>
      <w:r>
        <w:rPr>
          <w:rStyle w:val="37"/>
          <w:rFonts w:hint="eastAsia" w:ascii="仿宋" w:hAnsi="仿宋" w:eastAsia="仿宋"/>
          <w:b w:val="0"/>
          <w:bCs w:val="0"/>
        </w:rPr>
        <w:t>七、一般公共预算财政拨款支出决算明细表</w:t>
      </w:r>
      <w:bookmarkEnd w:id="77"/>
      <w:bookmarkEnd w:id="78"/>
    </w:p>
    <w:p>
      <w:pPr>
        <w:pStyle w:val="4"/>
        <w:rPr>
          <w:rStyle w:val="37"/>
          <w:rFonts w:hint="eastAsia" w:ascii="仿宋" w:hAnsi="仿宋" w:eastAsia="仿宋"/>
          <w:b w:val="0"/>
          <w:bCs w:val="0"/>
        </w:rPr>
      </w:pPr>
      <w:bookmarkStart w:id="79" w:name="_Toc15396626"/>
      <w:bookmarkStart w:id="80" w:name="_Toc2880"/>
      <w:r>
        <w:rPr>
          <w:rStyle w:val="37"/>
          <w:rFonts w:hint="eastAsia" w:ascii="仿宋" w:hAnsi="仿宋" w:eastAsia="仿宋"/>
          <w:b w:val="0"/>
          <w:bCs w:val="0"/>
        </w:rPr>
        <w:t>八、一般公共预算财政拨款基本支出决算表</w:t>
      </w:r>
      <w:bookmarkEnd w:id="79"/>
      <w:bookmarkEnd w:id="80"/>
    </w:p>
    <w:p>
      <w:pPr>
        <w:pStyle w:val="4"/>
        <w:rPr>
          <w:rStyle w:val="37"/>
          <w:rFonts w:hint="eastAsia" w:ascii="仿宋" w:hAnsi="仿宋" w:eastAsia="仿宋"/>
          <w:b w:val="0"/>
          <w:bCs w:val="0"/>
        </w:rPr>
      </w:pPr>
      <w:bookmarkStart w:id="81" w:name="_Toc15396627"/>
      <w:bookmarkStart w:id="82" w:name="_Toc24062"/>
      <w:r>
        <w:rPr>
          <w:rStyle w:val="37"/>
          <w:rFonts w:hint="eastAsia" w:ascii="仿宋" w:hAnsi="仿宋" w:eastAsia="仿宋"/>
          <w:b w:val="0"/>
          <w:bCs w:val="0"/>
        </w:rPr>
        <w:t>九、一般公共预算财政拨款项目支出决算表</w:t>
      </w:r>
      <w:bookmarkEnd w:id="81"/>
      <w:bookmarkEnd w:id="82"/>
    </w:p>
    <w:p>
      <w:pPr>
        <w:pStyle w:val="4"/>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4"/>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4"/>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4"/>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200051"/>
    <w:rsid w:val="066E0107"/>
    <w:rsid w:val="07996F6E"/>
    <w:rsid w:val="07DFD8BA"/>
    <w:rsid w:val="09867E8F"/>
    <w:rsid w:val="0A2032A3"/>
    <w:rsid w:val="0CA8290A"/>
    <w:rsid w:val="0D35B1ED"/>
    <w:rsid w:val="0DDF33B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7567996"/>
    <w:rsid w:val="281408E2"/>
    <w:rsid w:val="28341F69"/>
    <w:rsid w:val="29FD04D3"/>
    <w:rsid w:val="2BFF7BC6"/>
    <w:rsid w:val="2C8A61B5"/>
    <w:rsid w:val="2DF04E50"/>
    <w:rsid w:val="2E586DFA"/>
    <w:rsid w:val="2F040D46"/>
    <w:rsid w:val="2F6B035B"/>
    <w:rsid w:val="2FAE5751"/>
    <w:rsid w:val="2FB1A395"/>
    <w:rsid w:val="2FD9A7D8"/>
    <w:rsid w:val="2FDBF714"/>
    <w:rsid w:val="30AB6865"/>
    <w:rsid w:val="31667684"/>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4C5D96"/>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19E3F00"/>
    <w:rsid w:val="44E268DA"/>
    <w:rsid w:val="450D13D7"/>
    <w:rsid w:val="45506656"/>
    <w:rsid w:val="486A6C7A"/>
    <w:rsid w:val="4A627F82"/>
    <w:rsid w:val="4B0E749A"/>
    <w:rsid w:val="4B2477C4"/>
    <w:rsid w:val="4B4F25DA"/>
    <w:rsid w:val="4BE068DB"/>
    <w:rsid w:val="4D577224"/>
    <w:rsid w:val="4DBF1CEB"/>
    <w:rsid w:val="4DF0007C"/>
    <w:rsid w:val="4E733692"/>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F11B5"/>
    <w:rsid w:val="5D695134"/>
    <w:rsid w:val="5DAE1B18"/>
    <w:rsid w:val="5DE7D9E5"/>
    <w:rsid w:val="5EA902B4"/>
    <w:rsid w:val="5ECEC941"/>
    <w:rsid w:val="5FBF9FF3"/>
    <w:rsid w:val="5FCD4E2C"/>
    <w:rsid w:val="5FEF394A"/>
    <w:rsid w:val="5FF67715"/>
    <w:rsid w:val="62BF3928"/>
    <w:rsid w:val="63B3701E"/>
    <w:rsid w:val="647F5392"/>
    <w:rsid w:val="65E66580"/>
    <w:rsid w:val="664B1D71"/>
    <w:rsid w:val="664B4E8E"/>
    <w:rsid w:val="67277B67"/>
    <w:rsid w:val="67AA3209"/>
    <w:rsid w:val="698D0931"/>
    <w:rsid w:val="6A597B55"/>
    <w:rsid w:val="6A7FE5F3"/>
    <w:rsid w:val="6B053271"/>
    <w:rsid w:val="6BDD78B3"/>
    <w:rsid w:val="6C4A05C8"/>
    <w:rsid w:val="6C8742B8"/>
    <w:rsid w:val="6DAF1F6F"/>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4"/>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#,##0.00</c:formatCode>
                <c:ptCount val="2"/>
                <c:pt idx="0">
                  <c:v>5111.06</c:v>
                </c:pt>
                <c:pt idx="1">
                  <c:v>5111.06</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4645.23</c:v>
                </c:pt>
                <c:pt idx="1">
                  <c:v>4645.23</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55477728"/>
        <c:axId val="370028414"/>
      </c:barChart>
      <c:catAx>
        <c:axId val="5547772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0028414"/>
        <c:crosses val="autoZero"/>
        <c:auto val="1"/>
        <c:lblAlgn val="ctr"/>
        <c:lblOffset val="100"/>
        <c:noMultiLvlLbl val="0"/>
      </c:catAx>
      <c:valAx>
        <c:axId val="37002841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477728"/>
        <c:crosses val="autoZero"/>
        <c:crossBetween val="between"/>
      </c:valAx>
      <c:spPr>
        <a:noFill/>
        <a:ln>
          <a:noFill/>
        </a:ln>
        <a:effectLst/>
      </c:spPr>
    </c:plotArea>
    <c:legend>
      <c:legendPos val="r"/>
      <c:legendEntry>
        <c:idx val="2"/>
        <c:delete val="1"/>
      </c:legendEntry>
      <c:layout>
        <c:manualLayout>
          <c:xMode val="edge"/>
          <c:yMode val="edge"/>
          <c:x val="0.79"/>
          <c:y val="0.795"/>
          <c:w val="0.202767945345345"/>
          <c:h val="0.184877935834097"/>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15451486658306"/>
          <c:y val="0.00663716814159292"/>
        </c:manualLayout>
      </c:layout>
      <c:overlay val="0"/>
      <c:spPr>
        <a:noFill/>
        <a:ln>
          <a:noFill/>
        </a:ln>
        <a:effectLst/>
      </c:spPr>
    </c:title>
    <c:autoTitleDeleted val="0"/>
    <c:plotArea>
      <c:layout>
        <c:manualLayout>
          <c:layoutTarget val="inner"/>
          <c:xMode val="edge"/>
          <c:yMode val="edge"/>
          <c:x val="0.284353831182604"/>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4645.23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00575"/>
          <c:y val="0.83825"/>
          <c:w val="0.986319919067854"/>
          <c:h val="0.150862068965517"/>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820604882994"/>
          <c:y val="0.00727272727272727"/>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4,351.55, 9</a:t>
                    </a:r>
                    <a:r>
                      <a:rPr lang="en-US" altLang="zh-CN"/>
                      <a:t>3.7</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293.68, 6</a:t>
                    </a:r>
                    <a:r>
                      <a:rPr lang="en-US" altLang="zh-CN"/>
                      <a:t>.3</a:t>
                    </a:r>
                    <a:r>
                      <a:t>%</a:t>
                    </a:r>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4351.55</c:v>
                </c:pt>
                <c:pt idx="1" c:formatCode="General">
                  <c:v>293.68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33815665304"/>
          <c:h val="0.083623693379790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#,##0.00</c:formatCode>
                <c:ptCount val="2"/>
                <c:pt idx="0">
                  <c:v>5111.06</c:v>
                </c:pt>
                <c:pt idx="1">
                  <c:v>5111.06</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4645.23</c:v>
                </c:pt>
                <c:pt idx="1">
                  <c:v>4645.23</c:v>
                </c:pt>
              </c:numCache>
            </c:numRef>
          </c:val>
        </c:ser>
        <c:dLbls>
          <c:showLegendKey val="0"/>
          <c:showVal val="0"/>
          <c:showCatName val="0"/>
          <c:showSerName val="0"/>
          <c:showPercent val="0"/>
          <c:showBubbleSize val="0"/>
        </c:dLbls>
        <c:gapWidth val="219"/>
        <c:overlap val="-27"/>
        <c:axId val="140396436"/>
        <c:axId val="403125106"/>
      </c:barChart>
      <c:catAx>
        <c:axId val="14039643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3125106"/>
        <c:crosses val="autoZero"/>
        <c:auto val="1"/>
        <c:lblAlgn val="ctr"/>
        <c:lblOffset val="100"/>
        <c:noMultiLvlLbl val="0"/>
      </c:catAx>
      <c:valAx>
        <c:axId val="40312510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0396436"/>
        <c:crosses val="autoZero"/>
        <c:crossBetween val="between"/>
      </c:valAx>
      <c:spPr>
        <a:noFill/>
        <a:ln>
          <a:noFill/>
        </a:ln>
        <a:effectLst/>
      </c:spPr>
    </c:plotArea>
    <c:legend>
      <c:legendPos val="r"/>
      <c:layout>
        <c:manualLayout>
          <c:xMode val="edge"/>
          <c:yMode val="edge"/>
          <c:x val="0.74825"/>
          <c:y val="0.84275"/>
          <c:w val="0.187686623476605"/>
          <c:h val="0.14948256386496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6276979597711"/>
          <c:y val="0.0175247410453427"/>
        </c:manualLayout>
      </c:layout>
      <c:overlay val="0"/>
    </c:title>
    <c:autoTitleDeleted val="0"/>
    <c:plotArea>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#,##0.00</c:formatCode>
                <c:ptCount val="2"/>
                <c:pt idx="0">
                  <c:v>5111.06</c:v>
                </c:pt>
                <c:pt idx="1">
                  <c:v>4645.23</c:v>
                </c:pt>
              </c:numCache>
            </c:numRef>
          </c:val>
        </c:ser>
        <c:dLbls>
          <c:showLegendKey val="0"/>
          <c:showVal val="0"/>
          <c:showCatName val="0"/>
          <c:showSerName val="0"/>
          <c:showPercent val="0"/>
          <c:showBubbleSize val="0"/>
        </c:dLbls>
        <c:gapWidth val="219"/>
        <c:overlap val="-27"/>
        <c:axId val="154877137"/>
        <c:axId val="446403794"/>
      </c:barChart>
      <c:catAx>
        <c:axId val="154877137"/>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446403794"/>
        <c:crosses val="autoZero"/>
        <c:auto val="1"/>
        <c:lblAlgn val="ctr"/>
        <c:lblOffset val="100"/>
        <c:noMultiLvlLbl val="0"/>
      </c:catAx>
      <c:valAx>
        <c:axId val="44640379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154877137"/>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3,596.91, 77</a:t>
                    </a:r>
                    <a:r>
                      <a:rPr lang="en-US" altLang="zh-CN"/>
                      <a:t>.4</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577.06, 12</a:t>
                    </a:r>
                    <a:r>
                      <a:rPr lang="en-US" altLang="zh-CN"/>
                      <a:t>.4</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208.44, </a:t>
                    </a:r>
                    <a:r>
                      <a:rPr lang="en-US" altLang="zh-CN"/>
                      <a:t>4.</a:t>
                    </a:r>
                    <a:r>
                      <a:t>5%</a:t>
                    </a:r>
                  </a:p>
                </c:rich>
              </c:tx>
              <c:dLblPos val="bestFit"/>
              <c:showLegendKey val="0"/>
              <c:showVal val="1"/>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262.82, </a:t>
                    </a:r>
                    <a:r>
                      <a:rPr lang="en-US" altLang="zh-CN"/>
                      <a:t>5.7</a:t>
                    </a:r>
                    <a:r>
                      <a:t>%</a:t>
                    </a:r>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3596.91</c:v>
                </c:pt>
                <c:pt idx="1" c:formatCode="General">
                  <c:v>577.06</c:v>
                </c:pt>
                <c:pt idx="2" c:formatCode="General">
                  <c:v>208.44</c:v>
                </c:pt>
                <c:pt idx="3" c:formatCode="General">
                  <c:v>262.82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234906631442"/>
          <c:h val="0.245539370598549"/>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181745524296675"/>
          <c:y val="0.0103329506314581"/>
        </c:manualLayout>
      </c:layout>
      <c:overlay val="0"/>
    </c:title>
    <c:autoTitleDeleted val="0"/>
    <c:plotArea>
      <c:layout>
        <c:manualLayout>
          <c:layoutTarget val="inner"/>
          <c:xMode val="edge"/>
          <c:yMode val="edge"/>
          <c:x val="0.266022850469441"/>
          <c:y val="0.208933834200213"/>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18.28, 99</a:t>
                    </a:r>
                    <a:r>
                      <a:rPr lang="en-US" altLang="zh-CN"/>
                      <a:t>.4</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148897032536614"/>
                  <c:y val="0.039349931713279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0.12, </a:t>
                    </a:r>
                    <a:r>
                      <a:rPr lang="en-US" altLang="zh-CN"/>
                      <a:t>0.6</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18.28</c:v>
                </c:pt>
                <c:pt idx="1">
                  <c:v>0.12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ayout>
        <c:manualLayout>
          <c:xMode val="edge"/>
          <c:yMode val="edge"/>
          <c:x val="0.0880460358056266"/>
          <c:y val="0.901607347876005"/>
          <c:w val="0.864"/>
          <c:h val="0.0882538359711256"/>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4636</Words>
  <Characters>5087</Characters>
  <Lines>60</Lines>
  <Paragraphs>17</Paragraphs>
  <TotalTime>14</TotalTime>
  <ScaleCrop>false</ScaleCrop>
  <LinksUpToDate>false</LinksUpToDate>
  <CharactersWithSpaces>5261</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2025-09-18T07:44:29Z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64AB57DC24AD4BE2B361D6A96FB89DB3</vt:lpwstr>
  </property>
  <property fmtid="{D5CDD505-2E9C-101B-9397-08002B2CF9AE}" pid="4" name="KSOTemplateDocerSaveRecord">
    <vt:lpwstr>eyJoZGlkIjoiMjRiN2I0NWNjYzc2ZDE0Zjk3OWRhMWM5ZmFjNTgwM2QiLCJ1c2VySWQiOiI0MjU0NzI2MTgifQ==</vt:lpwstr>
  </property>
</Properties>
</file>