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93"/>
        <w:rPr>
          <w:rFonts w:ascii="Times New Roman" w:eastAsia="方正小标宋简体"/>
          <w:kern w:val="2"/>
          <w:sz w:val="72"/>
          <w:szCs w:val="72"/>
        </w:rPr>
      </w:pPr>
      <w:bookmarkStart w:id="0" w:name="_Toc15378441"/>
      <w:bookmarkStart w:id="1" w:name="_Toc15396475"/>
      <w:bookmarkStart w:id="2" w:name="_Toc15306267"/>
      <w:bookmarkStart w:id="3" w:name="_Toc15396597"/>
      <w:bookmarkStart w:id="4" w:name="_Toc15377193"/>
      <w:bookmarkStart w:id="5" w:name="_Toc15377425"/>
    </w:p>
    <w:p>
      <w:pPr>
        <w:pStyle w:val="5"/>
        <w:spacing w:before="93"/>
        <w:rPr>
          <w:rFonts w:ascii="Times New Roman" w:eastAsia="方正小标宋简体"/>
          <w:kern w:val="2"/>
          <w:sz w:val="72"/>
          <w:szCs w:val="72"/>
        </w:rPr>
      </w:pPr>
    </w:p>
    <w:p>
      <w:pPr>
        <w:pStyle w:val="5"/>
        <w:bidi w:val="0"/>
      </w:pPr>
    </w:p>
    <w:p>
      <w:pPr>
        <w:pStyle w:val="5"/>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2024年度阿坝藏族羌族自治州公路管理局金川公路管理分局</w:t>
      </w:r>
      <w:bookmarkStart w:id="93" w:name="_GoBack"/>
      <w:bookmarkEnd w:id="93"/>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- 16 -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- 20 -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2"/>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3"/>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widowControl/>
        <w:ind w:firstLine="640" w:firstLineChars="200"/>
        <w:jc w:val="both"/>
        <w:rPr>
          <w:rFonts w:hint="eastAsia" w:ascii="仿宋_GB2312" w:hAnsi="仿宋_GB2312" w:eastAsia="仿宋_GB2312" w:cs="仿宋_GB2312"/>
          <w:kern w:val="0"/>
          <w:sz w:val="32"/>
          <w:szCs w:val="32"/>
          <w:lang w:val="en-US" w:eastAsia="zh-CN" w:bidi="ar-SA"/>
        </w:rPr>
      </w:pPr>
      <w:bookmarkStart w:id="10" w:name="_Toc27725"/>
      <w:bookmarkStart w:id="11" w:name="_Toc14666"/>
      <w:bookmarkStart w:id="12" w:name="_Toc15377200"/>
      <w:bookmarkStart w:id="13" w:name="_Toc3661"/>
      <w:bookmarkStart w:id="14" w:name="_Toc15396601"/>
      <w:r>
        <w:rPr>
          <w:rFonts w:hint="eastAsia" w:ascii="仿宋_GB2312" w:hAnsi="仿宋_GB2312" w:eastAsia="仿宋_GB2312" w:cs="仿宋_GB2312"/>
          <w:kern w:val="0"/>
          <w:sz w:val="32"/>
          <w:szCs w:val="32"/>
          <w:lang w:val="en-US" w:eastAsia="zh-CN" w:bidi="ar-SA"/>
        </w:rPr>
        <w:t>阿坝藏族羌族自治州公路管理局金川公路管理分局属于服务型事业单位,主要负责辖区内国道线、省道公路的维护和保养工作。</w:t>
      </w:r>
      <w:bookmarkEnd w:id="10"/>
      <w:bookmarkEnd w:id="11"/>
    </w:p>
    <w:p>
      <w:pPr>
        <w:pStyle w:val="3"/>
        <w:rPr>
          <w:rStyle w:val="29"/>
          <w:rFonts w:ascii="Times New Roman" w:hAnsi="Times New Roman"/>
          <w:b w:val="0"/>
          <w:bCs w:val="0"/>
        </w:rPr>
      </w:pPr>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2"/>
      <w:bookmarkEnd w:id="13"/>
      <w:bookmarkEnd w:id="14"/>
    </w:p>
    <w:p>
      <w:pPr>
        <w:widowControl/>
        <w:ind w:firstLine="640" w:firstLineChars="200"/>
        <w:jc w:val="left"/>
        <w:rPr>
          <w:rFonts w:eastAsia="仿宋"/>
          <w:kern w:val="0"/>
          <w:sz w:val="32"/>
          <w:szCs w:val="32"/>
        </w:rPr>
      </w:pPr>
      <w:r>
        <w:rPr>
          <w:rFonts w:hint="eastAsia" w:ascii="仿宋_GB2312" w:hAnsi="仿宋_GB2312" w:eastAsia="仿宋_GB2312" w:cs="仿宋_GB2312"/>
          <w:kern w:val="0"/>
          <w:sz w:val="32"/>
          <w:szCs w:val="32"/>
          <w:lang w:val="en-US" w:eastAsia="zh-CN" w:bidi="ar-SA"/>
        </w:rPr>
        <w:t>本单位本年度纳入本套决算编制范围的独立编制机构数共1个，比上年增加0个。</w:t>
      </w:r>
      <w:r>
        <w:rPr>
          <w:rFonts w:eastAsia="仿宋"/>
          <w:sz w:val="32"/>
          <w:szCs w:val="32"/>
        </w:rPr>
        <w:br w:type="page"/>
      </w:r>
    </w:p>
    <w:p>
      <w:pPr>
        <w:pStyle w:val="2"/>
        <w:jc w:val="center"/>
        <w:rPr>
          <w:rFonts w:hint="eastAsia" w:ascii="黑体" w:hAnsi="黑体" w:eastAsia="黑体" w:cs="黑体"/>
          <w:b w:val="0"/>
        </w:rPr>
      </w:pPr>
      <w:bookmarkStart w:id="15" w:name="_Toc15396602"/>
      <w:bookmarkStart w:id="16" w:name="_Toc15377204"/>
      <w:bookmarkStart w:id="17" w:name="_Toc5056"/>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5"/>
      <w:bookmarkEnd w:id="16"/>
      <w:bookmarkEnd w:id="17"/>
    </w:p>
    <w:p/>
    <w:p>
      <w:pPr>
        <w:pStyle w:val="27"/>
        <w:spacing w:line="600" w:lineRule="exact"/>
        <w:ind w:firstLine="640"/>
        <w:outlineLvl w:val="1"/>
        <w:rPr>
          <w:rStyle w:val="29"/>
          <w:rFonts w:ascii="Times New Roman" w:hAnsi="Times New Roman" w:eastAsia="黑体"/>
          <w:b w:val="0"/>
        </w:rPr>
      </w:pPr>
      <w:bookmarkStart w:id="18" w:name="_Toc1539"/>
      <w:bookmarkStart w:id="19" w:name="_Toc15377205"/>
      <w:bookmarkStart w:id="20" w:name="_Toc15396603"/>
      <w:r>
        <w:rPr>
          <w:rFonts w:hint="eastAsia" w:eastAsia="黑体"/>
          <w:sz w:val="32"/>
          <w:szCs w:val="32"/>
        </w:rPr>
        <w:t>一、收</w:t>
      </w:r>
      <w:r>
        <w:rPr>
          <w:rStyle w:val="29"/>
          <w:rFonts w:hint="eastAsia" w:ascii="Times New Roman" w:hAnsi="Times New Roman" w:eastAsia="黑体"/>
          <w:b w:val="0"/>
        </w:rPr>
        <w:t>入支出决算总体情况说明</w:t>
      </w:r>
      <w:bookmarkEnd w:id="18"/>
      <w:bookmarkEnd w:id="19"/>
      <w:bookmarkEnd w:id="20"/>
    </w:p>
    <w:p>
      <w:pPr>
        <w:pStyle w:val="5"/>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141.73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；管养路段进行改建，小修保养</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574675</wp:posOffset>
            </wp:positionH>
            <wp:positionV relativeFrom="paragraph">
              <wp:posOffset>86360</wp:posOffset>
            </wp:positionV>
            <wp:extent cx="4278630" cy="3078480"/>
            <wp:effectExtent l="4445" t="4445" r="22225" b="22225"/>
            <wp:wrapTight wrapText="bothSides">
              <wp:wrapPolygon>
                <wp:start x="-22" y="-31"/>
                <wp:lineTo x="-22" y="21489"/>
                <wp:lineTo x="21520" y="21489"/>
                <wp:lineTo x="21520" y="-31"/>
                <wp:lineTo x="-22" y="-31"/>
              </wp:wrapPolygon>
            </wp:wrapTight>
            <wp:docPr id="441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21" w:name="_Toc22737"/>
      <w:bookmarkStart w:id="22" w:name="_Toc15396604"/>
      <w:bookmarkStart w:id="23" w:name="_Toc15377206"/>
      <w:r>
        <w:rPr>
          <w:rFonts w:hint="eastAsia" w:eastAsia="黑体"/>
          <w:sz w:val="32"/>
          <w:szCs w:val="32"/>
        </w:rPr>
        <w:t>二、收入决算情况说明</w:t>
      </w:r>
      <w:bookmarkEnd w:id="21"/>
      <w:bookmarkEnd w:id="22"/>
      <w:bookmarkEnd w:id="23"/>
    </w:p>
    <w:p>
      <w:pPr>
        <w:pStyle w:val="5"/>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698500</wp:posOffset>
            </wp:positionH>
            <wp:positionV relativeFrom="paragraph">
              <wp:posOffset>156845</wp:posOffset>
            </wp:positionV>
            <wp:extent cx="3977640" cy="3060065"/>
            <wp:effectExtent l="4445" t="4445" r="18415" b="21590"/>
            <wp:wrapTight wrapText="bothSides">
              <wp:wrapPolygon>
                <wp:start x="-24" y="-31"/>
                <wp:lineTo x="-24" y="21483"/>
                <wp:lineTo x="21493" y="21483"/>
                <wp:lineTo x="21493" y="-31"/>
                <wp:lineTo x="-24" y="-31"/>
              </wp:wrapPolygon>
            </wp:wrapTight>
            <wp:docPr id="4411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4" w:name="_Toc3923"/>
      <w:bookmarkStart w:id="25" w:name="_Toc15377207"/>
      <w:bookmarkStart w:id="26" w:name="_Toc15396605"/>
      <w:r>
        <w:rPr>
          <w:rFonts w:hint="eastAsia" w:eastAsia="黑体"/>
          <w:sz w:val="32"/>
          <w:szCs w:val="32"/>
        </w:rPr>
        <w:t>三、支</w:t>
      </w:r>
      <w:r>
        <w:rPr>
          <w:rStyle w:val="29"/>
          <w:rFonts w:hint="eastAsia" w:ascii="Times New Roman" w:hAnsi="Times New Roman" w:eastAsia="黑体"/>
          <w:b w:val="0"/>
        </w:rPr>
        <w:t>出决算情况说明</w:t>
      </w:r>
      <w:bookmarkEnd w:id="24"/>
      <w:bookmarkEnd w:id="25"/>
      <w:bookmarkEnd w:id="26"/>
    </w:p>
    <w:p>
      <w:pPr>
        <w:pStyle w:val="5"/>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314.57</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95%</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120.67</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537845</wp:posOffset>
            </wp:positionH>
            <wp:positionV relativeFrom="paragraph">
              <wp:posOffset>67310</wp:posOffset>
            </wp:positionV>
            <wp:extent cx="4355465" cy="3048000"/>
            <wp:effectExtent l="4445" t="4445" r="21590" b="14605"/>
            <wp:wrapTight wrapText="bothSides">
              <wp:wrapPolygon>
                <wp:start x="-22" y="-31"/>
                <wp:lineTo x="-22" y="21569"/>
                <wp:lineTo x="21518" y="21569"/>
                <wp:lineTo x="21518" y="-31"/>
                <wp:lineTo x="-22" y="-31"/>
              </wp:wrapPolygon>
            </wp:wrapTight>
            <wp:docPr id="4412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7" w:name="_Toc15377208"/>
      <w:bookmarkStart w:id="28" w:name="_Toc15396606"/>
    </w:p>
    <w:p>
      <w:pPr>
        <w:spacing w:line="600" w:lineRule="exact"/>
        <w:ind w:firstLine="640" w:firstLineChars="200"/>
        <w:outlineLvl w:val="1"/>
        <w:rPr>
          <w:rFonts w:hint="eastAsia" w:eastAsia="黑体"/>
          <w:sz w:val="32"/>
          <w:szCs w:val="32"/>
        </w:rPr>
      </w:pPr>
      <w:bookmarkStart w:id="29"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7"/>
      <w:bookmarkEnd w:id="28"/>
      <w:bookmarkEnd w:id="29"/>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hAnsi="Times New Roman" w:eastAsia="仿宋_GB2312" w:cs="仿宋_GB2312"/>
          <w:kern w:val="2"/>
          <w:sz w:val="32"/>
          <w:szCs w:val="32"/>
          <w:lang w:val="en-US" w:eastAsia="zh-CN" w:bidi="ar-SA"/>
        </w:rPr>
        <w:t>141.73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；管养路段进行改建，小修保养</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274955</wp:posOffset>
            </wp:positionH>
            <wp:positionV relativeFrom="paragraph">
              <wp:posOffset>127635</wp:posOffset>
            </wp:positionV>
            <wp:extent cx="4732655" cy="3429635"/>
            <wp:effectExtent l="0" t="0" r="10795" b="18415"/>
            <wp:wrapTight wrapText="bothSides">
              <wp:wrapPolygon>
                <wp:start x="0" y="0"/>
                <wp:lineTo x="0" y="21476"/>
                <wp:lineTo x="21475" y="21476"/>
                <wp:lineTo x="21475" y="0"/>
                <wp:lineTo x="0" y="0"/>
              </wp:wrapPolygon>
            </wp:wrapTight>
            <wp:docPr id="4412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30" w:name="_Toc15377209"/>
      <w:bookmarkStart w:id="31" w:name="_Toc15396607"/>
      <w:bookmarkStart w:id="32" w:name="_Toc2831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30"/>
      <w:bookmarkEnd w:id="31"/>
      <w:bookmarkEnd w:id="32"/>
    </w:p>
    <w:p>
      <w:pPr>
        <w:spacing w:line="600" w:lineRule="exact"/>
        <w:ind w:firstLine="643" w:firstLineChars="200"/>
        <w:outlineLvl w:val="2"/>
        <w:rPr>
          <w:rFonts w:eastAsia="楷体_GB2312" w:cs="楷体_GB2312"/>
          <w:b/>
          <w:sz w:val="32"/>
          <w:szCs w:val="32"/>
        </w:rPr>
      </w:pPr>
      <w:bookmarkStart w:id="33" w:name="_Toc15377210"/>
      <w:r>
        <w:rPr>
          <w:rFonts w:hint="eastAsia" w:eastAsia="楷体_GB2312" w:cs="楷体_GB2312"/>
          <w:b/>
          <w:sz w:val="32"/>
          <w:szCs w:val="32"/>
        </w:rPr>
        <w:t>（一）一般公共预算财政拨款支出决算总体情况</w:t>
      </w:r>
      <w:bookmarkEnd w:id="33"/>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hAnsi="Times New Roman" w:eastAsia="仿宋_GB2312" w:cs="仿宋_GB2312"/>
          <w:kern w:val="2"/>
          <w:sz w:val="32"/>
          <w:szCs w:val="32"/>
          <w:lang w:val="en-US" w:eastAsia="zh-CN" w:bidi="ar-SA"/>
        </w:rPr>
        <w:t>141.73</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5.5</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；管养路段进行改建，小修保养</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r>
        <w:drawing>
          <wp:anchor distT="0" distB="0" distL="114300" distR="114300" simplePos="0" relativeHeight="251667456" behindDoc="1" locked="0" layoutInCell="1" allowOverlap="1">
            <wp:simplePos x="0" y="0"/>
            <wp:positionH relativeFrom="column">
              <wp:posOffset>487045</wp:posOffset>
            </wp:positionH>
            <wp:positionV relativeFrom="paragraph">
              <wp:posOffset>281305</wp:posOffset>
            </wp:positionV>
            <wp:extent cx="4462780" cy="3132455"/>
            <wp:effectExtent l="5080" t="4445" r="8890" b="6350"/>
            <wp:wrapTight wrapText="bothSides">
              <wp:wrapPolygon>
                <wp:start x="-25" y="-31"/>
                <wp:lineTo x="-25" y="21512"/>
                <wp:lineTo x="21551" y="21512"/>
                <wp:lineTo x="21551" y="-31"/>
                <wp:lineTo x="-25" y="-31"/>
              </wp:wrapPolygon>
            </wp:wrapTight>
            <wp:docPr id="4411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hint="eastAsia" w:eastAsia="仿宋_GB2312" w:cs="仿宋_GB2312"/>
          <w:sz w:val="32"/>
          <w:szCs w:val="32"/>
        </w:rPr>
      </w:pPr>
    </w:p>
    <w:p>
      <w:pPr>
        <w:pStyle w:val="13"/>
        <w:rPr>
          <w:rFonts w:hint="eastAsia" w:eastAsia="仿宋_GB2312" w:cs="仿宋_GB2312"/>
          <w:sz w:val="32"/>
          <w:szCs w:val="32"/>
        </w:rPr>
      </w:pPr>
    </w:p>
    <w:p>
      <w:pPr>
        <w:pStyle w:val="7"/>
        <w:rPr>
          <w:rFonts w:hint="eastAsia" w:eastAsia="仿宋_GB2312" w:cs="仿宋_GB2312"/>
          <w:sz w:val="32"/>
          <w:szCs w:val="32"/>
        </w:rPr>
      </w:pP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4"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279.58</w:t>
      </w:r>
      <w:r>
        <w:rPr>
          <w:rFonts w:hint="eastAsia" w:eastAsia="仿宋_GB2312" w:cs="仿宋_GB2312"/>
          <w:sz w:val="32"/>
          <w:szCs w:val="32"/>
        </w:rPr>
        <w:t>万元，占</w:t>
      </w:r>
      <w:r>
        <w:rPr>
          <w:rFonts w:hint="eastAsia" w:eastAsia="仿宋_GB2312" w:cs="仿宋_GB2312"/>
          <w:sz w:val="32"/>
          <w:szCs w:val="32"/>
          <w:lang w:val="en-US" w:eastAsia="zh-CN"/>
        </w:rPr>
        <w:t>11.5</w:t>
      </w:r>
      <w:r>
        <w:rPr>
          <w:rFonts w:hint="eastAsia" w:eastAsia="仿宋_GB2312" w:cs="仿宋_GB2312"/>
          <w:sz w:val="32"/>
          <w:szCs w:val="32"/>
        </w:rPr>
        <w:t>%；卫生健康支出</w:t>
      </w:r>
      <w:r>
        <w:rPr>
          <w:rFonts w:hint="eastAsia" w:eastAsia="仿宋_GB2312" w:cs="仿宋_GB2312"/>
          <w:sz w:val="32"/>
          <w:szCs w:val="32"/>
          <w:lang w:val="en-US" w:eastAsia="zh-CN"/>
        </w:rPr>
        <w:t>116.48</w:t>
      </w:r>
      <w:r>
        <w:rPr>
          <w:rFonts w:hint="eastAsia" w:eastAsia="仿宋_GB2312" w:cs="仿宋_GB2312"/>
          <w:sz w:val="32"/>
          <w:szCs w:val="32"/>
        </w:rPr>
        <w:t>万元，占</w:t>
      </w:r>
      <w:r>
        <w:rPr>
          <w:rFonts w:hint="eastAsia" w:eastAsia="仿宋_GB2312" w:cs="仿宋_GB2312"/>
          <w:sz w:val="32"/>
          <w:szCs w:val="32"/>
          <w:lang w:val="en-US" w:eastAsia="zh-CN"/>
        </w:rPr>
        <w:t>4.8</w:t>
      </w:r>
      <w:r>
        <w:rPr>
          <w:rFonts w:hint="eastAsia" w:eastAsia="仿宋_GB2312" w:cs="仿宋_GB2312"/>
          <w:sz w:val="32"/>
          <w:szCs w:val="32"/>
        </w:rPr>
        <w:t>%；交通运输支出</w:t>
      </w:r>
      <w:r>
        <w:rPr>
          <w:rFonts w:hint="eastAsia" w:eastAsia="仿宋_GB2312" w:cs="仿宋_GB2312"/>
          <w:sz w:val="32"/>
          <w:szCs w:val="32"/>
          <w:lang w:val="en-US" w:eastAsia="zh-CN"/>
        </w:rPr>
        <w:t>1,889.64万元，占77.6%；</w:t>
      </w:r>
      <w:r>
        <w:rPr>
          <w:rFonts w:hint="eastAsia" w:eastAsia="仿宋_GB2312" w:cs="仿宋_GB2312"/>
          <w:sz w:val="32"/>
          <w:szCs w:val="32"/>
        </w:rPr>
        <w:t>住房保障支出</w:t>
      </w:r>
      <w:r>
        <w:rPr>
          <w:rFonts w:hint="eastAsia" w:eastAsia="仿宋_GB2312" w:cs="仿宋_GB2312"/>
          <w:sz w:val="32"/>
          <w:szCs w:val="32"/>
          <w:lang w:val="en-US" w:eastAsia="zh-CN"/>
        </w:rPr>
        <w:t>149.54</w:t>
      </w:r>
      <w:r>
        <w:rPr>
          <w:rFonts w:hint="eastAsia" w:eastAsia="仿宋_GB2312" w:cs="仿宋_GB2312"/>
          <w:sz w:val="32"/>
          <w:szCs w:val="32"/>
        </w:rPr>
        <w:t>万元，占</w:t>
      </w:r>
      <w:r>
        <w:rPr>
          <w:rFonts w:hint="eastAsia" w:eastAsia="仿宋_GB2312" w:cs="仿宋_GB2312"/>
          <w:sz w:val="32"/>
          <w:szCs w:val="32"/>
          <w:lang w:val="en-US" w:eastAsia="zh-CN"/>
        </w:rPr>
        <w:t>6.1</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8480" behindDoc="1" locked="0" layoutInCell="1" allowOverlap="1">
            <wp:simplePos x="0" y="0"/>
            <wp:positionH relativeFrom="column">
              <wp:posOffset>231775</wp:posOffset>
            </wp:positionH>
            <wp:positionV relativeFrom="paragraph">
              <wp:posOffset>181610</wp:posOffset>
            </wp:positionV>
            <wp:extent cx="4788535" cy="3865245"/>
            <wp:effectExtent l="4445" t="4445" r="7620" b="16510"/>
            <wp:wrapTight wrapText="bothSides">
              <wp:wrapPolygon>
                <wp:start x="-20" y="-25"/>
                <wp:lineTo x="-20" y="21479"/>
                <wp:lineTo x="21548" y="21479"/>
                <wp:lineTo x="21548" y="-25"/>
                <wp:lineTo x="-20" y="-25"/>
              </wp:wrapPolygon>
            </wp:wrapTight>
            <wp:docPr id="44122"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5" w:name="_Toc15377212"/>
      <w:r>
        <w:rPr>
          <w:rFonts w:hint="eastAsia" w:eastAsia="楷体_GB2312" w:cs="楷体_GB2312"/>
          <w:b/>
          <w:sz w:val="32"/>
          <w:szCs w:val="32"/>
        </w:rPr>
        <w:t>（三）一般公共预算财政拨款支出决算具体情况</w:t>
      </w:r>
      <w:bookmarkEnd w:id="35"/>
    </w:p>
    <w:p>
      <w:pPr>
        <w:spacing w:line="600" w:lineRule="exact"/>
        <w:ind w:firstLine="640"/>
        <w:rPr>
          <w:rFonts w:eastAsia="仿宋_GB2312" w:cs="仿宋_GB2312"/>
          <w:sz w:val="32"/>
          <w:szCs w:val="32"/>
        </w:rPr>
      </w:pPr>
      <w:bookmarkStart w:id="36" w:name="_Toc15378460"/>
      <w:bookmarkStart w:id="37" w:name="_Toc15377444"/>
      <w:bookmarkStart w:id="38" w:name="_Toc15377213"/>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435.24</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6"/>
      <w:bookmarkEnd w:id="37"/>
      <w:bookmarkEnd w:id="38"/>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20.31</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172.91</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3.社会保障和就业（类）行政事业单位养老支出（款）机关事业单位职业年金缴费支出（项）：支出决算为86.36万元，完成预算100%，决算数等于预算数。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75.74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40.74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9" w:name="_Toc15377214"/>
      <w:bookmarkStart w:id="40"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1,889.64</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7.住房保障（类）住房改革支出（款）住房公积金（项）：支出决算为145.34万元，完成预算100%，决算数等于预算数。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8.住房保障（类）住房改革支出（款）购房补贴（项）：支出决算为4.2万元，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41"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9"/>
      <w:bookmarkEnd w:id="40"/>
      <w:bookmarkEnd w:id="41"/>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2024年度一般公共预算财政拨款基本支出2,314.57</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人员经费2</w:t>
      </w:r>
      <w:r>
        <w:rPr>
          <w:rFonts w:hint="eastAsia" w:eastAsia="仿宋_GB2312" w:cs="仿宋_GB2312"/>
          <w:sz w:val="32"/>
          <w:szCs w:val="32"/>
          <w:lang w:val="en-US" w:eastAsia="zh-CN"/>
        </w:rPr>
        <w:t>,132.84</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w:t>
      </w:r>
      <w:r>
        <w:rPr>
          <w:rFonts w:hint="eastAsia" w:eastAsia="仿宋_GB2312" w:cs="仿宋_GB2312"/>
          <w:sz w:val="32"/>
          <w:szCs w:val="32"/>
          <w:lang w:val="en-US" w:eastAsia="zh-CN"/>
        </w:rPr>
        <w:t>其他工资福利支出、抚恤金、</w:t>
      </w:r>
      <w:r>
        <w:rPr>
          <w:rFonts w:hint="eastAsia" w:eastAsia="仿宋_GB2312" w:cs="仿宋_GB2312"/>
          <w:sz w:val="32"/>
          <w:szCs w:val="32"/>
        </w:rPr>
        <w:t>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w:t>
      </w:r>
      <w:r>
        <w:rPr>
          <w:rFonts w:hint="eastAsia" w:eastAsia="仿宋_GB2312" w:cs="仿宋_GB2312"/>
          <w:sz w:val="32"/>
          <w:szCs w:val="32"/>
          <w:lang w:val="en-US" w:eastAsia="zh-CN"/>
        </w:rPr>
        <w:t>181.73</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水</w:t>
      </w:r>
      <w:r>
        <w:rPr>
          <w:rFonts w:hint="eastAsia" w:eastAsia="仿宋_GB2312" w:cs="仿宋_GB2312"/>
          <w:sz w:val="32"/>
          <w:szCs w:val="32"/>
        </w:rPr>
        <w:t>费、邮电费、</w:t>
      </w:r>
      <w:r>
        <w:rPr>
          <w:rFonts w:hint="eastAsia" w:eastAsia="仿宋_GB2312" w:cs="仿宋_GB2312"/>
          <w:sz w:val="32"/>
          <w:szCs w:val="32"/>
          <w:lang w:val="en-US" w:eastAsia="zh-CN"/>
        </w:rPr>
        <w:t>物业管理费、</w:t>
      </w:r>
      <w:r>
        <w:rPr>
          <w:rFonts w:hint="eastAsia" w:eastAsia="仿宋_GB2312" w:cs="仿宋_GB2312"/>
          <w:sz w:val="32"/>
          <w:szCs w:val="32"/>
        </w:rPr>
        <w:t>差旅费、维修（护）费、培训费、公务接待费、</w:t>
      </w:r>
      <w:r>
        <w:rPr>
          <w:rFonts w:hint="eastAsia" w:eastAsia="仿宋_GB2312" w:cs="仿宋_GB2312"/>
          <w:sz w:val="32"/>
          <w:szCs w:val="32"/>
          <w:lang w:val="en-US" w:eastAsia="zh-CN"/>
        </w:rPr>
        <w:t>专用材料费、</w:t>
      </w:r>
      <w:r>
        <w:rPr>
          <w:rFonts w:hint="eastAsia" w:eastAsia="仿宋_GB2312" w:cs="仿宋_GB2312"/>
          <w:sz w:val="32"/>
          <w:szCs w:val="32"/>
        </w:rPr>
        <w:t>劳务费、</w:t>
      </w:r>
      <w:r>
        <w:rPr>
          <w:rFonts w:hint="eastAsia" w:eastAsia="仿宋_GB2312" w:cs="仿宋_GB2312"/>
          <w:sz w:val="32"/>
          <w:szCs w:val="32"/>
          <w:lang w:val="en-US" w:eastAsia="zh-CN"/>
        </w:rPr>
        <w:t>委托业务费、</w:t>
      </w:r>
      <w:r>
        <w:rPr>
          <w:rFonts w:hint="eastAsia" w:eastAsia="仿宋_GB2312" w:cs="仿宋_GB2312"/>
          <w:sz w:val="32"/>
          <w:szCs w:val="32"/>
        </w:rPr>
        <w:t>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2" w:name="_Toc15396609"/>
      <w:bookmarkStart w:id="43" w:name="_Toc15377215"/>
      <w:bookmarkStart w:id="44" w:name="_Toc3121"/>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2"/>
      <w:bookmarkEnd w:id="43"/>
      <w:bookmarkEnd w:id="44"/>
    </w:p>
    <w:p>
      <w:pPr>
        <w:spacing w:line="600" w:lineRule="exact"/>
        <w:ind w:firstLine="643" w:firstLineChars="200"/>
        <w:outlineLvl w:val="2"/>
        <w:rPr>
          <w:rFonts w:eastAsia="楷体_GB2312" w:cs="楷体_GB2312"/>
          <w:b/>
          <w:sz w:val="32"/>
          <w:szCs w:val="32"/>
        </w:rPr>
      </w:pPr>
      <w:bookmarkStart w:id="45" w:name="_Toc15377216"/>
      <w:r>
        <w:rPr>
          <w:rFonts w:hint="eastAsia" w:eastAsia="楷体_GB2312" w:cs="楷体_GB2312"/>
          <w:b/>
          <w:sz w:val="32"/>
          <w:szCs w:val="32"/>
        </w:rPr>
        <w:t>（一）“三公”经费财政拨款支出决算总体情况说明</w:t>
      </w:r>
      <w:bookmarkEnd w:id="45"/>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18.44</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减少0.62</w:t>
      </w:r>
      <w:r>
        <w:rPr>
          <w:rFonts w:hint="eastAsia" w:eastAsia="仿宋_GB2312" w:cs="仿宋_GB2312"/>
          <w:sz w:val="32"/>
          <w:szCs w:val="32"/>
        </w:rPr>
        <w:t>万元，</w:t>
      </w:r>
      <w:r>
        <w:rPr>
          <w:rFonts w:hint="eastAsia" w:eastAsia="仿宋_GB2312" w:cs="仿宋_GB2312"/>
          <w:sz w:val="32"/>
          <w:szCs w:val="32"/>
          <w:lang w:val="en-US" w:eastAsia="zh-CN"/>
        </w:rPr>
        <w:t>下降3.3</w:t>
      </w:r>
      <w:r>
        <w:rPr>
          <w:rFonts w:hint="eastAsia" w:eastAsia="仿宋_GB2312" w:cs="仿宋_GB2312"/>
          <w:sz w:val="32"/>
          <w:szCs w:val="32"/>
        </w:rPr>
        <w:t>%。决算数</w:t>
      </w:r>
      <w:r>
        <w:rPr>
          <w:rFonts w:hint="eastAsia" w:eastAsia="仿宋_GB2312" w:cs="仿宋_GB2312"/>
          <w:sz w:val="32"/>
          <w:szCs w:val="32"/>
          <w:lang w:val="en-US" w:eastAsia="zh-CN"/>
        </w:rPr>
        <w:t>等于</w:t>
      </w:r>
      <w:r>
        <w:rPr>
          <w:rFonts w:hint="eastAsia" w:eastAsia="仿宋_GB2312" w:cs="仿宋_GB2312"/>
          <w:sz w:val="32"/>
          <w:szCs w:val="32"/>
        </w:rPr>
        <w:t>预算数</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6" w:name="_Toc15377217"/>
      <w:r>
        <w:rPr>
          <w:rFonts w:hint="eastAsia" w:eastAsia="楷体_GB2312" w:cs="楷体_GB2312"/>
          <w:b/>
          <w:sz w:val="32"/>
          <w:szCs w:val="32"/>
        </w:rPr>
        <w:t>（二）“三公”经费财政拨款支出决算具体情况说明</w:t>
      </w:r>
      <w:bookmarkEnd w:id="46"/>
    </w:p>
    <w:p>
      <w:pPr>
        <w:spacing w:line="600" w:lineRule="exact"/>
        <w:ind w:firstLine="640"/>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175895</wp:posOffset>
            </wp:positionH>
            <wp:positionV relativeFrom="paragraph">
              <wp:posOffset>1646555</wp:posOffset>
            </wp:positionV>
            <wp:extent cx="4892040" cy="3038475"/>
            <wp:effectExtent l="4445" t="4445" r="18415" b="62230"/>
            <wp:wrapTight wrapText="bothSides">
              <wp:wrapPolygon>
                <wp:start x="-20" y="-32"/>
                <wp:lineTo x="-20" y="21501"/>
                <wp:lineTo x="21513" y="21501"/>
                <wp:lineTo x="21513" y="-32"/>
                <wp:lineTo x="-20" y="-32"/>
              </wp:wrapPolygon>
            </wp:wrapTight>
            <wp:docPr id="4411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18.26</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99%</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0.17万元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1%</w:t>
      </w:r>
      <w:r>
        <w:rPr>
          <w:rFonts w:hint="eastAsia" w:ascii="仿宋_GB2312" w:hAnsi="仿宋_GB2312" w:eastAsia="仿宋_GB2312" w:cs="仿宋_GB2312"/>
          <w:sz w:val="32"/>
          <w:szCs w:val="32"/>
        </w:rPr>
        <w:t>。具体情况如下：</w:t>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18.26</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减少0.74</w:t>
      </w:r>
      <w:r>
        <w:rPr>
          <w:rFonts w:hint="eastAsia" w:eastAsia="仿宋_GB2312" w:cs="仿宋_GB2312"/>
          <w:sz w:val="32"/>
          <w:szCs w:val="32"/>
        </w:rPr>
        <w:t>万元</w:t>
      </w:r>
      <w:r>
        <w:rPr>
          <w:rFonts w:hint="eastAsia" w:eastAsia="仿宋_GB2312" w:cs="仿宋_GB2312"/>
          <w:sz w:val="32"/>
          <w:szCs w:val="32"/>
          <w:lang w:eastAsia="zh-CN"/>
        </w:rPr>
        <w:t>，</w:t>
      </w:r>
      <w:r>
        <w:rPr>
          <w:rFonts w:hint="eastAsia" w:eastAsia="仿宋_GB2312" w:cs="仿宋_GB2312"/>
          <w:sz w:val="32"/>
          <w:szCs w:val="32"/>
          <w:lang w:val="en-US" w:eastAsia="zh-CN"/>
        </w:rPr>
        <w:t>下降3.9</w:t>
      </w:r>
      <w:r>
        <w:rPr>
          <w:rFonts w:hint="eastAsia" w:eastAsia="仿宋_GB2312" w:cs="仿宋_GB2312"/>
          <w:sz w:val="32"/>
          <w:szCs w:val="32"/>
        </w:rPr>
        <w:t>%。主要原因是公务用车购置及运行维护费</w:t>
      </w:r>
      <w:r>
        <w:rPr>
          <w:rFonts w:hint="eastAsia" w:eastAsia="仿宋_GB2312" w:cs="仿宋_GB2312"/>
          <w:sz w:val="32"/>
          <w:szCs w:val="32"/>
          <w:lang w:val="en-US" w:eastAsia="zh-CN"/>
        </w:rPr>
        <w:t>减少</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4</w:t>
      </w:r>
      <w:r>
        <w:rPr>
          <w:rFonts w:hint="eastAsia" w:eastAsia="仿宋_GB2312" w:cs="仿宋_GB2312"/>
          <w:sz w:val="32"/>
          <w:szCs w:val="32"/>
        </w:rPr>
        <w:t>辆，其中：</w:t>
      </w:r>
      <w:r>
        <w:rPr>
          <w:rFonts w:hint="eastAsia" w:eastAsia="仿宋_GB2312" w:cs="仿宋_GB2312"/>
          <w:sz w:val="32"/>
          <w:szCs w:val="32"/>
          <w:lang w:val="en-US" w:eastAsia="zh-CN"/>
        </w:rPr>
        <w:t>执法执勤用车4</w:t>
      </w:r>
      <w:r>
        <w:rPr>
          <w:rFonts w:hint="eastAsia" w:eastAsia="仿宋_GB2312" w:cs="仿宋_GB2312"/>
          <w:sz w:val="32"/>
          <w:szCs w:val="32"/>
        </w:rPr>
        <w:t>辆。</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18.26</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0.17</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增加0.11</w:t>
      </w:r>
      <w:r>
        <w:rPr>
          <w:rFonts w:hint="eastAsia" w:eastAsia="仿宋_GB2312" w:cs="仿宋_GB2312"/>
          <w:sz w:val="32"/>
          <w:szCs w:val="32"/>
        </w:rPr>
        <w:t>万元，</w:t>
      </w:r>
      <w:r>
        <w:rPr>
          <w:rFonts w:hint="eastAsia" w:eastAsia="仿宋_GB2312" w:cs="仿宋_GB2312"/>
          <w:sz w:val="32"/>
          <w:szCs w:val="32"/>
          <w:lang w:val="en-US" w:eastAsia="zh-CN"/>
        </w:rPr>
        <w:t>增长100</w:t>
      </w:r>
      <w:r>
        <w:rPr>
          <w:rFonts w:hint="eastAsia" w:eastAsia="仿宋_GB2312" w:cs="仿宋_GB2312"/>
          <w:sz w:val="32"/>
          <w:szCs w:val="32"/>
        </w:rPr>
        <w:t>%。主要原因是</w:t>
      </w:r>
      <w:r>
        <w:rPr>
          <w:rFonts w:hint="eastAsia" w:eastAsia="仿宋_GB2312" w:cs="仿宋_GB2312"/>
          <w:sz w:val="32"/>
          <w:szCs w:val="32"/>
          <w:lang w:val="en-US" w:eastAsia="zh-CN"/>
        </w:rPr>
        <w:t>本年增加公务接待支出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0.17</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元，主要用于分局2023年第四季度考核组</w:t>
      </w:r>
      <w:r>
        <w:rPr>
          <w:rFonts w:hint="eastAsia" w:eastAsia="仿宋_GB2312" w:cs="仿宋_GB2312"/>
          <w:sz w:val="32"/>
          <w:szCs w:val="32"/>
          <w:highlight w:val="none"/>
          <w:lang w:eastAsia="zh-CN"/>
        </w:rPr>
        <w:t>分局伙食团接待、小金分局交流学习、2024年二季度考核</w:t>
      </w:r>
      <w:r>
        <w:rPr>
          <w:rFonts w:hint="eastAsia" w:eastAsia="仿宋_GB2312" w:cs="仿宋_GB2312"/>
          <w:sz w:val="32"/>
          <w:szCs w:val="32"/>
          <w:highlight w:val="none"/>
          <w:lang w:val="en-US" w:eastAsia="zh-CN"/>
        </w:rPr>
        <w:t>接待</w:t>
      </w:r>
      <w:r>
        <w:rPr>
          <w:rFonts w:hint="eastAsia" w:eastAsia="仿宋_GB2312" w:cs="仿宋_GB2312"/>
          <w:sz w:val="32"/>
          <w:szCs w:val="32"/>
          <w:highlight w:val="none"/>
        </w:rPr>
        <w:t>。国内公务接</w:t>
      </w:r>
      <w:r>
        <w:rPr>
          <w:rFonts w:hint="eastAsia" w:ascii="仿宋_GB2312" w:hAnsi="仿宋_GB2312" w:eastAsia="仿宋_GB2312" w:cs="仿宋_GB2312"/>
          <w:sz w:val="32"/>
          <w:szCs w:val="32"/>
          <w:highlight w:val="none"/>
        </w:rPr>
        <w:t>待</w:t>
      </w:r>
      <w:r>
        <w:rPr>
          <w:rFonts w:hint="eastAsia" w:ascii="仿宋" w:hAnsi="仿宋" w:eastAsia="仿宋"/>
          <w:color w:val="auto"/>
          <w:sz w:val="32"/>
          <w:szCs w:val="32"/>
          <w:highlight w:val="none"/>
          <w:lang w:val="en-US" w:eastAsia="zh-CN"/>
        </w:rPr>
        <w:t>3</w:t>
      </w:r>
      <w:r>
        <w:rPr>
          <w:rFonts w:hint="eastAsia" w:ascii="仿宋_GB2312" w:hAnsi="仿宋_GB2312" w:eastAsia="仿宋_GB2312" w:cs="仿宋_GB2312"/>
          <w:sz w:val="32"/>
          <w:szCs w:val="32"/>
          <w:highlight w:val="none"/>
        </w:rPr>
        <w:t>批次，</w:t>
      </w:r>
      <w:r>
        <w:rPr>
          <w:rFonts w:hint="eastAsia" w:eastAsia="仿宋_GB2312" w:cs="仿宋_GB2312"/>
          <w:sz w:val="32"/>
          <w:szCs w:val="32"/>
          <w:highlight w:val="none"/>
          <w:lang w:val="en-US" w:eastAsia="zh-CN"/>
        </w:rPr>
        <w:t>27</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0.17</w:t>
      </w:r>
      <w:r>
        <w:rPr>
          <w:rFonts w:hint="eastAsia" w:eastAsia="仿宋_GB2312" w:cs="仿宋_GB2312"/>
          <w:sz w:val="32"/>
          <w:szCs w:val="32"/>
          <w:highlight w:val="none"/>
        </w:rPr>
        <w:t>万元，具体内容包括：分局2023年第四季度考核组</w:t>
      </w:r>
      <w:r>
        <w:rPr>
          <w:rFonts w:hint="eastAsia" w:eastAsia="仿宋_GB2312" w:cs="仿宋_GB2312"/>
          <w:sz w:val="32"/>
          <w:szCs w:val="32"/>
          <w:highlight w:val="none"/>
          <w:lang w:eastAsia="zh-CN"/>
        </w:rPr>
        <w:t>分局伙食团接待</w:t>
      </w:r>
      <w:r>
        <w:rPr>
          <w:rFonts w:hint="eastAsia" w:eastAsia="仿宋_GB2312" w:cs="仿宋_GB2312"/>
          <w:sz w:val="32"/>
          <w:szCs w:val="32"/>
          <w:highlight w:val="none"/>
          <w:lang w:val="en-US" w:eastAsia="zh-CN"/>
        </w:rPr>
        <w:t>580元</w:t>
      </w:r>
      <w:r>
        <w:rPr>
          <w:rFonts w:hint="eastAsia" w:eastAsia="仿宋_GB2312" w:cs="仿宋_GB2312"/>
          <w:sz w:val="32"/>
          <w:szCs w:val="32"/>
          <w:highlight w:val="none"/>
          <w:lang w:eastAsia="zh-CN"/>
        </w:rPr>
        <w:t>、小金分局交流学习</w:t>
      </w:r>
      <w:r>
        <w:rPr>
          <w:rFonts w:hint="eastAsia" w:eastAsia="仿宋_GB2312" w:cs="仿宋_GB2312"/>
          <w:sz w:val="32"/>
          <w:szCs w:val="32"/>
          <w:highlight w:val="none"/>
          <w:lang w:val="en-US" w:eastAsia="zh-CN"/>
        </w:rPr>
        <w:t>接待698元</w:t>
      </w:r>
      <w:r>
        <w:rPr>
          <w:rFonts w:hint="eastAsia" w:eastAsia="仿宋_GB2312" w:cs="仿宋_GB2312"/>
          <w:sz w:val="32"/>
          <w:szCs w:val="32"/>
          <w:highlight w:val="none"/>
          <w:lang w:eastAsia="zh-CN"/>
        </w:rPr>
        <w:t>、2024年二季度考核</w:t>
      </w:r>
      <w:r>
        <w:rPr>
          <w:rFonts w:hint="eastAsia" w:eastAsia="仿宋_GB2312" w:cs="仿宋_GB2312"/>
          <w:sz w:val="32"/>
          <w:szCs w:val="32"/>
          <w:highlight w:val="none"/>
          <w:lang w:val="en-US" w:eastAsia="zh-CN"/>
        </w:rPr>
        <w:t>接待430元。</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7" w:name="_Toc15396610"/>
      <w:bookmarkStart w:id="48" w:name="_Toc15377218"/>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9"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7"/>
      <w:bookmarkEnd w:id="48"/>
      <w:bookmarkEnd w:id="49"/>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0" w:name="_Toc15377219"/>
      <w:bookmarkStart w:id="51" w:name="_Toc15396611"/>
      <w:bookmarkStart w:id="52" w:name="_Toc14890"/>
      <w:r>
        <w:rPr>
          <w:rStyle w:val="29"/>
          <w:rFonts w:hint="eastAsia" w:ascii="Times New Roman" w:hAnsi="Times New Roman" w:eastAsia="黑体"/>
          <w:b w:val="0"/>
        </w:rPr>
        <w:t>九、国有资本经营预算支出决算情况说明</w:t>
      </w:r>
      <w:bookmarkEnd w:id="50"/>
      <w:bookmarkEnd w:id="51"/>
      <w:bookmarkEnd w:id="52"/>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3" w:name="_Toc17012"/>
      <w:bookmarkStart w:id="54" w:name="_Toc15377221"/>
      <w:bookmarkStart w:id="55" w:name="_Toc15396612"/>
      <w:r>
        <w:rPr>
          <w:rStyle w:val="29"/>
          <w:rFonts w:hint="eastAsia" w:ascii="Times New Roman" w:hAnsi="Times New Roman" w:eastAsia="黑体"/>
          <w:b w:val="0"/>
        </w:rPr>
        <w:t>十、其他重要事项的情况说明</w:t>
      </w:r>
      <w:bookmarkEnd w:id="53"/>
      <w:bookmarkEnd w:id="54"/>
      <w:bookmarkEnd w:id="55"/>
    </w:p>
    <w:p>
      <w:pPr>
        <w:spacing w:line="600" w:lineRule="exact"/>
        <w:ind w:firstLine="643" w:firstLineChars="200"/>
        <w:outlineLvl w:val="2"/>
        <w:rPr>
          <w:rFonts w:eastAsia="楷体_GB2312" w:cs="楷体_GB2312"/>
          <w:b/>
          <w:sz w:val="32"/>
          <w:szCs w:val="32"/>
        </w:rPr>
      </w:pPr>
      <w:bookmarkStart w:id="56" w:name="_Toc15377222"/>
      <w:r>
        <w:rPr>
          <w:rFonts w:hint="eastAsia" w:eastAsia="楷体_GB2312" w:cs="楷体_GB2312"/>
          <w:b/>
          <w:sz w:val="32"/>
          <w:szCs w:val="32"/>
        </w:rPr>
        <w:t>（一）机关运行经费支出情况</w:t>
      </w:r>
      <w:bookmarkEnd w:id="56"/>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阿坝藏族羌族自治州公路管理局金川公路管理分局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7" w:name="_Toc15377223"/>
      <w:r>
        <w:rPr>
          <w:rFonts w:hint="eastAsia" w:eastAsia="楷体_GB2312" w:cs="楷体_GB2312"/>
          <w:b/>
          <w:sz w:val="32"/>
          <w:szCs w:val="32"/>
        </w:rPr>
        <w:t>（二）政府采购支出情况</w:t>
      </w:r>
      <w:bookmarkEnd w:id="57"/>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阿坝藏族羌族自治州公路管理局金川公路管理分局</w:t>
      </w:r>
      <w:r>
        <w:rPr>
          <w:rFonts w:hint="eastAsia" w:ascii="仿宋_GB2312" w:hAnsi="仿宋_GB2312" w:eastAsia="仿宋_GB2312" w:cs="仿宋_GB2312"/>
          <w:sz w:val="32"/>
          <w:szCs w:val="32"/>
        </w:rPr>
        <w:t>政府采购支出总额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8" w:name="_Toc15377224"/>
      <w:r>
        <w:rPr>
          <w:rFonts w:hint="eastAsia" w:eastAsia="楷体_GB2312" w:cs="楷体_GB2312"/>
          <w:b/>
          <w:sz w:val="32"/>
          <w:szCs w:val="32"/>
        </w:rPr>
        <w:t>（三）国有资产占有使用情况</w:t>
      </w:r>
      <w:bookmarkEnd w:id="58"/>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阿坝藏族羌族自治州公路管理局金川公路管理分局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4</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val="en-US" w:eastAsia="zh-CN"/>
        </w:rPr>
        <w:t>执法执勤用车4辆、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highlight w:val="none"/>
        </w:rPr>
      </w:pPr>
      <w:r>
        <w:rPr>
          <w:rFonts w:hint="eastAsia" w:eastAsia="仿宋_GB2312" w:cs="仿宋_GB2312"/>
          <w:sz w:val="32"/>
          <w:szCs w:val="32"/>
          <w:highlight w:val="none"/>
        </w:rPr>
        <w:t>根据预算绩效管理要求，</w:t>
      </w:r>
      <w:r>
        <w:rPr>
          <w:rFonts w:hint="eastAsia" w:ascii="仿宋_GB2312" w:hAnsi="仿宋_GB2312" w:eastAsia="仿宋_GB2312" w:cs="仿宋_GB2312"/>
          <w:sz w:val="32"/>
          <w:szCs w:val="32"/>
          <w:highlight w:val="none"/>
          <w:lang w:val="en-US" w:eastAsia="zh-CN"/>
        </w:rPr>
        <w:t>阿坝藏族羌族自治州公路管理局金川公路管理分局</w:t>
      </w:r>
      <w:r>
        <w:rPr>
          <w:rFonts w:hint="eastAsia" w:eastAsia="仿宋_GB2312" w:cs="仿宋_GB2312"/>
          <w:sz w:val="32"/>
          <w:szCs w:val="32"/>
          <w:highlight w:val="none"/>
        </w:rPr>
        <w:t>在2024年度预算编制阶段，组织对金川分局小修保养经费</w:t>
      </w:r>
      <w:r>
        <w:rPr>
          <w:rFonts w:hint="eastAsia" w:eastAsia="仿宋_GB2312" w:cs="仿宋_GB2312"/>
          <w:sz w:val="32"/>
          <w:szCs w:val="32"/>
          <w:highlight w:val="none"/>
          <w:lang w:eastAsia="zh-CN"/>
        </w:rPr>
        <w:t>、金川公路管理分局交调站维护费、金川公路管理分局养护机械运行维护费、2023年金川分局丧葬伤残抚恤金、金川分局八一建军节慰问费、金川分局退休人员春节慰问费、金川公路分局隧道电费、金川公路分局水毁应急抢险资金</w:t>
      </w:r>
      <w:r>
        <w:rPr>
          <w:rFonts w:hint="eastAsia" w:eastAsia="仿宋_GB2312" w:cs="仿宋_GB2312"/>
          <w:sz w:val="32"/>
          <w:szCs w:val="32"/>
          <w:highlight w:val="none"/>
          <w:lang w:val="en-US" w:eastAsia="zh-CN"/>
        </w:rPr>
        <w:t>8</w:t>
      </w:r>
      <w:r>
        <w:rPr>
          <w:rFonts w:hint="eastAsia" w:eastAsia="仿宋_GB2312" w:cs="仿宋_GB2312"/>
          <w:sz w:val="32"/>
          <w:szCs w:val="32"/>
          <w:highlight w:val="none"/>
        </w:rPr>
        <w:t>个项目开展了预算事前绩效评估，对</w:t>
      </w:r>
      <w:r>
        <w:rPr>
          <w:rFonts w:hint="eastAsia" w:eastAsia="仿宋_GB2312" w:cs="仿宋_GB2312"/>
          <w:sz w:val="32"/>
          <w:szCs w:val="32"/>
          <w:highlight w:val="none"/>
          <w:lang w:val="en-US" w:eastAsia="zh-CN"/>
        </w:rPr>
        <w:t>8</w:t>
      </w:r>
      <w:r>
        <w:rPr>
          <w:rFonts w:hint="eastAsia" w:eastAsia="仿宋_GB2312" w:cs="仿宋_GB2312"/>
          <w:sz w:val="32"/>
          <w:szCs w:val="32"/>
          <w:highlight w:val="none"/>
        </w:rPr>
        <w:t>个项目编制了绩效目标，预算执行过程中，选取</w:t>
      </w:r>
      <w:r>
        <w:rPr>
          <w:rFonts w:hint="eastAsia" w:eastAsia="仿宋_GB2312" w:cs="仿宋_GB2312"/>
          <w:sz w:val="32"/>
          <w:szCs w:val="32"/>
          <w:highlight w:val="none"/>
          <w:lang w:val="en-US" w:eastAsia="zh-CN"/>
        </w:rPr>
        <w:t>8</w:t>
      </w:r>
      <w:r>
        <w:rPr>
          <w:rFonts w:hint="eastAsia" w:eastAsia="仿宋_GB2312" w:cs="仿宋_GB2312"/>
          <w:sz w:val="32"/>
          <w:szCs w:val="32"/>
          <w:highlight w:val="none"/>
        </w:rPr>
        <w:t>个项目开展绩效监控</w:t>
      </w:r>
      <w:r>
        <w:rPr>
          <w:rFonts w:hint="eastAsia" w:eastAsia="仿宋_GB2312" w:cs="仿宋_GB2312"/>
          <w:sz w:val="32"/>
          <w:szCs w:val="32"/>
          <w:highlight w:val="none"/>
          <w:lang w:eastAsia="zh-CN"/>
        </w:rPr>
        <w:t>，</w:t>
      </w:r>
      <w:r>
        <w:rPr>
          <w:rFonts w:hint="eastAsia" w:eastAsia="仿宋_GB2312" w:cs="仿宋_GB2312"/>
          <w:sz w:val="32"/>
          <w:szCs w:val="32"/>
          <w:highlight w:val="none"/>
        </w:rPr>
        <w:t>组织对</w:t>
      </w:r>
      <w:r>
        <w:rPr>
          <w:rFonts w:hint="eastAsia" w:eastAsia="仿宋_GB2312" w:cs="仿宋_GB2312"/>
          <w:sz w:val="32"/>
          <w:szCs w:val="32"/>
          <w:highlight w:val="none"/>
          <w:lang w:val="en-US" w:eastAsia="zh-CN"/>
        </w:rPr>
        <w:t>8</w:t>
      </w:r>
      <w:r>
        <w:rPr>
          <w:rFonts w:hint="eastAsia" w:eastAsia="仿宋_GB2312" w:cs="仿宋_GB2312"/>
          <w:sz w:val="32"/>
          <w:szCs w:val="32"/>
          <w:highlight w:val="none"/>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13"/>
      </w:pPr>
    </w:p>
    <w:p>
      <w:pPr>
        <w:spacing w:line="600" w:lineRule="exact"/>
        <w:jc w:val="center"/>
        <w:outlineLvl w:val="0"/>
        <w:rPr>
          <w:rFonts w:eastAsia="黑体"/>
          <w:sz w:val="44"/>
          <w:szCs w:val="44"/>
        </w:rPr>
      </w:pPr>
      <w:bookmarkStart w:id="59" w:name="_Toc15396613"/>
      <w:bookmarkStart w:id="60" w:name="_Toc24234"/>
      <w:bookmarkStart w:id="61" w:name="_Toc15377225"/>
      <w:r>
        <w:rPr>
          <w:rFonts w:hint="eastAsia" w:eastAsia="黑体"/>
          <w:sz w:val="44"/>
          <w:szCs w:val="44"/>
        </w:rPr>
        <w:t>第三部分  名词解释</w:t>
      </w:r>
      <w:bookmarkEnd w:id="59"/>
      <w:bookmarkEnd w:id="60"/>
      <w:bookmarkEnd w:id="61"/>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2" w:name="_Toc15377226"/>
      <w:r>
        <w:rPr>
          <w:rFonts w:hint="eastAsia" w:eastAsia="仿宋_GB2312" w:cs="仿宋_GB2312"/>
          <w:szCs w:val="32"/>
        </w:rPr>
        <w:br w:type="page"/>
      </w:r>
      <w:bookmarkStart w:id="63" w:name="_Toc11707"/>
      <w:bookmarkStart w:id="64" w:name="_Toc15396614"/>
      <w:r>
        <w:rPr>
          <w:rFonts w:hint="eastAsia" w:eastAsia="黑体"/>
          <w:sz w:val="44"/>
          <w:szCs w:val="44"/>
        </w:rPr>
        <w:t>第四部分  附件</w:t>
      </w:r>
      <w:bookmarkEnd w:id="63"/>
      <w:bookmarkEnd w:id="64"/>
    </w:p>
    <w:p>
      <w:pPr>
        <w:pStyle w:val="5"/>
        <w:spacing w:before="93"/>
        <w:jc w:val="center"/>
        <w:rPr>
          <w:rFonts w:ascii="Times New Roman" w:cs="宋体"/>
          <w:color w:val="auto"/>
          <w:sz w:val="32"/>
          <w:szCs w:val="32"/>
          <w:highlight w:val="none"/>
          <w:shd w:val="clear" w:color="auto" w:fill="FFFFFF"/>
          <w:lang w:val="zh-CN"/>
        </w:rPr>
      </w:pPr>
      <w:r>
        <w:drawing>
          <wp:anchor distT="0" distB="0" distL="114300" distR="114300" simplePos="0" relativeHeight="251670528" behindDoc="1" locked="0" layoutInCell="1" allowOverlap="1">
            <wp:simplePos x="0" y="0"/>
            <wp:positionH relativeFrom="column">
              <wp:posOffset>-217170</wp:posOffset>
            </wp:positionH>
            <wp:positionV relativeFrom="page">
              <wp:posOffset>1853565</wp:posOffset>
            </wp:positionV>
            <wp:extent cx="5785485" cy="3818255"/>
            <wp:effectExtent l="0" t="0" r="5715" b="0"/>
            <wp:wrapTight wrapText="bothSides">
              <wp:wrapPolygon>
                <wp:start x="0" y="0"/>
                <wp:lineTo x="0" y="21446"/>
                <wp:lineTo x="21550" y="21446"/>
                <wp:lineTo x="21550"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785485" cy="3818255"/>
                    </a:xfrm>
                    <a:prstGeom prst="rect">
                      <a:avLst/>
                    </a:prstGeom>
                    <a:noFill/>
                    <a:ln>
                      <a:noFill/>
                    </a:ln>
                  </pic:spPr>
                </pic:pic>
              </a:graphicData>
            </a:graphic>
          </wp:anchor>
        </w:drawing>
      </w: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center"/>
      </w:pPr>
      <w:r>
        <w:drawing>
          <wp:anchor distT="0" distB="0" distL="114300" distR="114300" simplePos="0" relativeHeight="251671552" behindDoc="1" locked="0" layoutInCell="1" allowOverlap="1">
            <wp:simplePos x="0" y="0"/>
            <wp:positionH relativeFrom="column">
              <wp:posOffset>-268605</wp:posOffset>
            </wp:positionH>
            <wp:positionV relativeFrom="paragraph">
              <wp:posOffset>131445</wp:posOffset>
            </wp:positionV>
            <wp:extent cx="5829300" cy="3466465"/>
            <wp:effectExtent l="0" t="0" r="0" b="635"/>
            <wp:wrapTight wrapText="bothSides">
              <wp:wrapPolygon>
                <wp:start x="0" y="0"/>
                <wp:lineTo x="0" y="21485"/>
                <wp:lineTo x="21529" y="21485"/>
                <wp:lineTo x="21529"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829300" cy="3466465"/>
                    </a:xfrm>
                    <a:prstGeom prst="rect">
                      <a:avLst/>
                    </a:prstGeom>
                    <a:noFill/>
                    <a:ln>
                      <a:noFill/>
                    </a:ln>
                  </pic:spPr>
                </pic:pic>
              </a:graphicData>
            </a:graphic>
          </wp:anchor>
        </w:drawing>
      </w:r>
    </w:p>
    <w:p>
      <w:pPr>
        <w:jc w:val="both"/>
      </w:pPr>
      <w:r>
        <w:drawing>
          <wp:anchor distT="0" distB="0" distL="114300" distR="114300" simplePos="0" relativeHeight="251672576" behindDoc="1" locked="0" layoutInCell="1" allowOverlap="1">
            <wp:simplePos x="0" y="0"/>
            <wp:positionH relativeFrom="column">
              <wp:posOffset>-233680</wp:posOffset>
            </wp:positionH>
            <wp:positionV relativeFrom="paragraph">
              <wp:posOffset>182880</wp:posOffset>
            </wp:positionV>
            <wp:extent cx="5760720" cy="4077970"/>
            <wp:effectExtent l="0" t="0" r="11430" b="0"/>
            <wp:wrapTight wrapText="bothSides">
              <wp:wrapPolygon>
                <wp:start x="0" y="0"/>
                <wp:lineTo x="0" y="21492"/>
                <wp:lineTo x="21500" y="21492"/>
                <wp:lineTo x="21500"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760720" cy="4077970"/>
                    </a:xfrm>
                    <a:prstGeom prst="rect">
                      <a:avLst/>
                    </a:prstGeom>
                    <a:noFill/>
                    <a:ln>
                      <a:noFill/>
                    </a:ln>
                  </pic:spPr>
                </pic:pic>
              </a:graphicData>
            </a:graphic>
          </wp:anchor>
        </w:drawing>
      </w:r>
    </w:p>
    <w:p>
      <w:pPr>
        <w:jc w:val="both"/>
        <w:rPr>
          <w:rFonts w:eastAsia="黑体" w:cs="黑体"/>
          <w:kern w:val="0"/>
          <w:sz w:val="32"/>
          <w:szCs w:val="32"/>
          <w:shd w:val="clear" w:color="auto" w:fill="FFFFFF"/>
          <w:lang w:val="zh-CN"/>
        </w:rPr>
      </w:pPr>
      <w:r>
        <w:drawing>
          <wp:anchor distT="0" distB="0" distL="114300" distR="114300" simplePos="0" relativeHeight="251673600" behindDoc="1" locked="0" layoutInCell="1" allowOverlap="1">
            <wp:simplePos x="0" y="0"/>
            <wp:positionH relativeFrom="column">
              <wp:posOffset>-241935</wp:posOffset>
            </wp:positionH>
            <wp:positionV relativeFrom="paragraph">
              <wp:posOffset>160020</wp:posOffset>
            </wp:positionV>
            <wp:extent cx="5785485" cy="4130040"/>
            <wp:effectExtent l="0" t="0" r="5715" b="0"/>
            <wp:wrapTight wrapText="bothSides">
              <wp:wrapPolygon>
                <wp:start x="0" y="0"/>
                <wp:lineTo x="0" y="21520"/>
                <wp:lineTo x="21550" y="21520"/>
                <wp:lineTo x="21550"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5785485" cy="4130040"/>
                    </a:xfrm>
                    <a:prstGeom prst="rect">
                      <a:avLst/>
                    </a:prstGeom>
                    <a:noFill/>
                    <a:ln>
                      <a:noFill/>
                    </a:ln>
                  </pic:spPr>
                </pic:pic>
              </a:graphicData>
            </a:graphic>
          </wp:anchor>
        </w:drawing>
      </w: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5" w:name="_Toc15396618"/>
      <w:r>
        <w:drawing>
          <wp:anchor distT="0" distB="0" distL="114300" distR="114300" simplePos="0" relativeHeight="251675648" behindDoc="1" locked="0" layoutInCell="1" allowOverlap="1">
            <wp:simplePos x="0" y="0"/>
            <wp:positionH relativeFrom="column">
              <wp:posOffset>-285750</wp:posOffset>
            </wp:positionH>
            <wp:positionV relativeFrom="paragraph">
              <wp:posOffset>4344670</wp:posOffset>
            </wp:positionV>
            <wp:extent cx="5785485" cy="4196715"/>
            <wp:effectExtent l="0" t="0" r="5715" b="0"/>
            <wp:wrapTight wrapText="bothSides">
              <wp:wrapPolygon>
                <wp:start x="0" y="0"/>
                <wp:lineTo x="0" y="21473"/>
                <wp:lineTo x="21550" y="21473"/>
                <wp:lineTo x="21550"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5785485" cy="4196715"/>
                    </a:xfrm>
                    <a:prstGeom prst="rect">
                      <a:avLst/>
                    </a:prstGeom>
                    <a:noFill/>
                    <a:ln>
                      <a:noFill/>
                    </a:ln>
                  </pic:spPr>
                </pic:pic>
              </a:graphicData>
            </a:graphic>
          </wp:anchor>
        </w:drawing>
      </w:r>
      <w:r>
        <w:drawing>
          <wp:anchor distT="0" distB="0" distL="114300" distR="114300" simplePos="0" relativeHeight="251674624" behindDoc="1" locked="0" layoutInCell="1" allowOverlap="1">
            <wp:simplePos x="0" y="0"/>
            <wp:positionH relativeFrom="column">
              <wp:posOffset>-233680</wp:posOffset>
            </wp:positionH>
            <wp:positionV relativeFrom="paragraph">
              <wp:posOffset>185420</wp:posOffset>
            </wp:positionV>
            <wp:extent cx="5725795" cy="3930650"/>
            <wp:effectExtent l="0" t="0" r="8255" b="0"/>
            <wp:wrapTight wrapText="bothSides">
              <wp:wrapPolygon>
                <wp:start x="0" y="0"/>
                <wp:lineTo x="0" y="21460"/>
                <wp:lineTo x="21559" y="21460"/>
                <wp:lineTo x="21559"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5725795" cy="393065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7696" behindDoc="1" locked="0" layoutInCell="1" allowOverlap="1">
            <wp:simplePos x="0" y="0"/>
            <wp:positionH relativeFrom="column">
              <wp:posOffset>-250825</wp:posOffset>
            </wp:positionH>
            <wp:positionV relativeFrom="paragraph">
              <wp:posOffset>4386580</wp:posOffset>
            </wp:positionV>
            <wp:extent cx="5759450" cy="4055110"/>
            <wp:effectExtent l="0" t="0" r="12700" b="0"/>
            <wp:wrapTight wrapText="bothSides">
              <wp:wrapPolygon>
                <wp:start x="0" y="0"/>
                <wp:lineTo x="0" y="21512"/>
                <wp:lineTo x="21505" y="21512"/>
                <wp:lineTo x="21505"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a:stretch>
                      <a:fillRect/>
                    </a:stretch>
                  </pic:blipFill>
                  <pic:spPr>
                    <a:xfrm>
                      <a:off x="0" y="0"/>
                      <a:ext cx="5759450" cy="4055110"/>
                    </a:xfrm>
                    <a:prstGeom prst="rect">
                      <a:avLst/>
                    </a:prstGeom>
                    <a:noFill/>
                    <a:ln>
                      <a:noFill/>
                    </a:ln>
                  </pic:spPr>
                </pic:pic>
              </a:graphicData>
            </a:graphic>
          </wp:anchor>
        </w:drawing>
      </w:r>
      <w:r>
        <w:drawing>
          <wp:anchor distT="0" distB="0" distL="114300" distR="114300" simplePos="0" relativeHeight="251676672" behindDoc="1" locked="0" layoutInCell="1" allowOverlap="1">
            <wp:simplePos x="0" y="0"/>
            <wp:positionH relativeFrom="column">
              <wp:posOffset>-224790</wp:posOffset>
            </wp:positionH>
            <wp:positionV relativeFrom="paragraph">
              <wp:posOffset>185420</wp:posOffset>
            </wp:positionV>
            <wp:extent cx="5742940" cy="3974465"/>
            <wp:effectExtent l="0" t="0" r="10160" b="0"/>
            <wp:wrapTight wrapText="bothSides">
              <wp:wrapPolygon>
                <wp:start x="0" y="0"/>
                <wp:lineTo x="0" y="21534"/>
                <wp:lineTo x="21495" y="21534"/>
                <wp:lineTo x="21495"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a:stretch>
                      <a:fillRect/>
                    </a:stretch>
                  </pic:blipFill>
                  <pic:spPr>
                    <a:xfrm>
                      <a:off x="0" y="0"/>
                      <a:ext cx="5742940" cy="397446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bookmarkStart w:id="66" w:name="_Toc27363"/>
      <w:r>
        <w:rPr>
          <w:rFonts w:hint="eastAsia" w:eastAsia="黑体"/>
          <w:sz w:val="44"/>
          <w:szCs w:val="44"/>
        </w:rPr>
        <w:t>第五部分 附表</w:t>
      </w:r>
      <w:bookmarkEnd w:id="62"/>
      <w:bookmarkEnd w:id="65"/>
      <w:bookmarkEnd w:id="66"/>
      <w:bookmarkStart w:id="67" w:name="_Toc15396619"/>
    </w:p>
    <w:p>
      <w:pPr>
        <w:pStyle w:val="14"/>
        <w:adjustRightInd w:val="0"/>
        <w:snapToGrid w:val="0"/>
        <w:spacing w:line="560" w:lineRule="exact"/>
        <w:jc w:val="left"/>
        <w:rPr>
          <w:rFonts w:eastAsia="仿宋_GB2312" w:cs="仿宋_GB2312"/>
          <w:sz w:val="32"/>
          <w:szCs w:val="32"/>
        </w:rPr>
      </w:pPr>
    </w:p>
    <w:p>
      <w:pPr>
        <w:pStyle w:val="3"/>
        <w:rPr>
          <w:rStyle w:val="37"/>
          <w:rFonts w:hint="eastAsia" w:ascii="仿宋" w:hAnsi="仿宋" w:eastAsia="仿宋"/>
          <w:b w:val="0"/>
          <w:bCs w:val="0"/>
        </w:rPr>
      </w:pPr>
      <w:bookmarkStart w:id="68" w:name="_Toc14128"/>
      <w:r>
        <w:rPr>
          <w:rStyle w:val="37"/>
          <w:rFonts w:hint="eastAsia" w:ascii="仿宋" w:hAnsi="仿宋" w:eastAsia="仿宋"/>
          <w:b w:val="0"/>
          <w:bCs w:val="0"/>
        </w:rPr>
        <w:t>一、收入支出决算总表</w:t>
      </w:r>
      <w:bookmarkEnd w:id="67"/>
      <w:bookmarkEnd w:id="68"/>
    </w:p>
    <w:p>
      <w:pPr>
        <w:pStyle w:val="3"/>
        <w:rPr>
          <w:rStyle w:val="37"/>
          <w:rFonts w:hint="eastAsia" w:ascii="仿宋" w:hAnsi="仿宋" w:eastAsia="仿宋"/>
          <w:b w:val="0"/>
          <w:bCs w:val="0"/>
        </w:rPr>
      </w:pPr>
      <w:bookmarkStart w:id="69" w:name="_Toc9008"/>
      <w:bookmarkStart w:id="70" w:name="_Toc15396620"/>
      <w:r>
        <w:rPr>
          <w:rStyle w:val="37"/>
          <w:rFonts w:hint="eastAsia" w:ascii="仿宋" w:hAnsi="仿宋" w:eastAsia="仿宋"/>
          <w:b w:val="0"/>
          <w:bCs w:val="0"/>
        </w:rPr>
        <w:t>二、收入决算表</w:t>
      </w:r>
      <w:bookmarkEnd w:id="69"/>
      <w:bookmarkEnd w:id="70"/>
    </w:p>
    <w:p>
      <w:pPr>
        <w:pStyle w:val="3"/>
        <w:rPr>
          <w:rStyle w:val="37"/>
          <w:rFonts w:hint="eastAsia" w:ascii="仿宋" w:hAnsi="仿宋" w:eastAsia="仿宋"/>
          <w:b w:val="0"/>
          <w:bCs w:val="0"/>
        </w:rPr>
      </w:pPr>
      <w:bookmarkStart w:id="71" w:name="_Toc15396621"/>
      <w:bookmarkStart w:id="72" w:name="_Toc4521"/>
      <w:r>
        <w:rPr>
          <w:rStyle w:val="37"/>
          <w:rFonts w:hint="eastAsia" w:ascii="仿宋" w:hAnsi="仿宋" w:eastAsia="仿宋"/>
          <w:b w:val="0"/>
          <w:bCs w:val="0"/>
        </w:rPr>
        <w:t>三、支出决算表</w:t>
      </w:r>
      <w:bookmarkEnd w:id="71"/>
      <w:bookmarkEnd w:id="72"/>
    </w:p>
    <w:p>
      <w:pPr>
        <w:pStyle w:val="3"/>
        <w:rPr>
          <w:rStyle w:val="37"/>
          <w:rFonts w:hint="eastAsia" w:ascii="仿宋" w:hAnsi="仿宋" w:eastAsia="仿宋"/>
          <w:b w:val="0"/>
          <w:bCs w:val="0"/>
        </w:rPr>
      </w:pPr>
      <w:bookmarkStart w:id="73" w:name="_Toc15396622"/>
      <w:bookmarkStart w:id="74" w:name="_Toc32579"/>
      <w:r>
        <w:rPr>
          <w:rStyle w:val="37"/>
          <w:rFonts w:hint="eastAsia" w:ascii="仿宋" w:hAnsi="仿宋" w:eastAsia="仿宋"/>
          <w:b w:val="0"/>
          <w:bCs w:val="0"/>
        </w:rPr>
        <w:t>四、财政拨款收入支出决算总表</w:t>
      </w:r>
      <w:bookmarkEnd w:id="73"/>
      <w:bookmarkEnd w:id="74"/>
    </w:p>
    <w:p>
      <w:pPr>
        <w:pStyle w:val="3"/>
        <w:rPr>
          <w:rStyle w:val="37"/>
          <w:rFonts w:hint="eastAsia" w:ascii="仿宋" w:hAnsi="仿宋" w:eastAsia="仿宋"/>
          <w:b w:val="0"/>
          <w:bCs w:val="0"/>
        </w:rPr>
      </w:pPr>
      <w:bookmarkStart w:id="75" w:name="_Toc23065"/>
      <w:bookmarkStart w:id="76" w:name="_Toc15396623"/>
      <w:r>
        <w:rPr>
          <w:rStyle w:val="37"/>
          <w:rFonts w:hint="eastAsia" w:ascii="仿宋" w:hAnsi="仿宋" w:eastAsia="仿宋"/>
          <w:b w:val="0"/>
          <w:bCs w:val="0"/>
        </w:rPr>
        <w:t>五、财政拨款支出决算明细表</w:t>
      </w:r>
      <w:bookmarkEnd w:id="75"/>
      <w:bookmarkEnd w:id="76"/>
      <w:bookmarkStart w:id="77" w:name="_Toc15396624"/>
    </w:p>
    <w:p>
      <w:pPr>
        <w:pStyle w:val="3"/>
        <w:rPr>
          <w:rStyle w:val="37"/>
          <w:rFonts w:hint="eastAsia" w:ascii="仿宋" w:hAnsi="仿宋" w:eastAsia="仿宋"/>
          <w:b w:val="0"/>
          <w:bCs w:val="0"/>
        </w:rPr>
      </w:pPr>
      <w:bookmarkStart w:id="78" w:name="_Toc12952"/>
      <w:r>
        <w:rPr>
          <w:rStyle w:val="37"/>
          <w:rFonts w:hint="eastAsia" w:ascii="仿宋" w:hAnsi="仿宋" w:eastAsia="仿宋"/>
          <w:b w:val="0"/>
          <w:bCs w:val="0"/>
        </w:rPr>
        <w:t>六、一般公共预算财政拨款支出决算表</w:t>
      </w:r>
      <w:bookmarkEnd w:id="77"/>
      <w:bookmarkEnd w:id="78"/>
    </w:p>
    <w:p>
      <w:pPr>
        <w:pStyle w:val="3"/>
        <w:rPr>
          <w:rStyle w:val="37"/>
          <w:rFonts w:hint="eastAsia" w:ascii="仿宋" w:hAnsi="仿宋" w:eastAsia="仿宋"/>
          <w:b w:val="0"/>
          <w:bCs w:val="0"/>
        </w:rPr>
      </w:pPr>
      <w:bookmarkStart w:id="79" w:name="_Toc15396625"/>
      <w:bookmarkStart w:id="80" w:name="_Toc12867"/>
      <w:r>
        <w:rPr>
          <w:rStyle w:val="37"/>
          <w:rFonts w:hint="eastAsia" w:ascii="仿宋" w:hAnsi="仿宋" w:eastAsia="仿宋"/>
          <w:b w:val="0"/>
          <w:bCs w:val="0"/>
        </w:rPr>
        <w:t>七、一般公共预算财政拨款支出决算明细表</w:t>
      </w:r>
      <w:bookmarkEnd w:id="79"/>
      <w:bookmarkEnd w:id="80"/>
    </w:p>
    <w:p>
      <w:pPr>
        <w:pStyle w:val="3"/>
        <w:rPr>
          <w:rStyle w:val="37"/>
          <w:rFonts w:hint="eastAsia" w:ascii="仿宋" w:hAnsi="仿宋" w:eastAsia="仿宋"/>
          <w:b w:val="0"/>
          <w:bCs w:val="0"/>
        </w:rPr>
      </w:pPr>
      <w:bookmarkStart w:id="81" w:name="_Toc15396626"/>
      <w:bookmarkStart w:id="82" w:name="_Toc2880"/>
      <w:r>
        <w:rPr>
          <w:rStyle w:val="37"/>
          <w:rFonts w:hint="eastAsia" w:ascii="仿宋" w:hAnsi="仿宋" w:eastAsia="仿宋"/>
          <w:b w:val="0"/>
          <w:bCs w:val="0"/>
        </w:rPr>
        <w:t>八、一般公共预算财政拨款基本支出决算表</w:t>
      </w:r>
      <w:bookmarkEnd w:id="81"/>
      <w:bookmarkEnd w:id="82"/>
    </w:p>
    <w:p>
      <w:pPr>
        <w:pStyle w:val="3"/>
        <w:rPr>
          <w:rStyle w:val="37"/>
          <w:rFonts w:hint="eastAsia" w:ascii="仿宋" w:hAnsi="仿宋" w:eastAsia="仿宋"/>
          <w:b w:val="0"/>
          <w:bCs w:val="0"/>
        </w:rPr>
      </w:pPr>
      <w:bookmarkStart w:id="83" w:name="_Toc15396627"/>
      <w:bookmarkStart w:id="84" w:name="_Toc24062"/>
      <w:r>
        <w:rPr>
          <w:rStyle w:val="37"/>
          <w:rFonts w:hint="eastAsia" w:ascii="仿宋" w:hAnsi="仿宋" w:eastAsia="仿宋"/>
          <w:b w:val="0"/>
          <w:bCs w:val="0"/>
        </w:rPr>
        <w:t>九、一般公共预算财政拨款项目支出决算表</w:t>
      </w:r>
      <w:bookmarkEnd w:id="83"/>
      <w:bookmarkEnd w:id="84"/>
    </w:p>
    <w:p>
      <w:pPr>
        <w:pStyle w:val="3"/>
        <w:rPr>
          <w:rStyle w:val="37"/>
          <w:rFonts w:hint="eastAsia" w:ascii="仿宋" w:hAnsi="仿宋" w:eastAsia="仿宋"/>
          <w:b w:val="0"/>
          <w:bCs w:val="0"/>
        </w:rPr>
      </w:pPr>
      <w:bookmarkStart w:id="85" w:name="_Toc15396628"/>
      <w:bookmarkStart w:id="86" w:name="_Toc23439"/>
      <w:r>
        <w:rPr>
          <w:rStyle w:val="37"/>
          <w:rFonts w:hint="eastAsia" w:ascii="仿宋" w:hAnsi="仿宋" w:eastAsia="仿宋"/>
          <w:b w:val="0"/>
          <w:bCs w:val="0"/>
        </w:rPr>
        <w:t>十、</w:t>
      </w:r>
      <w:bookmarkEnd w:id="85"/>
      <w:r>
        <w:rPr>
          <w:rStyle w:val="37"/>
          <w:rFonts w:hint="eastAsia" w:ascii="仿宋" w:hAnsi="仿宋" w:eastAsia="仿宋"/>
          <w:b w:val="0"/>
          <w:bCs w:val="0"/>
        </w:rPr>
        <w:t>政府性基金预算财政拨款收入支出决算表</w:t>
      </w:r>
      <w:bookmarkEnd w:id="86"/>
    </w:p>
    <w:p>
      <w:pPr>
        <w:pStyle w:val="3"/>
        <w:rPr>
          <w:rStyle w:val="37"/>
          <w:rFonts w:hint="eastAsia" w:ascii="仿宋" w:hAnsi="仿宋" w:eastAsia="仿宋"/>
          <w:b w:val="0"/>
          <w:bCs w:val="0"/>
        </w:rPr>
      </w:pPr>
      <w:bookmarkStart w:id="87" w:name="_Toc15396629"/>
      <w:bookmarkStart w:id="88" w:name="_Toc5291"/>
      <w:r>
        <w:rPr>
          <w:rStyle w:val="37"/>
          <w:rFonts w:hint="eastAsia" w:ascii="仿宋" w:hAnsi="仿宋" w:eastAsia="仿宋"/>
          <w:b w:val="0"/>
          <w:bCs w:val="0"/>
        </w:rPr>
        <w:t>十一、</w:t>
      </w:r>
      <w:bookmarkEnd w:id="87"/>
      <w:r>
        <w:rPr>
          <w:rStyle w:val="37"/>
          <w:rFonts w:hint="eastAsia" w:ascii="仿宋" w:hAnsi="仿宋" w:eastAsia="仿宋"/>
          <w:b w:val="0"/>
          <w:bCs w:val="0"/>
        </w:rPr>
        <w:t>国有资本经营预算财政拨款收入支出决算表</w:t>
      </w:r>
      <w:bookmarkEnd w:id="88"/>
    </w:p>
    <w:p>
      <w:pPr>
        <w:pStyle w:val="3"/>
        <w:rPr>
          <w:rStyle w:val="37"/>
          <w:rFonts w:hint="eastAsia" w:ascii="仿宋" w:hAnsi="仿宋" w:eastAsia="仿宋"/>
          <w:b w:val="0"/>
          <w:bCs w:val="0"/>
        </w:rPr>
      </w:pPr>
      <w:bookmarkStart w:id="89" w:name="_Toc15396630"/>
      <w:bookmarkStart w:id="90" w:name="_Toc23131"/>
      <w:r>
        <w:rPr>
          <w:rStyle w:val="37"/>
          <w:rFonts w:hint="eastAsia" w:ascii="仿宋" w:hAnsi="仿宋" w:eastAsia="仿宋"/>
          <w:b w:val="0"/>
          <w:bCs w:val="0"/>
        </w:rPr>
        <w:t>十二、</w:t>
      </w:r>
      <w:bookmarkEnd w:id="89"/>
      <w:r>
        <w:rPr>
          <w:rStyle w:val="37"/>
          <w:rFonts w:hint="eastAsia" w:ascii="仿宋" w:hAnsi="仿宋" w:eastAsia="仿宋"/>
          <w:b w:val="0"/>
          <w:bCs w:val="0"/>
        </w:rPr>
        <w:t>国有资本经营预算财政拨款支出决算表</w:t>
      </w:r>
      <w:bookmarkEnd w:id="90"/>
    </w:p>
    <w:p>
      <w:pPr>
        <w:pStyle w:val="3"/>
        <w:rPr>
          <w:rStyle w:val="37"/>
          <w:rFonts w:hint="eastAsia" w:ascii="仿宋" w:hAnsi="仿宋" w:eastAsia="仿宋"/>
          <w:b w:val="0"/>
          <w:bCs w:val="0"/>
        </w:rPr>
      </w:pPr>
      <w:bookmarkStart w:id="91" w:name="_Toc15396631"/>
      <w:bookmarkStart w:id="92" w:name="_Toc25328"/>
      <w:r>
        <w:rPr>
          <w:rStyle w:val="37"/>
          <w:rFonts w:hint="eastAsia" w:ascii="仿宋" w:hAnsi="仿宋" w:eastAsia="仿宋"/>
          <w:b w:val="0"/>
          <w:bCs w:val="0"/>
        </w:rPr>
        <w:t>十三、</w:t>
      </w:r>
      <w:bookmarkEnd w:id="91"/>
      <w:r>
        <w:rPr>
          <w:rStyle w:val="37"/>
          <w:rFonts w:hint="eastAsia" w:ascii="仿宋" w:hAnsi="仿宋" w:eastAsia="仿宋"/>
          <w:b w:val="0"/>
          <w:bCs w:val="0"/>
        </w:rPr>
        <w:t>财政拨款“三公”经费支出决算表</w:t>
      </w:r>
      <w:bookmarkEnd w:id="92"/>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02220C"/>
    <w:rsid w:val="02FEBE30"/>
    <w:rsid w:val="04916F1E"/>
    <w:rsid w:val="061E35DE"/>
    <w:rsid w:val="06200051"/>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81408E2"/>
    <w:rsid w:val="28341F69"/>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763F7C"/>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86A6C7A"/>
    <w:rsid w:val="4A627F82"/>
    <w:rsid w:val="4B0E749A"/>
    <w:rsid w:val="4B2477C4"/>
    <w:rsid w:val="4B4F25DA"/>
    <w:rsid w:val="4BE068DB"/>
    <w:rsid w:val="4D577224"/>
    <w:rsid w:val="4DBF1CEB"/>
    <w:rsid w:val="4DF0007C"/>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85B269C"/>
    <w:rsid w:val="5ADE1FC9"/>
    <w:rsid w:val="5AF92295"/>
    <w:rsid w:val="5B250254"/>
    <w:rsid w:val="5BDD79E6"/>
    <w:rsid w:val="5BF561CA"/>
    <w:rsid w:val="5BFF5DFC"/>
    <w:rsid w:val="5C0B148E"/>
    <w:rsid w:val="5CD71FC4"/>
    <w:rsid w:val="5D1F11B5"/>
    <w:rsid w:val="5D695134"/>
    <w:rsid w:val="5DAE1B18"/>
    <w:rsid w:val="5DE7D9E5"/>
    <w:rsid w:val="5EA902B4"/>
    <w:rsid w:val="5ECEC941"/>
    <w:rsid w:val="5FBF9FF3"/>
    <w:rsid w:val="5FCD4E2C"/>
    <w:rsid w:val="5FEF394A"/>
    <w:rsid w:val="5FF67715"/>
    <w:rsid w:val="62BF3928"/>
    <w:rsid w:val="63B3701E"/>
    <w:rsid w:val="647F5392"/>
    <w:rsid w:val="65CA2F26"/>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7EE4F8E"/>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3"/>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zm\2023&#24180;&#20915;&#31639;&#20844;&#24320;\&#22270;&#34920;&#21450;&#21517;&#35789;&#35299;&#37322;\&#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'[决算图表(1)(1).et]Sheet1'!$H$5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'[决算图表(1)(1).et]Sheet1'!$I$5:$J$5</c:f>
              <c:numCache>
                <c:formatCode>General</c:formatCode>
                <c:ptCount val="2"/>
                <c:pt idx="0">
                  <c:v>2576.97</c:v>
                </c:pt>
                <c:pt idx="1">
                  <c:v>2576.97</c:v>
                </c:pt>
              </c:numCache>
            </c:numRef>
          </c:val>
        </c:ser>
        <c:ser>
          <c:idx val="1"/>
          <c:order val="1"/>
          <c:tx>
            <c:strRef>
              <c:f>'[决算图表(1)(1).et]Sheet1'!$H$6</c:f>
              <c:strCache>
                <c:ptCount val="1"/>
                <c:pt idx="0">
                  <c:v>2024年</c:v>
                </c:pt>
              </c:strCache>
            </c:strRef>
          </c:tx>
          <c:spPr>
            <a:solidFill>
              <a:schemeClr val="accent2"/>
            </a:solidFill>
            <a:ln>
              <a:noFill/>
            </a:ln>
            <a:effectLst/>
          </c:spPr>
          <c:invertIfNegative val="0"/>
          <c:dLbls>
            <c:dLbl>
              <c:idx val="0"/>
              <c:layout>
                <c:manualLayout>
                  <c:x val="0.0144508670520231"/>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40847784200385"/>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'[决算图表(1)(1).et]Sheet1'!$I$4:$J$4</c:f>
              <c:strCache>
                <c:ptCount val="2"/>
                <c:pt idx="0">
                  <c:v>收入</c:v>
                </c:pt>
                <c:pt idx="1">
                  <c:v>支出</c:v>
                </c:pt>
              </c:strCache>
            </c:strRef>
          </c:cat>
          <c:val>
            <c:numRef>
              <c:f>'[决算图表(1)(1).et]Sheet1'!$I$6:$J$6</c:f>
              <c:numCache>
                <c:formatCode>#,##0.00</c:formatCode>
                <c:ptCount val="2"/>
                <c:pt idx="0">
                  <c:v>2435.24</c:v>
                </c:pt>
                <c:pt idx="1">
                  <c:v>2435.24</c:v>
                </c:pt>
              </c:numCache>
            </c:numRef>
          </c:val>
        </c:ser>
        <c:ser>
          <c:idx val="2"/>
          <c:order val="2"/>
          <c:tx>
            <c:strRef>
              <c:f>'[决算图表(1)(1).et]Sheet1'!$H$7</c:f>
              <c:strCache>
                <c:ptCount val="1"/>
                <c:pt idx="0">
                  <c:v/>
                </c:pt>
              </c:strCache>
            </c:strRef>
          </c:tx>
          <c:invertIfNegative val="0"/>
          <c:dLbls>
            <c:delete val="1"/>
          </c:dLbls>
          <c:cat>
            <c:strRef>
              <c:f>'[决算图表(1)(1).et]Sheet1'!$I$4:$J$4</c:f>
              <c:strCache>
                <c:ptCount val="2"/>
                <c:pt idx="0">
                  <c:v>收入</c:v>
                </c:pt>
                <c:pt idx="1">
                  <c:v>支出</c:v>
                </c:pt>
              </c:strCache>
            </c:strRef>
          </c:cat>
          <c:val>
            <c:numRef>
              <c:f>'[决算图表(1)(1).et]Sheet1'!$I$7:$J$7</c:f>
              <c:numCache>
                <c:formatCode>General</c:formatCode>
                <c:ptCount val="2"/>
              </c:numCache>
            </c:numRef>
          </c:val>
        </c:ser>
        <c:dLbls>
          <c:showLegendKey val="0"/>
          <c:showVal val="0"/>
          <c:showCatName val="0"/>
          <c:showSerName val="0"/>
          <c:showPercent val="0"/>
          <c:showBubbleSize val="0"/>
        </c:dLbls>
        <c:gapWidth val="219"/>
        <c:overlap val="-27"/>
        <c:axId val="818879156"/>
        <c:axId val="886017241"/>
      </c:barChart>
      <c:catAx>
        <c:axId val="81887915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86017241"/>
        <c:crosses val="autoZero"/>
        <c:auto val="1"/>
        <c:lblAlgn val="ctr"/>
        <c:lblOffset val="100"/>
        <c:noMultiLvlLbl val="0"/>
      </c:catAx>
      <c:valAx>
        <c:axId val="88601724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8879156"/>
        <c:crosses val="autoZero"/>
        <c:crossBetween val="between"/>
      </c:valAx>
      <c:spPr>
        <a:noFill/>
        <a:ln>
          <a:noFill/>
        </a:ln>
        <a:effectLst/>
      </c:spPr>
    </c:plotArea>
    <c:legend>
      <c:legendPos val="r"/>
      <c:legendEntry>
        <c:idx val="2"/>
        <c:delete val="1"/>
      </c:legendEntry>
      <c:layout>
        <c:manualLayout>
          <c:xMode val="edge"/>
          <c:yMode val="edge"/>
          <c:x val="0.79"/>
          <c:y val="0.795"/>
          <c:w val="0.202767945345345"/>
          <c:h val="0.184877935834097"/>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收入决算结构图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44187118842214"/>
          <c:y val="0.0315385999739233"/>
        </c:manualLayout>
      </c:layout>
      <c:overlay val="0"/>
      <c:spPr>
        <a:noFill/>
        <a:ln>
          <a:noFill/>
        </a:ln>
        <a:effectLst/>
      </c:spPr>
    </c:title>
    <c:autoTitleDeleted val="0"/>
    <c:plotArea>
      <c:layout>
        <c:manualLayout>
          <c:layoutTarget val="inner"/>
          <c:xMode val="edge"/>
          <c:yMode val="edge"/>
          <c:x val="0.263335747825145"/>
          <c:y val="0.221206497433927"/>
          <c:w val="0.506731549067316"/>
          <c:h val="0.632388663967611"/>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dPt>
          <c:dPt>
            <c:idx val="3"/>
            <c:bubble3D val="0"/>
            <c:explosion val="0"/>
          </c:dPt>
          <c:dPt>
            <c:idx val="4"/>
            <c:bubble3D val="0"/>
            <c:explosion val="0"/>
          </c:dPt>
          <c:dPt>
            <c:idx val="5"/>
            <c:bubble3D val="0"/>
            <c:explosion val="0"/>
          </c:dPt>
          <c:dPt>
            <c:idx val="6"/>
            <c:bubble3D val="0"/>
            <c:explosion val="0"/>
          </c:dPt>
          <c:dPt>
            <c:idx val="7"/>
            <c:bubble3D val="0"/>
            <c:explosion val="0"/>
          </c:dPt>
          <c:dLbls>
            <c:dLbl>
              <c:idx val="0"/>
              <c:layout>
                <c:manualLayout>
                  <c:x val="0.00895621064269551"/>
                  <c:y val="-0.19045473089035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sz="1000" b="0" i="0" u="none" strike="noStrike" baseline="0">
                        <a:solidFill>
                          <a:srgbClr val="000000"/>
                        </a:solidFill>
                        <a:latin typeface="宋体" panose="02010600030101010101" charset="-122"/>
                        <a:ea typeface="宋体" panose="02010600030101010101" charset="-122"/>
                        <a:cs typeface="宋体" panose="02010600030101010101" charset="-122"/>
                      </a:rPr>
                      <a:t>2,435.24, </a:t>
                    </a:r>
                    <a:r>
                      <a:rPr lang="en-US" altLang="zh-CN" sz="1000" b="0" i="0" u="none" strike="noStrike" baseline="0">
                        <a:solidFill>
                          <a:srgbClr val="000000"/>
                        </a:solidFill>
                        <a:latin typeface="宋体" panose="02010600030101010101" charset="-122"/>
                        <a:ea typeface="宋体" panose="02010600030101010101" charset="-122"/>
                        <a:cs typeface="宋体" panose="02010600030101010101" charset="-122"/>
                      </a:rPr>
                      <a:t>100</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7"/>
              <c:layout>
                <c:manualLayout>
                  <c:x val="-0.257394379934734"/>
                  <c:y val="0.091616938126641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sz="1000" b="0" i="0" u="none" strike="noStrike" baseline="0">
                        <a:solidFill>
                          <a:srgbClr val="000000"/>
                        </a:solidFill>
                        <a:latin typeface="宋体" panose="02010600030101010101" charset="-122"/>
                        <a:ea typeface="宋体" panose="02010600030101010101" charset="-122"/>
                        <a:cs typeface="宋体" panose="02010600030101010101" charset="-122"/>
                      </a:rPr>
                      <a:t>204.18, 6</a:t>
                    </a:r>
                    <a:r>
                      <a:rPr lang="en-US" altLang="zh-CN" sz="1000" b="0" i="0" u="none" strike="noStrike" baseline="0">
                        <a:solidFill>
                          <a:srgbClr val="000000"/>
                        </a:solidFill>
                        <a:latin typeface="Calibri" panose="020F0502020204030204" pitchFamily="2" charset="0"/>
                        <a:ea typeface="Calibri" panose="020F0502020204030204" pitchFamily="2" charset="0"/>
                        <a:cs typeface="Calibri" panose="020F0502020204030204" pitchFamily="2" charset="0"/>
                      </a:rPr>
                      <a:t>.39</a:t>
                    </a:r>
                    <a:r>
                      <a:rPr sz="1000" b="0" i="0" u="none" strike="noStrike" baseline="0">
                        <a:solidFill>
                          <a:srgbClr val="000000"/>
                        </a:solidFill>
                        <a:latin typeface="宋体" panose="02010600030101010101" charset="-122"/>
                        <a:ea typeface="宋体" panose="02010600030101010101" charset="-122"/>
                        <a:cs typeface="宋体" panose="02010600030101010101" charset="-122"/>
                      </a:rPr>
                      <a:t>%</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'[决算图表(1)(1).et]Sheet1'!$B$80:$B$87</c:f>
              <c:strCache>
                <c:ptCount val="8"/>
                <c:pt idx="0">
                  <c:v>一般公共预算财政拨款收入</c:v>
                </c:pt>
                <c:pt idx="1">
                  <c:v>政府性基金预算财政拨款收入</c:v>
                </c:pt>
                <c:pt idx="2">
                  <c:v>国有资本经营预算财政拨款收入</c:v>
                </c:pt>
                <c:pt idx="3">
                  <c:v>上级补助收入</c:v>
                </c:pt>
                <c:pt idx="4">
                  <c:v>事业收入</c:v>
                </c:pt>
                <c:pt idx="5">
                  <c:v>经营收入</c:v>
                </c:pt>
                <c:pt idx="6">
                  <c:v>附属单位上缴收入</c:v>
                </c:pt>
                <c:pt idx="7">
                  <c:v>其他收入</c:v>
                </c:pt>
              </c:strCache>
            </c:strRef>
          </c:cat>
          <c:val>
            <c:numRef>
              <c:f>'[决算图表(1)(1).et]Sheet1'!$C$80:$C$87</c:f>
              <c:numCache>
                <c:formatCode>#,##0.00</c:formatCode>
                <c:ptCount val="8"/>
                <c:pt idx="0">
                  <c:v>2435.24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egendEntry>
        <c:idx val="6"/>
        <c:delete val="1"/>
      </c:legendEntry>
      <c:legendEntry>
        <c:idx val="7"/>
        <c:delete val="1"/>
      </c:legendEntry>
      <c:layout>
        <c:manualLayout>
          <c:xMode val="edge"/>
          <c:yMode val="edge"/>
          <c:x val="0.105204342273308"/>
          <c:y val="0.842913467524383"/>
          <c:w val="0.867177522349936"/>
          <c:h val="0.15086117451753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3820604882994"/>
          <c:y val="0.00727272727272727"/>
        </c:manualLayout>
      </c:layout>
      <c:overlay val="0"/>
      <c:spPr>
        <a:noFill/>
        <a:ln>
          <a:noFill/>
        </a:ln>
        <a:effectLst/>
      </c:spPr>
    </c:title>
    <c:autoTitleDeleted val="0"/>
    <c:plotArea>
      <c:layout>
        <c:manualLayout>
          <c:layoutTarget val="inner"/>
          <c:xMode val="edge"/>
          <c:yMode val="edge"/>
          <c:x val="0.313572140133946"/>
          <c:y val="0.251555677703948"/>
          <c:w val="0.410206978119456"/>
          <c:h val="0.620585998658018"/>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'[决算图表(1)(1).et]Sheet1'!$B$99:$B$102</c:f>
              <c:strCache>
                <c:ptCount val="4"/>
                <c:pt idx="0">
                  <c:v>基本支出</c:v>
                </c:pt>
                <c:pt idx="1">
                  <c:v>项目支出</c:v>
                </c:pt>
                <c:pt idx="2">
                  <c:v>经营支出</c:v>
                </c:pt>
                <c:pt idx="3">
                  <c:v>对附属单位补助支出</c:v>
                </c:pt>
              </c:strCache>
            </c:strRef>
          </c:cat>
          <c:val>
            <c:numRef>
              <c:f>'[决算图表(1)(1).et]Sheet1'!$C$99:$C$102</c:f>
              <c:numCache>
                <c:formatCode>#,##0.00</c:formatCode>
                <c:ptCount val="4"/>
                <c:pt idx="0">
                  <c:v>2314.57</c:v>
                </c:pt>
                <c:pt idx="1" c:formatCode="General">
                  <c:v>120.67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egendEntry>
        <c:idx val="3"/>
        <c:delete val="1"/>
      </c:legendEntry>
      <c:layout>
        <c:manualLayout>
          <c:xMode val="edge"/>
          <c:yMode val="edge"/>
          <c:x val="0.00425"/>
          <c:y val="0.90225"/>
          <c:w val="0.989533815665304"/>
          <c:h val="0.083623693379790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a:t>
            </a:r>
            <a:r>
              <a:rPr lang="en-US" altLang="zh-CN" sz="1400" b="0" i="0" u="none" strike="noStrike" baseline="0">
                <a:solidFill>
                  <a:srgbClr val="333333"/>
                </a:solidFill>
                <a:latin typeface="Calibri" panose="020F0502020204030204" pitchFamily="2" charset="0"/>
                <a:ea typeface="Calibri" panose="020F0502020204030204" pitchFamily="2" charset="0"/>
                <a:cs typeface="Calibri" panose="020F0502020204030204" pitchFamily="2" charset="0"/>
              </a:rPr>
              <a:t>:</a:t>
            </a:r>
            <a:r>
              <a:rPr altLang="en-US" sz="1400" b="0" i="0" u="none" strike="noStrike" baseline="0">
                <a:solidFill>
                  <a:srgbClr val="333333"/>
                </a:solidFill>
                <a:latin typeface="宋体" panose="02010600030101010101" charset="-122"/>
                <a:ea typeface="宋体" panose="02010600030101010101" charset="-122"/>
                <a:cs typeface="宋体" panose="02010600030101010101" charset="-122"/>
              </a:rPr>
              <a:t>万元</a:t>
            </a: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'[决算图表(1)(1).et]Sheet1'!$H$48</c:f>
              <c:strCache>
                <c:ptCount val="1"/>
                <c:pt idx="0">
                  <c:v>2023年</c:v>
                </c:pt>
              </c:strCache>
            </c:strRef>
          </c:tx>
          <c:spPr>
            <a:solidFill>
              <a:schemeClr val="accent1"/>
            </a:solidFill>
            <a:ln>
              <a:noFill/>
            </a:ln>
            <a:effectLst/>
          </c:spPr>
          <c:invertIfNegative val="0"/>
          <c:dLbls>
            <c:dLbl>
              <c:idx val="0"/>
              <c:layout>
                <c:manualLayout>
                  <c:x val="0.000940788803941549"/>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'[决算图表(1)(1).et]Sheet1'!$H$49:$H$50</c:f>
              <c:numCache>
                <c:formatCode>General</c:formatCode>
                <c:ptCount val="2"/>
                <c:pt idx="0">
                  <c:v>2576.97</c:v>
                </c:pt>
                <c:pt idx="1">
                  <c:v>2576.97</c:v>
                </c:pt>
              </c:numCache>
            </c:numRef>
          </c:val>
        </c:ser>
        <c:ser>
          <c:idx val="1"/>
          <c:order val="1"/>
          <c:tx>
            <c:strRef>
              <c:f>'[决算图表(1)(1).et]Sheet1'!$I$48</c:f>
              <c:strCache>
                <c:ptCount val="1"/>
                <c:pt idx="0">
                  <c:v>2024年</c:v>
                </c:pt>
              </c:strCache>
            </c:strRef>
          </c:tx>
          <c:spPr>
            <a:solidFill>
              <a:schemeClr val="accent2"/>
            </a:solidFill>
            <a:ln>
              <a:noFill/>
            </a:ln>
            <a:effectLst/>
          </c:spPr>
          <c:invertIfNegative val="0"/>
          <c:dLbls>
            <c:dLbl>
              <c:idx val="0"/>
              <c:layout>
                <c:manualLayout>
                  <c:x val="0.00692943902948743"/>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123379768445899"/>
                  <c:y val="0.0038058904430087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'[决算图表(1)(1).et]Sheet1'!$G$49:$G$50</c:f>
              <c:strCache>
                <c:ptCount val="2"/>
                <c:pt idx="0">
                  <c:v>收入</c:v>
                </c:pt>
                <c:pt idx="1">
                  <c:v>支出</c:v>
                </c:pt>
              </c:strCache>
            </c:strRef>
          </c:cat>
          <c:val>
            <c:numRef>
              <c:f>'[决算图表(1)(1).et]Sheet1'!$I$49:$I$50</c:f>
              <c:numCache>
                <c:formatCode>#,##0.00</c:formatCode>
                <c:ptCount val="2"/>
                <c:pt idx="0">
                  <c:v>2435.24</c:v>
                </c:pt>
                <c:pt idx="1">
                  <c:v>2435.24</c:v>
                </c:pt>
              </c:numCache>
            </c:numRef>
          </c:val>
        </c:ser>
        <c:dLbls>
          <c:showLegendKey val="0"/>
          <c:showVal val="0"/>
          <c:showCatName val="0"/>
          <c:showSerName val="0"/>
          <c:showPercent val="0"/>
          <c:showBubbleSize val="0"/>
        </c:dLbls>
        <c:gapWidth val="219"/>
        <c:overlap val="-27"/>
        <c:axId val="990902348"/>
        <c:axId val="65747365"/>
      </c:barChart>
      <c:catAx>
        <c:axId val="99090234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5747365"/>
        <c:crosses val="autoZero"/>
        <c:auto val="1"/>
        <c:lblAlgn val="ctr"/>
        <c:lblOffset val="100"/>
        <c:noMultiLvlLbl val="0"/>
      </c:catAx>
      <c:valAx>
        <c:axId val="65747365"/>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0902348"/>
        <c:crosses val="autoZero"/>
        <c:crossBetween val="between"/>
      </c:valAx>
      <c:spPr>
        <a:noFill/>
        <a:ln>
          <a:noFill/>
        </a:ln>
        <a:effectLst/>
      </c:spPr>
    </c:plotArea>
    <c:legend>
      <c:legendPos val="r"/>
      <c:layout>
        <c:manualLayout>
          <c:xMode val="edge"/>
          <c:yMode val="edge"/>
          <c:x val="0.74825"/>
          <c:y val="0.84275"/>
          <c:w val="0.187686623476605"/>
          <c:h val="0.14948256386496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4060876204597"/>
          <c:y val="0.0238112251046153"/>
        </c:manualLayout>
      </c:layout>
      <c:overlay val="0"/>
    </c:title>
    <c:autoTitleDeleted val="0"/>
    <c:plotArea>
      <c:layout/>
      <c:barChart>
        <c:barDir val="col"/>
        <c:grouping val="clustered"/>
        <c:varyColors val="0"/>
        <c:ser>
          <c:idx val="0"/>
          <c:order val="0"/>
          <c:tx>
            <c:strRef>
              <c:f>'[决算图表(1)(1).et]Sheet1'!$B$123</c:f>
              <c:strCache>
                <c:ptCount val="1"/>
                <c:pt idx="0">
                  <c:v>支出</c:v>
                </c:pt>
              </c:strCache>
            </c:strRef>
          </c:tx>
          <c:spPr>
            <a:solidFill>
              <a:schemeClr val="accent1"/>
            </a:solidFill>
            <a:ln>
              <a:noFill/>
            </a:ln>
            <a:effectLst/>
          </c:spPr>
          <c:invertIfNegative val="0"/>
          <c:dPt>
            <c:idx val="0"/>
            <c:invertIfNegative val="0"/>
            <c:bubble3D val="0"/>
            <c:explosion val="0"/>
            <c:spPr>
              <a:solidFill>
                <a:schemeClr val="accent1"/>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'[决算图表(1)(1).et]Sheet1'!$C$122:$D$122</c:f>
              <c:strCache>
                <c:ptCount val="2"/>
                <c:pt idx="0">
                  <c:v>2023年</c:v>
                </c:pt>
                <c:pt idx="1">
                  <c:v>2024年</c:v>
                </c:pt>
              </c:strCache>
            </c:strRef>
          </c:cat>
          <c:val>
            <c:numRef>
              <c:f>'[决算图表(1)(1).et]Sheet1'!$C$123:$D$123</c:f>
              <c:numCache>
                <c:formatCode>General</c:formatCode>
                <c:ptCount val="2"/>
                <c:pt idx="0">
                  <c:v>2576.97</c:v>
                </c:pt>
                <c:pt idx="1" c:formatCode="#,##0.00">
                  <c:v>2435.24</c:v>
                </c:pt>
              </c:numCache>
            </c:numRef>
          </c:val>
        </c:ser>
        <c:dLbls>
          <c:showLegendKey val="0"/>
          <c:showVal val="0"/>
          <c:showCatName val="0"/>
          <c:showSerName val="0"/>
          <c:showPercent val="0"/>
          <c:showBubbleSize val="0"/>
        </c:dLbls>
        <c:gapWidth val="219"/>
        <c:overlap val="-27"/>
        <c:axId val="360225822"/>
        <c:axId val="654206750"/>
      </c:barChart>
      <c:catAx>
        <c:axId val="360225822"/>
        <c:scaling>
          <c:orientation val="minMax"/>
        </c:scaling>
        <c:delete val="1"/>
        <c:axPos val="b"/>
        <c:title>
          <c:tx>
            <c:rich>
              <a:bodyPr rot="0" spcFirstLastPara="0" vertOverflow="ellipsis" vert="horz" wrap="square" anchor="ctr" anchorCtr="1"/>
              <a:lstStyle/>
              <a:p>
                <a:pPr defTabSz="914400">
                  <a:defRPr lang="zh-CN" sz="1000" b="1" i="0" u="none" strike="noStrike" kern="1200" baseline="0">
                    <a:solidFill>
                      <a:sysClr val="windowText" lastClr="000000"/>
                    </a:solidFill>
                    <a:latin typeface="+mn-lt"/>
                    <a:ea typeface="+mn-ea"/>
                    <a:cs typeface="+mn-cs"/>
                  </a:defRPr>
                </a:pP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2023</a:t>
                </a:r>
                <a:r>
                  <a:rPr altLang="en-US" sz="1000" b="0" i="0" u="none" strike="noStrike" baseline="0">
                    <a:solidFill>
                      <a:srgbClr val="000000"/>
                    </a:solidFill>
                    <a:uFillTx/>
                    <a:latin typeface="宋体" panose="02010600030101010101" charset="-122"/>
                    <a:ea typeface="宋体" panose="02010600030101010101" charset="-122"/>
                    <a:cs typeface="宋体" panose="02010600030101010101" charset="-122"/>
                  </a:rPr>
                  <a:t>年</a:t>
                </a:r>
                <a:r>
                  <a:rPr lang="en-US" altLang="zh-CN" sz="1000" b="0" i="0" u="none" strike="noStrike" baseline="0">
                    <a:solidFill>
                      <a:srgbClr val="000000"/>
                    </a:solidFill>
                    <a:uFillTx/>
                    <a:latin typeface="Calibri" panose="020F0502020204030204" pitchFamily="2" charset="0"/>
                    <a:ea typeface="Calibri" panose="020F0502020204030204" pitchFamily="2" charset="0"/>
                    <a:cs typeface="Calibri" panose="020F0502020204030204" pitchFamily="2" charset="0"/>
                  </a:rPr>
                  <a:t>                                                     2024</a:t>
                </a:r>
                <a:r>
                  <a:rPr altLang="en-US" sz="1000" b="0" i="0" u="none" strike="noStrike" baseline="0">
                    <a:solidFill>
                      <a:srgbClr val="000000"/>
                    </a:solidFill>
                    <a:latin typeface="宋体" panose="02010600030101010101" charset="-122"/>
                    <a:ea typeface="宋体" panose="02010600030101010101" charset="-122"/>
                    <a:cs typeface="宋体" panose="02010600030101010101" charset="-122"/>
                  </a:rPr>
                  <a:t>年</a:t>
                </a:r>
                <a:endParaRPr lang="en-US" altLang="en-US"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38152703140864"/>
              <c:y val="0.888913427561837"/>
            </c:manualLayout>
          </c:layout>
          <c:overlay val="0"/>
        </c:title>
        <c:majorTickMark val="none"/>
        <c:minorTickMark val="none"/>
        <c:tickLblPos val="nextTo"/>
        <c:txPr>
          <a:bodyPr rot="-60000000" spcFirstLastPara="0" vertOverflow="ellipsis" vert="horz" wrap="square" anchor="ctr" anchorCtr="1"/>
          <a:lstStyle/>
          <a:p>
            <a:pPr>
              <a:defRPr lang="zh-CN" sz="1000" b="0" i="0" u="none" strike="noStrike" kern="1200" baseline="0">
                <a:solidFill>
                  <a:srgbClr val="000000">
                    <a:alpha val="100000"/>
                  </a:srgbClr>
                </a:solidFill>
                <a:latin typeface="+mn-lt"/>
                <a:ea typeface="+mn-ea"/>
                <a:cs typeface="+mn-cs"/>
              </a:defRPr>
            </a:pPr>
          </a:p>
        </c:txPr>
        <c:crossAx val="654206750"/>
        <c:crosses val="autoZero"/>
        <c:auto val="1"/>
        <c:lblAlgn val="ctr"/>
        <c:lblOffset val="100"/>
        <c:noMultiLvlLbl val="0"/>
      </c:catAx>
      <c:valAx>
        <c:axId val="65420675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360225822"/>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231130114582533"/>
          <c:y val="0.244657884355228"/>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1,889.64, 7</a:t>
                    </a:r>
                    <a:r>
                      <a:rPr lang="en-US" altLang="zh-CN"/>
                      <a:t>7.6</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299058909370793"/>
                  <c:y val="0.033267466858127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279.58, 11</a:t>
                    </a:r>
                    <a:r>
                      <a:rPr lang="en-US" altLang="zh-CN"/>
                      <a:t>.5</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831117371070633"/>
                  <c:y val="0.0097547051397898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116.48, </a:t>
                    </a:r>
                    <a:r>
                      <a:rPr lang="en-US" altLang="zh-CN"/>
                      <a:t>4.8</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108079863304176"/>
                  <c:y val="-0.011213444366120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149.54, 6</a:t>
                    </a:r>
                    <a:r>
                      <a:rPr lang="en-US" altLang="zh-CN"/>
                      <a:t>.1</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1889.64</c:v>
                </c:pt>
                <c:pt idx="1" c:formatCode="General">
                  <c:v>279.58</c:v>
                </c:pt>
                <c:pt idx="2" c:formatCode="General">
                  <c:v>116.48</c:v>
                </c:pt>
                <c:pt idx="3" c:formatCode="General">
                  <c:v>149.54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234906631442"/>
          <c:h val="0.245539370598549"/>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77667439037846"/>
          <c:y val="0.00594439117929051"/>
        </c:manualLayout>
      </c:layout>
      <c:overlay val="0"/>
    </c:title>
    <c:autoTitleDeleted val="0"/>
    <c:plotArea>
      <c:layout>
        <c:manualLayout>
          <c:layoutTarget val="inner"/>
          <c:xMode val="edge"/>
          <c:yMode val="edge"/>
          <c:x val="0.251636661211129"/>
          <c:y val="0.208402171347652"/>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18.26</c:v>
                </c:pt>
                <c:pt idx="1">
                  <c:v>0.17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egendEntry>
        <c:idx val="2"/>
        <c:delete val="1"/>
      </c:legendEntry>
      <c:layout>
        <c:manualLayout>
          <c:xMode val="edge"/>
          <c:yMode val="edge"/>
          <c:x val="0.0786710674848709"/>
          <c:y val="0.895249130938586"/>
          <c:w val="0.864"/>
          <c:h val="0.0882538359711256"/>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4567</Words>
  <Characters>5015</Characters>
  <Lines>60</Lines>
  <Paragraphs>17</Paragraphs>
  <TotalTime>16</TotalTime>
  <ScaleCrop>false</ScaleCrop>
  <LinksUpToDate>false</LinksUpToDate>
  <CharactersWithSpaces>5189</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2025-09-18T07:51:11Z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8CD404E84ACD48929D1EC88F2D470DAD</vt:lpwstr>
  </property>
  <property fmtid="{D5CDD505-2E9C-101B-9397-08002B2CF9AE}" pid="4" name="KSOTemplateDocerSaveRecord">
    <vt:lpwstr>eyJoZGlkIjoiMjRiN2I0NWNjYzc2ZDE0Zjk3OWRhMWM5ZmFjNTgwM2QiLCJ1c2VySWQiOiI0MjU0NzI2MTgifQ==</vt:lpwstr>
  </property>
</Properties>
</file>