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93"/>
        <w:rPr>
          <w:rFonts w:ascii="Times New Roman" w:eastAsia="方正小标宋简体"/>
          <w:kern w:val="2"/>
          <w:sz w:val="72"/>
          <w:szCs w:val="72"/>
        </w:rPr>
      </w:pPr>
      <w:bookmarkStart w:id="0" w:name="_Toc15306267"/>
      <w:bookmarkStart w:id="1" w:name="_Toc15377193"/>
      <w:bookmarkStart w:id="2" w:name="_Toc15378441"/>
      <w:bookmarkStart w:id="3" w:name="_Toc15396597"/>
      <w:bookmarkStart w:id="4" w:name="_Toc15396475"/>
      <w:bookmarkStart w:id="5" w:name="_Toc15377425"/>
    </w:p>
    <w:p>
      <w:pPr>
        <w:pStyle w:val="2"/>
        <w:spacing w:before="93"/>
        <w:rPr>
          <w:rFonts w:ascii="Times New Roman" w:eastAsia="方正小标宋简体"/>
          <w:kern w:val="2"/>
          <w:sz w:val="72"/>
          <w:szCs w:val="72"/>
        </w:rPr>
      </w:pPr>
    </w:p>
    <w:p>
      <w:pPr>
        <w:pStyle w:val="2"/>
        <w:bidi w:val="0"/>
      </w:pPr>
    </w:p>
    <w:p>
      <w:pPr>
        <w:pStyle w:val="2"/>
        <w:spacing w:before="93"/>
        <w:jc w:val="center"/>
        <w:rPr>
          <w:rFonts w:hint="eastAsia"/>
          <w:lang w:val="en-US" w:eastAsia="zh-CN"/>
        </w:rPr>
      </w:pPr>
      <w:r>
        <w:rPr>
          <w:rFonts w:hint="eastAsia" w:ascii="方正小标宋简体" w:hAnsi="宋体" w:eastAsia="方正小标宋简体"/>
          <w:kern w:val="2"/>
          <w:sz w:val="44"/>
          <w:szCs w:val="44"/>
        </w:rPr>
        <w:t>2024年度阿坝藏族羌族自治州公路管理局小金公路管理分局</w:t>
      </w:r>
      <w:bookmarkStart w:id="91" w:name="_GoBack"/>
      <w:bookmarkEnd w:id="91"/>
      <w:r>
        <w:rPr>
          <w:rFonts w:hint="eastAsia" w:ascii="方正小标宋简体" w:hAnsi="宋体" w:eastAsia="方正小标宋简体"/>
          <w:kern w:val="2"/>
          <w:sz w:val="44"/>
          <w:szCs w:val="44"/>
        </w:rPr>
        <w:t>决算</w:t>
      </w:r>
      <w:r>
        <w:rPr>
          <w:rFonts w:hint="eastAsia" w:ascii="方正小标宋简体" w:hAnsi="宋体" w:eastAsia="方正小标宋简体"/>
          <w:kern w:val="2"/>
          <w:sz w:val="44"/>
          <w:szCs w:val="44"/>
          <w:lang w:val="en-US" w:eastAsia="zh-CN"/>
        </w:rPr>
        <w:t>公开</w:t>
      </w: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pPr>
    </w:p>
    <w:bookmarkEnd w:id="0"/>
    <w:bookmarkEnd w:id="1"/>
    <w:bookmarkEnd w:id="2"/>
    <w:bookmarkEnd w:id="3"/>
    <w:bookmarkEnd w:id="4"/>
    <w:bookmarkEnd w:id="5"/>
    <w:p>
      <w:pPr>
        <w:widowControl/>
        <w:jc w:val="center"/>
        <w:rPr>
          <w:rFonts w:eastAsia="黑体"/>
          <w:sz w:val="48"/>
          <w:szCs w:val="48"/>
        </w:rPr>
      </w:pPr>
      <w:r>
        <w:rPr>
          <w:rFonts w:hint="eastAsia" w:eastAsia="黑体"/>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7230"/>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_Toc27661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第一部分  单位概况</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_Toc27661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- 3 -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_Toc12558 </w:instrText>
          </w:r>
          <w:r>
            <w:rPr>
              <w:rFonts w:hint="eastAsia" w:ascii="黑体" w:hAnsi="黑体" w:eastAsia="黑体" w:cs="黑体"/>
              <w:bCs/>
              <w:sz w:val="28"/>
              <w:szCs w:val="28"/>
            </w:rPr>
            <w:fldChar w:fldCharType="separate"/>
          </w:r>
          <w:r>
            <w:rPr>
              <w:rFonts w:hint="eastAsia" w:ascii="黑体" w:hAnsi="黑体" w:eastAsia="黑体" w:cs="黑体"/>
              <w:sz w:val="28"/>
              <w:szCs w:val="28"/>
              <w:lang w:val="en-US" w:eastAsia="zh-CN"/>
            </w:rPr>
            <w:t>一、主要</w:t>
          </w:r>
          <w:r>
            <w:rPr>
              <w:rFonts w:hint="eastAsia" w:ascii="黑体" w:hAnsi="黑体" w:eastAsia="黑体" w:cs="黑体"/>
              <w:sz w:val="28"/>
              <w:szCs w:val="28"/>
            </w:rPr>
            <w:t>职责</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_Toc12558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_Toc3661 </w:instrText>
          </w:r>
          <w:r>
            <w:rPr>
              <w:rFonts w:hint="eastAsia" w:ascii="黑体" w:hAnsi="黑体" w:eastAsia="黑体" w:cs="黑体"/>
              <w:bCs/>
              <w:sz w:val="28"/>
              <w:szCs w:val="28"/>
            </w:rPr>
            <w:fldChar w:fldCharType="separate"/>
          </w:r>
          <w:r>
            <w:rPr>
              <w:rFonts w:hint="eastAsia" w:ascii="黑体" w:hAnsi="黑体" w:eastAsia="黑体" w:cs="黑体"/>
              <w:sz w:val="28"/>
              <w:szCs w:val="28"/>
            </w:rPr>
            <w:t>二、机</w:t>
          </w:r>
          <w:r>
            <w:rPr>
              <w:rFonts w:hint="eastAsia" w:ascii="黑体" w:hAnsi="黑体" w:eastAsia="黑体" w:cs="黑体"/>
              <w:bCs w:val="0"/>
              <w:sz w:val="28"/>
              <w:szCs w:val="28"/>
            </w:rPr>
            <w:t>构设置</w:t>
          </w:r>
          <w:r>
            <w:rPr>
              <w:rFonts w:hint="eastAsia" w:ascii="黑体" w:hAnsi="黑体" w:eastAsia="黑体" w:cs="黑体"/>
              <w:sz w:val="28"/>
              <w:szCs w:val="28"/>
            </w:rPr>
            <w:tab/>
          </w:r>
          <w:r>
            <w:rPr>
              <w:rFonts w:hint="eastAsia" w:ascii="黑体" w:hAnsi="黑体" w:eastAsia="黑体" w:cs="黑体"/>
              <w:sz w:val="28"/>
              <w:szCs w:val="28"/>
            </w:rPr>
            <w:fldChar w:fldCharType="begin"/>
          </w:r>
          <w:r>
            <w:rPr>
              <w:rFonts w:hint="eastAsia" w:ascii="黑体" w:hAnsi="黑体" w:eastAsia="黑体" w:cs="黑体"/>
              <w:sz w:val="28"/>
              <w:szCs w:val="28"/>
            </w:rPr>
            <w:instrText xml:space="preserve"> PAGEREF _Toc3661 \h </w:instrText>
          </w:r>
          <w:r>
            <w:rPr>
              <w:rFonts w:hint="eastAsia" w:ascii="黑体" w:hAnsi="黑体" w:eastAsia="黑体" w:cs="黑体"/>
              <w:sz w:val="28"/>
              <w:szCs w:val="28"/>
            </w:rPr>
            <w:fldChar w:fldCharType="separate"/>
          </w:r>
          <w:r>
            <w:rPr>
              <w:rFonts w:hint="eastAsia" w:ascii="黑体" w:hAnsi="黑体" w:eastAsia="黑体" w:cs="黑体"/>
              <w:sz w:val="28"/>
              <w:szCs w:val="28"/>
            </w:rPr>
            <w:t>- 3 -</w:t>
          </w:r>
          <w:r>
            <w:rPr>
              <w:rFonts w:hint="eastAsia" w:ascii="黑体" w:hAnsi="黑体" w:eastAsia="黑体" w:cs="黑体"/>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_Toc5056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第二部分  2024年度单位决算情况说明</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_Toc5056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_Toc1539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_Toc1539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_Toc22737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_Toc22737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- 4 -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_Toc3923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_Toc3923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- 5 -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_Toc7165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四、财政拨款收入支出决算总体情况说明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_Toc7165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_Toc28319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五、一般公共预算财政拨款支出决算情况说明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_Toc28319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- 6 -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_Toc12622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六、一般公共预算财政拨款基本支出决算情况说明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_Toc12622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- 9 -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_Toc3121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七、财政拨款“三公”经费支出决算情况说明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_Toc3121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_Toc23203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八、政府性基金预算支出决算情况说明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_Toc23203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_Toc14890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九、国有资本经营预算支出决算情况说明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_Toc14890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_Toc17012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十、其他重要事项的情况说明</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_Toc17012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- 12 -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_Toc24234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第三部分  名词解释</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_Toc24234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- 14 -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Times New Roman" w:hAnsi="Times New Roman" w:eastAsia="方正小标宋简体" w:cs="方正小标宋简体"/>
              <w:b w:val="0"/>
              <w:bCs/>
              <w:kern w:val="44"/>
              <w:sz w:val="28"/>
              <w:szCs w:val="28"/>
              <w:lang w:val="en-US" w:eastAsia="zh-CN" w:bidi="ar-SA"/>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_Toc11707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第四部分  附件</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_Toc11707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- 16 -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2"/>
            <w:tabs>
              <w:tab w:val="right" w:leader="dot" w:pos="8306"/>
              <w:tab w:val="clear" w:pos="8296"/>
            </w:tabs>
            <w:rPr>
              <w:rFonts w:hint="eastAsia" w:ascii="黑体" w:hAnsi="黑体" w:eastAsia="黑体" w:cs="黑体"/>
              <w:bCs/>
              <w:szCs w:val="32"/>
            </w:rPr>
          </w:pP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HYPERLINK \l _Toc27363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第五部分 附表</w:t>
          </w:r>
          <w:r>
            <w:rPr>
              <w:rFonts w:hint="eastAsia" w:ascii="Times New Roman" w:hAnsi="Times New Roman" w:eastAsia="方正小标宋简体" w:cs="方正小标宋简体"/>
              <w:b w:val="0"/>
              <w:bCs/>
              <w:kern w:val="44"/>
              <w:sz w:val="28"/>
              <w:szCs w:val="28"/>
              <w:lang w:val="en-US" w:eastAsia="zh-CN" w:bidi="ar-SA"/>
            </w:rPr>
            <w:tab/>
          </w:r>
          <w:r>
            <w:rPr>
              <w:rFonts w:hint="eastAsia" w:ascii="Times New Roman" w:hAnsi="Times New Roman" w:eastAsia="方正小标宋简体" w:cs="方正小标宋简体"/>
              <w:b w:val="0"/>
              <w:bCs/>
              <w:kern w:val="44"/>
              <w:sz w:val="28"/>
              <w:szCs w:val="28"/>
              <w:lang w:val="en-US" w:eastAsia="zh-CN" w:bidi="ar-SA"/>
            </w:rPr>
            <w:fldChar w:fldCharType="begin"/>
          </w:r>
          <w:r>
            <w:rPr>
              <w:rFonts w:hint="eastAsia" w:ascii="Times New Roman" w:hAnsi="Times New Roman" w:eastAsia="方正小标宋简体" w:cs="方正小标宋简体"/>
              <w:b w:val="0"/>
              <w:bCs/>
              <w:kern w:val="44"/>
              <w:sz w:val="28"/>
              <w:szCs w:val="28"/>
              <w:lang w:val="en-US" w:eastAsia="zh-CN" w:bidi="ar-SA"/>
            </w:rPr>
            <w:instrText xml:space="preserve"> PAGEREF _Toc27363 \h </w:instrText>
          </w:r>
          <w:r>
            <w:rPr>
              <w:rFonts w:hint="eastAsia" w:ascii="Times New Roman" w:hAnsi="Times New Roman" w:eastAsia="方正小标宋简体" w:cs="方正小标宋简体"/>
              <w:b w:val="0"/>
              <w:bCs/>
              <w:kern w:val="44"/>
              <w:sz w:val="28"/>
              <w:szCs w:val="28"/>
              <w:lang w:val="en-US" w:eastAsia="zh-CN" w:bidi="ar-SA"/>
            </w:rPr>
            <w:fldChar w:fldCharType="separate"/>
          </w:r>
          <w:r>
            <w:rPr>
              <w:rFonts w:hint="eastAsia" w:ascii="Times New Roman" w:hAnsi="Times New Roman" w:eastAsia="方正小标宋简体" w:cs="方正小标宋简体"/>
              <w:b w:val="0"/>
              <w:bCs/>
              <w:kern w:val="44"/>
              <w:sz w:val="28"/>
              <w:szCs w:val="28"/>
              <w:lang w:val="en-US" w:eastAsia="zh-CN" w:bidi="ar-SA"/>
            </w:rPr>
            <w:t>- 20 -</w:t>
          </w:r>
          <w:r>
            <w:rPr>
              <w:rFonts w:hint="eastAsia" w:ascii="Times New Roman" w:hAnsi="Times New Roman" w:eastAsia="方正小标宋简体" w:cs="方正小标宋简体"/>
              <w:b w:val="0"/>
              <w:bCs/>
              <w:kern w:val="44"/>
              <w:sz w:val="28"/>
              <w:szCs w:val="28"/>
              <w:lang w:val="en-US" w:eastAsia="zh-CN" w:bidi="ar-SA"/>
            </w:rPr>
            <w:fldChar w:fldCharType="end"/>
          </w:r>
          <w:r>
            <w:rPr>
              <w:rFonts w:hint="eastAsia" w:ascii="Times New Roman" w:hAnsi="Times New Roman" w:eastAsia="方正小标宋简体" w:cs="方正小标宋简体"/>
              <w:b w:val="0"/>
              <w:bCs/>
              <w:kern w:val="44"/>
              <w:sz w:val="28"/>
              <w:szCs w:val="28"/>
              <w:lang w:val="en-US" w:eastAsia="zh-CN" w:bidi="ar-SA"/>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_Toc14128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一、收入支出决算总表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_Toc14128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_Toc9008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二、收入决算表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_Toc9008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_Toc4521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三、支出决算表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_Toc4521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_Toc32579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四、财政拨款收入支出决算总表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_Toc32579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_Toc23065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五、财政拨款支出决算明细表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_Toc23065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_Toc12952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六、一般公共预算财政拨款支出决算表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_Toc12952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_Toc12867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七、一般公共预算财政拨款支出决算明细表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_Toc12867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_Toc2880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八、一般公共预算财政拨款基本支出决算表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_Toc2880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_Toc24062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九、一般公共预算财政拨款项目支出决算表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_Toc24062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_Toc23439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十、政府性基金预算财政拨款收入支出决算表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_Toc23439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_Toc5291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十一、国有资本经营预算财政拨款收入支出决算表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_Toc5291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黑体" w:hAnsi="黑体" w:eastAsia="黑体" w:cs="黑体"/>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_Toc23131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十二、国有资本经营预算财政拨款支出决算表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_Toc23131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tabs>
              <w:tab w:val="right" w:leader="dot" w:pos="8306"/>
              <w:tab w:val="clear" w:pos="8296"/>
            </w:tabs>
            <w:rPr>
              <w:rFonts w:hint="eastAsia" w:ascii="仿宋" w:hAnsi="仿宋" w:eastAsia="仿宋" w:cs="仿宋"/>
              <w:bCs/>
              <w:sz w:val="28"/>
              <w:szCs w:val="28"/>
            </w:rPr>
          </w:pP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HYPERLINK \l _Toc25328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十三、财政拨款“三公”经费支出决算表</w:t>
          </w:r>
          <w:r>
            <w:rPr>
              <w:rFonts w:hint="eastAsia" w:ascii="黑体" w:hAnsi="黑体" w:eastAsia="黑体" w:cs="黑体"/>
              <w:bCs/>
              <w:sz w:val="28"/>
              <w:szCs w:val="28"/>
            </w:rPr>
            <w:tab/>
          </w:r>
          <w:r>
            <w:rPr>
              <w:rFonts w:hint="eastAsia" w:ascii="黑体" w:hAnsi="黑体" w:eastAsia="黑体" w:cs="黑体"/>
              <w:bCs/>
              <w:sz w:val="28"/>
              <w:szCs w:val="28"/>
            </w:rPr>
            <w:fldChar w:fldCharType="begin"/>
          </w:r>
          <w:r>
            <w:rPr>
              <w:rFonts w:hint="eastAsia" w:ascii="黑体" w:hAnsi="黑体" w:eastAsia="黑体" w:cs="黑体"/>
              <w:bCs/>
              <w:sz w:val="28"/>
              <w:szCs w:val="28"/>
            </w:rPr>
            <w:instrText xml:space="preserve"> PAGEREF _Toc25328 \h </w:instrText>
          </w:r>
          <w:r>
            <w:rPr>
              <w:rFonts w:hint="eastAsia" w:ascii="黑体" w:hAnsi="黑体" w:eastAsia="黑体" w:cs="黑体"/>
              <w:bCs/>
              <w:sz w:val="28"/>
              <w:szCs w:val="28"/>
            </w:rPr>
            <w:fldChar w:fldCharType="separate"/>
          </w:r>
          <w:r>
            <w:rPr>
              <w:rFonts w:hint="eastAsia" w:ascii="黑体" w:hAnsi="黑体" w:eastAsia="黑体" w:cs="黑体"/>
              <w:bCs/>
              <w:sz w:val="28"/>
              <w:szCs w:val="28"/>
            </w:rPr>
            <w:t>- 20 -</w:t>
          </w:r>
          <w:r>
            <w:rPr>
              <w:rFonts w:hint="eastAsia" w:ascii="黑体" w:hAnsi="黑体" w:eastAsia="黑体" w:cs="黑体"/>
              <w:bCs/>
              <w:sz w:val="28"/>
              <w:szCs w:val="28"/>
            </w:rPr>
            <w:fldChar w:fldCharType="end"/>
          </w:r>
          <w:r>
            <w:rPr>
              <w:rFonts w:hint="eastAsia" w:ascii="黑体" w:hAnsi="黑体" w:eastAsia="黑体" w:cs="黑体"/>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96599"/>
      <w:bookmarkStart w:id="7" w:name="_Toc15377196"/>
      <w:r>
        <w:rPr>
          <w:rFonts w:hint="eastAsia" w:eastAsia="仿宋_GB2312" w:cs="仿宋_GB2312"/>
          <w:b/>
          <w:sz w:val="32"/>
          <w:szCs w:val="32"/>
        </w:rPr>
        <w:br w:type="page"/>
      </w:r>
    </w:p>
    <w:p>
      <w:pPr>
        <w:pStyle w:val="3"/>
        <w:jc w:val="center"/>
        <w:rPr>
          <w:rFonts w:hint="eastAsia" w:eastAsia="方正小标宋简体" w:cs="方正小标宋简体"/>
          <w:b w:val="0"/>
        </w:rPr>
      </w:pPr>
      <w:bookmarkStart w:id="8" w:name="_Toc27661"/>
      <w:r>
        <w:rPr>
          <w:rFonts w:hint="eastAsia" w:eastAsia="方正小标宋简体" w:cs="方正小标宋简体"/>
          <w:b w:val="0"/>
        </w:rPr>
        <w:t xml:space="preserve">第一部分  </w:t>
      </w:r>
      <w:r>
        <w:rPr>
          <w:rFonts w:hint="eastAsia" w:eastAsia="方正小标宋简体" w:cs="方正小标宋简体"/>
          <w:b w:val="0"/>
          <w:lang w:val="en-US" w:eastAsia="zh-CN"/>
        </w:rPr>
        <w:t>单位</w:t>
      </w:r>
      <w:r>
        <w:rPr>
          <w:rFonts w:hint="eastAsia" w:eastAsia="方正小标宋简体" w:cs="方正小标宋简体"/>
          <w:b w:val="0"/>
        </w:rPr>
        <w:t>概况</w:t>
      </w:r>
      <w:bookmarkEnd w:id="6"/>
      <w:bookmarkEnd w:id="7"/>
      <w:bookmarkEnd w:id="8"/>
    </w:p>
    <w:p>
      <w:pPr>
        <w:widowControl/>
        <w:jc w:val="left"/>
        <w:rPr>
          <w:rFonts w:eastAsia="黑体"/>
          <w:sz w:val="32"/>
          <w:szCs w:val="32"/>
        </w:rPr>
      </w:pPr>
    </w:p>
    <w:p>
      <w:pPr>
        <w:pStyle w:val="4"/>
        <w:rPr>
          <w:rFonts w:hint="eastAsia" w:ascii="Times New Roman" w:hAnsi="Times New Roman" w:eastAsia="黑体"/>
          <w:b w:val="0"/>
        </w:rPr>
      </w:pPr>
      <w:bookmarkStart w:id="9" w:name="_Toc12558"/>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 w:eastAsia="仿宋_GB2312"/>
          <w:sz w:val="32"/>
          <w:szCs w:val="32"/>
          <w:highlight w:val="none"/>
          <w:lang w:val="en-US" w:eastAsia="zh-CN"/>
        </w:rPr>
        <w:t>主要职能“贯彻执行国家公路管理法律法规，负责下辖的公路建设、管理和维护，确保公路的完好和畅通”；资金来源为阿坝州财政局拨款，执行《政府会计制度》。</w:t>
      </w:r>
    </w:p>
    <w:p>
      <w:pPr>
        <w:pStyle w:val="4"/>
        <w:rPr>
          <w:rStyle w:val="29"/>
          <w:rFonts w:ascii="Times New Roman" w:hAnsi="Times New Roman"/>
          <w:b w:val="0"/>
          <w:bCs w:val="0"/>
        </w:rPr>
      </w:pPr>
      <w:bookmarkStart w:id="10" w:name="_Toc15377200"/>
      <w:bookmarkStart w:id="11" w:name="_Toc3661"/>
      <w:bookmarkStart w:id="12" w:name="_Toc15396601"/>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snapToGrid w:val="0"/>
        <w:spacing w:line="520" w:lineRule="exact"/>
        <w:ind w:firstLine="640" w:firstLineChars="200"/>
        <w:rPr>
          <w:rFonts w:hint="default" w:ascii="仿宋_GB2312" w:hAnsi="仿宋" w:eastAsia="仿宋_GB2312"/>
          <w:sz w:val="32"/>
          <w:szCs w:val="32"/>
          <w:highlight w:val="none"/>
          <w:lang w:val="en-US" w:eastAsia="zh-CN"/>
        </w:rPr>
      </w:pPr>
      <w:r>
        <w:rPr>
          <w:rFonts w:hint="eastAsia" w:ascii="仿宋_GB2312" w:hAnsi="仿宋" w:eastAsia="仿宋_GB2312"/>
          <w:sz w:val="32"/>
          <w:szCs w:val="32"/>
          <w:highlight w:val="none"/>
          <w:lang w:val="en-US" w:eastAsia="zh-CN"/>
        </w:rPr>
        <w:t>阿坝藏族羌族自治州公路管理局小金公路管理分局，因“管理体制改革”，于1993年11月由原“阿坝藏族羌族自治州公路养护总段小金养路段”更名为“小金分局”，隶属于阿坝藏族羌族自治州公路局；内设党支部办公室、行政办公室、工程股、财务股、机料股、人事股、安全股，以及下辖日尔等6个公路养护站。</w:t>
      </w:r>
    </w:p>
    <w:p>
      <w:pPr>
        <w:pStyle w:val="2"/>
        <w:adjustRightInd w:val="0"/>
        <w:snapToGrid w:val="0"/>
        <w:spacing w:before="93" w:line="600" w:lineRule="exact"/>
        <w:ind w:firstLine="640" w:firstLineChars="200"/>
        <w:rPr>
          <w:rFonts w:ascii="Times New Roman" w:cs="仿宋_GB2312"/>
          <w:sz w:val="32"/>
          <w:szCs w:val="32"/>
        </w:rPr>
      </w:pPr>
    </w:p>
    <w:p>
      <w:pPr>
        <w:widowControl/>
        <w:jc w:val="left"/>
        <w:rPr>
          <w:rFonts w:eastAsia="仿宋"/>
          <w:kern w:val="0"/>
          <w:sz w:val="32"/>
          <w:szCs w:val="32"/>
        </w:rPr>
      </w:pPr>
      <w:r>
        <w:rPr>
          <w:rFonts w:eastAsia="仿宋"/>
          <w:sz w:val="32"/>
          <w:szCs w:val="32"/>
        </w:rPr>
        <w:br w:type="page"/>
      </w:r>
    </w:p>
    <w:p>
      <w:pPr>
        <w:pStyle w:val="3"/>
        <w:jc w:val="center"/>
        <w:rPr>
          <w:rFonts w:hint="eastAsia" w:ascii="黑体" w:hAnsi="黑体" w:eastAsia="黑体" w:cs="黑体"/>
          <w:b w:val="0"/>
        </w:rPr>
      </w:pPr>
      <w:bookmarkStart w:id="13" w:name="_Toc15396602"/>
      <w:bookmarkStart w:id="14" w:name="_Toc5056"/>
      <w:bookmarkStart w:id="15" w:name="_Toc15377204"/>
      <w:r>
        <w:rPr>
          <w:rFonts w:hint="eastAsia" w:eastAsia="方正小标宋简体" w:cs="方正小标宋简体"/>
          <w:b w:val="0"/>
        </w:rPr>
        <w:t xml:space="preserve">第二部分  </w:t>
      </w:r>
      <w:r>
        <w:rPr>
          <w:rFonts w:hint="eastAsia" w:eastAsia="方正小标宋简体" w:cs="方正小标宋简体"/>
          <w:b w:val="0"/>
          <w:lang w:val="en-US" w:eastAsia="zh-CN"/>
        </w:rPr>
        <w:t>2024</w:t>
      </w:r>
      <w:r>
        <w:rPr>
          <w:rFonts w:hint="eastAsia" w:eastAsia="方正小标宋简体" w:cs="方正小标宋简体"/>
          <w:b w:val="0"/>
        </w:rPr>
        <w:t>年度</w:t>
      </w:r>
      <w:r>
        <w:rPr>
          <w:rFonts w:hint="eastAsia" w:eastAsia="方正小标宋简体" w:cs="方正小标宋简体"/>
          <w:b w:val="0"/>
          <w:lang w:val="en-US" w:eastAsia="zh-CN"/>
        </w:rPr>
        <w:t>单位</w:t>
      </w:r>
      <w:r>
        <w:rPr>
          <w:rFonts w:hint="eastAsia" w:eastAsia="方正小标宋简体" w:cs="方正小标宋简体"/>
          <w:b w:val="0"/>
        </w:rPr>
        <w:t>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15377205"/>
      <w:bookmarkStart w:id="17" w:name="_Toc15396603"/>
      <w:bookmarkStart w:id="18" w:name="_Toc1539"/>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cs="仿宋_GB2312"/>
          <w:kern w:val="2"/>
          <w:sz w:val="32"/>
          <w:szCs w:val="32"/>
          <w:lang w:val="en-US" w:eastAsia="zh-CN" w:bidi="ar-SA"/>
        </w:rPr>
        <w:t>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796.57</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年度相比，收入、支出总计各减少</w:t>
      </w:r>
      <w:r>
        <w:rPr>
          <w:rFonts w:hint="eastAsia" w:ascii="Times New Roman" w:cs="仿宋_GB2312"/>
          <w:kern w:val="2"/>
          <w:sz w:val="32"/>
          <w:szCs w:val="32"/>
          <w:lang w:val="en-US" w:eastAsia="zh-CN" w:bidi="ar-SA"/>
        </w:rPr>
        <w:t>86.34</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2.2</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w:t>
      </w:r>
      <w:r>
        <w:rPr>
          <w:rFonts w:hint="eastAsia" w:hAnsi="仿宋_GB2312" w:cs="仿宋_GB2312"/>
          <w:sz w:val="32"/>
          <w:szCs w:val="32"/>
          <w:lang w:val="en-US" w:eastAsia="zh-CN"/>
        </w:rPr>
        <w:t>人员减少，经费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pStyle w:val="7"/>
        <w:jc w:val="center"/>
        <w:rPr>
          <w:rFonts w:hint="eastAsia" w:eastAsia="仿宋_GB2312" w:cs="仿宋_GB2312"/>
          <w:sz w:val="32"/>
          <w:szCs w:val="32"/>
        </w:rPr>
      </w:pPr>
      <w:r>
        <w:drawing>
          <wp:anchor distT="0" distB="0" distL="114300" distR="114300" simplePos="0" relativeHeight="251663360" behindDoc="1" locked="0" layoutInCell="1" allowOverlap="1">
            <wp:simplePos x="0" y="0"/>
            <wp:positionH relativeFrom="column">
              <wp:posOffset>636905</wp:posOffset>
            </wp:positionH>
            <wp:positionV relativeFrom="paragraph">
              <wp:posOffset>88900</wp:posOffset>
            </wp:positionV>
            <wp:extent cx="4152900" cy="2774950"/>
            <wp:effectExtent l="0" t="0" r="0" b="0"/>
            <wp:wrapTight wrapText="bothSides">
              <wp:wrapPolygon>
                <wp:start x="0" y="0"/>
                <wp:lineTo x="0" y="21501"/>
                <wp:lineTo x="21501" y="21501"/>
                <wp:lineTo x="21501" y="0"/>
                <wp:lineTo x="0" y="0"/>
              </wp:wrapPolygon>
            </wp:wrapTight>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152900" cy="2774950"/>
                    </a:xfrm>
                    <a:prstGeom prst="rect">
                      <a:avLst/>
                    </a:prstGeom>
                    <a:noFill/>
                    <a:ln>
                      <a:noFill/>
                    </a:ln>
                  </pic:spPr>
                </pic:pic>
              </a:graphicData>
            </a:graphic>
          </wp:anchor>
        </w:drawing>
      </w:r>
    </w:p>
    <w:p>
      <w:pPr>
        <w:ind w:firstLine="640" w:firstLineChars="200"/>
        <w:jc w:val="cente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9" w:name="_Toc15396604"/>
      <w:bookmarkStart w:id="20" w:name="_Toc15377206"/>
      <w:bookmarkStart w:id="21" w:name="_Toc22737"/>
      <w:r>
        <w:rPr>
          <w:rFonts w:hint="eastAsia" w:eastAsia="黑体"/>
          <w:sz w:val="32"/>
          <w:szCs w:val="32"/>
        </w:rPr>
        <w:t>二、收入决算情况说明</w:t>
      </w:r>
      <w:bookmarkEnd w:id="19"/>
      <w:bookmarkEnd w:id="20"/>
      <w:bookmarkEnd w:id="21"/>
    </w:p>
    <w:p>
      <w:pPr>
        <w:pStyle w:val="2"/>
        <w:adjustRightInd w:val="0"/>
        <w:snapToGrid w:val="0"/>
        <w:spacing w:before="93"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年度本年收入合计</w:t>
      </w:r>
      <w:r>
        <w:rPr>
          <w:rFonts w:hint="eastAsia" w:ascii="Times New Roman" w:cs="仿宋_GB2312"/>
          <w:kern w:val="2"/>
          <w:sz w:val="32"/>
          <w:szCs w:val="32"/>
          <w:lang w:val="en-US" w:eastAsia="zh-CN" w:bidi="ar-SA"/>
        </w:rPr>
        <w:t>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796.57</w:t>
      </w:r>
      <w:r>
        <w:rPr>
          <w:rFonts w:hint="eastAsia" w:ascii="仿宋_GB2312" w:hAnsi="仿宋_GB2312" w:eastAsia="仿宋_GB2312" w:cs="仿宋_GB2312"/>
          <w:sz w:val="32"/>
          <w:szCs w:val="32"/>
        </w:rPr>
        <w:t>万元，其中：一般公共预算财政拨款收入</w:t>
      </w:r>
      <w:r>
        <w:rPr>
          <w:rFonts w:hint="eastAsia" w:ascii="Times New Roman" w:cs="仿宋_GB2312"/>
          <w:kern w:val="2"/>
          <w:sz w:val="32"/>
          <w:szCs w:val="32"/>
          <w:lang w:val="en-US" w:eastAsia="zh-CN" w:bidi="ar-SA"/>
        </w:rPr>
        <w:t>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796.57</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lang w:eastAsia="zh-CN"/>
        </w:rPr>
        <w:t>。</w:t>
      </w:r>
    </w:p>
    <w:p>
      <w:pPr>
        <w:ind w:firstLine="525" w:firstLineChars="250"/>
        <w:rPr>
          <w:rFonts w:hint="eastAsia" w:eastAsia="仿宋_GB2312" w:cs="仿宋_GB2312"/>
          <w:sz w:val="32"/>
          <w:szCs w:val="32"/>
        </w:rPr>
      </w:pPr>
      <w:r>
        <w:drawing>
          <wp:anchor distT="0" distB="0" distL="114300" distR="114300" simplePos="0" relativeHeight="251664384" behindDoc="1" locked="0" layoutInCell="1" allowOverlap="1">
            <wp:simplePos x="0" y="0"/>
            <wp:positionH relativeFrom="column">
              <wp:posOffset>545465</wp:posOffset>
            </wp:positionH>
            <wp:positionV relativeFrom="page">
              <wp:posOffset>961390</wp:posOffset>
            </wp:positionV>
            <wp:extent cx="4195445" cy="3063875"/>
            <wp:effectExtent l="0" t="0" r="14605" b="3175"/>
            <wp:wrapTight wrapText="bothSides">
              <wp:wrapPolygon>
                <wp:start x="0" y="0"/>
                <wp:lineTo x="0" y="21488"/>
                <wp:lineTo x="21479" y="21488"/>
                <wp:lineTo x="21479" y="0"/>
                <wp:lineTo x="0" y="0"/>
              </wp:wrapPolygon>
            </wp:wrapTight>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4195445" cy="3063875"/>
                    </a:xfrm>
                    <a:prstGeom prst="rect">
                      <a:avLst/>
                    </a:prstGeom>
                    <a:noFill/>
                    <a:ln>
                      <a:noFill/>
                    </a:ln>
                  </pic:spPr>
                </pic:pic>
              </a:graphicData>
            </a:graphic>
          </wp:anchor>
        </w:drawing>
      </w:r>
    </w:p>
    <w:p>
      <w:pPr>
        <w:pStyle w:val="7"/>
        <w:ind w:left="0" w:leftChars="0" w:firstLine="0" w:firstLineChars="0"/>
        <w:rPr>
          <w:rFonts w:hint="eastAsia" w:eastAsia="仿宋_GB2312" w:cs="仿宋_GB2312"/>
          <w:sz w:val="32"/>
          <w:szCs w:val="32"/>
        </w:rPr>
      </w:pPr>
    </w:p>
    <w:p>
      <w:pPr>
        <w:pStyle w:val="7"/>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ind w:firstLine="800" w:firstLineChars="250"/>
        <w:jc w:val="center"/>
        <w:rPr>
          <w:rFonts w:hint="eastAsia" w:eastAsia="仿宋_GB2312" w:cs="仿宋_GB2312"/>
          <w:sz w:val="32"/>
          <w:szCs w:val="32"/>
        </w:rPr>
      </w:pPr>
    </w:p>
    <w:p>
      <w:pPr>
        <w:jc w:val="both"/>
        <w:rPr>
          <w:rFonts w:hint="eastAsia" w:eastAsia="仿宋_GB2312" w:cs="仿宋_GB2312"/>
          <w:sz w:val="32"/>
          <w:szCs w:val="32"/>
        </w:rPr>
      </w:pPr>
    </w:p>
    <w:p>
      <w:pPr>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2" w:name="_Toc15396605"/>
      <w:bookmarkStart w:id="23" w:name="_Toc3923"/>
      <w:bookmarkStart w:id="24" w:name="_Toc15377207"/>
      <w:r>
        <w:rPr>
          <w:rFonts w:hint="eastAsia" w:eastAsia="黑体"/>
          <w:sz w:val="32"/>
          <w:szCs w:val="32"/>
        </w:rPr>
        <w:t>三、支</w:t>
      </w:r>
      <w:r>
        <w:rPr>
          <w:rStyle w:val="29"/>
          <w:rFonts w:hint="eastAsia" w:ascii="Times New Roman" w:hAnsi="Times New Roman" w:eastAsia="黑体"/>
          <w:b w:val="0"/>
        </w:rPr>
        <w:t>出决算情况说明</w:t>
      </w:r>
      <w:bookmarkEnd w:id="22"/>
      <w:bookmarkEnd w:id="23"/>
      <w:bookmarkEnd w:id="24"/>
    </w:p>
    <w:p>
      <w:pPr>
        <w:pStyle w:val="2"/>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年度本年支出合计</w:t>
      </w:r>
      <w:r>
        <w:rPr>
          <w:rFonts w:hint="eastAsia" w:ascii="Times New Roman" w:cs="仿宋_GB2312"/>
          <w:kern w:val="2"/>
          <w:sz w:val="32"/>
          <w:szCs w:val="32"/>
          <w:lang w:val="en-US" w:eastAsia="zh-CN" w:bidi="ar-SA"/>
        </w:rPr>
        <w:t>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796.57</w:t>
      </w:r>
      <w:r>
        <w:rPr>
          <w:rFonts w:hint="eastAsia" w:ascii="仿宋_GB2312" w:hAnsi="仿宋_GB2312" w:eastAsia="仿宋_GB2312" w:cs="仿宋_GB2312"/>
          <w:sz w:val="32"/>
          <w:szCs w:val="32"/>
        </w:rPr>
        <w:t>万元，其中：基本支出</w:t>
      </w:r>
      <w:r>
        <w:rPr>
          <w:rFonts w:hint="eastAsia" w:ascii="Times New Roman" w:cs="仿宋_GB2312"/>
          <w:kern w:val="2"/>
          <w:sz w:val="32"/>
          <w:szCs w:val="32"/>
          <w:lang w:val="en-US" w:eastAsia="zh-CN" w:bidi="ar-SA"/>
        </w:rPr>
        <w:t>3,217.9</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84.8</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；项目支出</w:t>
      </w:r>
      <w:r>
        <w:rPr>
          <w:rFonts w:hint="eastAsia" w:ascii="Times New Roman" w:cs="仿宋_GB2312"/>
          <w:kern w:val="2"/>
          <w:sz w:val="32"/>
          <w:szCs w:val="32"/>
          <w:lang w:val="en-US" w:eastAsia="zh-CN" w:bidi="ar-SA"/>
        </w:rPr>
        <w:t>578.67</w:t>
      </w:r>
      <w:r>
        <w:rPr>
          <w:rFonts w:hint="eastAsia" w:ascii="仿宋_GB2312" w:hAnsi="仿宋_GB2312" w:eastAsia="仿宋_GB2312" w:cs="仿宋_GB2312"/>
          <w:sz w:val="32"/>
          <w:szCs w:val="32"/>
        </w:rPr>
        <w:t>万元，占</w:t>
      </w:r>
      <w:r>
        <w:rPr>
          <w:rFonts w:hint="eastAsia" w:ascii="Times New Roman" w:cs="仿宋_GB2312"/>
          <w:kern w:val="2"/>
          <w:sz w:val="32"/>
          <w:szCs w:val="32"/>
          <w:lang w:val="en-US" w:eastAsia="zh-CN" w:bidi="ar-SA"/>
        </w:rPr>
        <w:t>15.2</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w:t>
      </w:r>
    </w:p>
    <w:p>
      <w:pPr>
        <w:pStyle w:val="7"/>
        <w:rPr>
          <w:rFonts w:hint="eastAsia" w:eastAsia="仿宋_GB2312" w:cs="仿宋_GB2312"/>
          <w:sz w:val="32"/>
          <w:szCs w:val="32"/>
        </w:rPr>
      </w:pPr>
      <w:r>
        <w:drawing>
          <wp:anchor distT="0" distB="0" distL="114300" distR="114300" simplePos="0" relativeHeight="251665408" behindDoc="1" locked="0" layoutInCell="1" allowOverlap="1">
            <wp:simplePos x="0" y="0"/>
            <wp:positionH relativeFrom="column">
              <wp:posOffset>473075</wp:posOffset>
            </wp:positionH>
            <wp:positionV relativeFrom="paragraph">
              <wp:posOffset>219710</wp:posOffset>
            </wp:positionV>
            <wp:extent cx="4260215" cy="2836545"/>
            <wp:effectExtent l="0" t="0" r="45085" b="40005"/>
            <wp:wrapTight wrapText="bothSides">
              <wp:wrapPolygon>
                <wp:start x="0" y="0"/>
                <wp:lineTo x="0" y="21469"/>
                <wp:lineTo x="21539" y="21469"/>
                <wp:lineTo x="21539"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4260215" cy="2836545"/>
                    </a:xfrm>
                    <a:prstGeom prst="rect">
                      <a:avLst/>
                    </a:prstGeom>
                    <a:noFill/>
                    <a:ln>
                      <a:noFill/>
                    </a:ln>
                  </pic:spPr>
                </pic:pic>
              </a:graphicData>
            </a:graphic>
          </wp:anchor>
        </w:drawing>
      </w: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黑体"/>
          <w:sz w:val="32"/>
          <w:szCs w:val="32"/>
        </w:rPr>
      </w:pPr>
      <w:r>
        <w:rPr>
          <w:rFonts w:hint="eastAsia" w:eastAsia="仿宋_GB2312" w:cs="仿宋_GB2312"/>
          <w:sz w:val="32"/>
          <w:szCs w:val="32"/>
        </w:rPr>
        <w:t>（图3：支出决算结构图）</w:t>
      </w:r>
      <w:bookmarkStart w:id="25" w:name="_Toc15396606"/>
      <w:bookmarkStart w:id="26" w:name="_Toc15377208"/>
    </w:p>
    <w:p>
      <w:pPr>
        <w:spacing w:line="600" w:lineRule="exact"/>
        <w:ind w:firstLine="640" w:firstLineChars="200"/>
        <w:outlineLvl w:val="1"/>
        <w:rPr>
          <w:rFonts w:hint="eastAsia" w:eastAsia="黑体"/>
          <w:sz w:val="32"/>
          <w:szCs w:val="32"/>
        </w:rPr>
      </w:pPr>
      <w:bookmarkStart w:id="27" w:name="_Toc7165"/>
    </w:p>
    <w:p>
      <w:pPr>
        <w:spacing w:line="600" w:lineRule="exact"/>
        <w:ind w:firstLine="640" w:firstLineChars="200"/>
        <w:outlineLvl w:val="1"/>
        <w:rPr>
          <w:rStyle w:val="29"/>
          <w:rFonts w:ascii="Times New Roman" w:hAnsi="Times New Roman" w:eastAsia="黑体"/>
          <w:b w:val="0"/>
        </w:rPr>
      </w:pPr>
      <w:r>
        <w:rPr>
          <w:rFonts w:hint="eastAsia" w:eastAsia="黑体"/>
          <w:sz w:val="32"/>
          <w:szCs w:val="32"/>
        </w:rPr>
        <w:t>四、财</w:t>
      </w:r>
      <w:r>
        <w:rPr>
          <w:rStyle w:val="29"/>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2024年度财政拨款收入、支出总计均为</w:t>
      </w:r>
      <w:r>
        <w:rPr>
          <w:rFonts w:hint="eastAsia" w:ascii="Times New Roman" w:cs="仿宋_GB2312"/>
          <w:kern w:val="2"/>
          <w:sz w:val="32"/>
          <w:szCs w:val="32"/>
          <w:lang w:val="en-US" w:eastAsia="zh-CN" w:bidi="ar-SA"/>
        </w:rPr>
        <w:t>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796.57</w:t>
      </w:r>
      <w:r>
        <w:rPr>
          <w:rFonts w:hint="eastAsia" w:eastAsia="仿宋_GB2312" w:cs="仿宋_GB2312"/>
          <w:sz w:val="32"/>
          <w:szCs w:val="32"/>
        </w:rPr>
        <w:t>万元。与2023年度相比，财政拨款收入总计、支出总计各</w:t>
      </w:r>
      <w:r>
        <w:rPr>
          <w:rFonts w:hint="eastAsia" w:ascii="仿宋_GB2312" w:hAnsi="仿宋_GB2312" w:eastAsia="仿宋_GB2312" w:cs="仿宋_GB2312"/>
          <w:sz w:val="32"/>
          <w:szCs w:val="32"/>
        </w:rPr>
        <w:t>减少</w:t>
      </w:r>
      <w:r>
        <w:rPr>
          <w:rFonts w:hint="eastAsia" w:ascii="Times New Roman" w:cs="仿宋_GB2312"/>
          <w:kern w:val="2"/>
          <w:sz w:val="32"/>
          <w:szCs w:val="32"/>
          <w:lang w:val="en-US" w:eastAsia="zh-CN" w:bidi="ar-SA"/>
        </w:rPr>
        <w:t>86.34</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2.2</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w:t>
      </w:r>
      <w:r>
        <w:rPr>
          <w:rFonts w:hint="eastAsia" w:eastAsia="仿宋_GB2312" w:cs="仿宋_GB2312"/>
          <w:sz w:val="32"/>
          <w:szCs w:val="32"/>
        </w:rPr>
        <w:t>是本年度较上年度</w:t>
      </w:r>
      <w:r>
        <w:rPr>
          <w:rFonts w:hint="eastAsia" w:eastAsia="仿宋_GB2312" w:cs="仿宋_GB2312"/>
          <w:sz w:val="32"/>
          <w:szCs w:val="32"/>
          <w:lang w:val="en-US" w:eastAsia="zh-CN"/>
        </w:rPr>
        <w:t>人员减少，经费</w:t>
      </w:r>
      <w:r>
        <w:rPr>
          <w:rFonts w:hint="eastAsia" w:eastAsia="仿宋_GB2312" w:cs="仿宋_GB2312"/>
          <w:sz w:val="32"/>
          <w:szCs w:val="32"/>
        </w:rPr>
        <w:t>减少</w:t>
      </w:r>
      <w:r>
        <w:rPr>
          <w:rFonts w:hint="eastAsia" w:eastAsia="仿宋_GB2312" w:cs="仿宋_GB2312"/>
          <w:sz w:val="32"/>
          <w:szCs w:val="32"/>
          <w:lang w:eastAsia="zh-CN"/>
        </w:rPr>
        <w:t>。</w:t>
      </w:r>
    </w:p>
    <w:p>
      <w:pPr>
        <w:pStyle w:val="7"/>
        <w:jc w:val="center"/>
        <w:rPr>
          <w:rFonts w:hint="eastAsia" w:eastAsia="仿宋_GB2312" w:cs="仿宋_GB2312"/>
          <w:sz w:val="32"/>
          <w:szCs w:val="32"/>
          <w:lang w:eastAsia="zh-CN"/>
        </w:rPr>
      </w:pPr>
      <w:r>
        <w:drawing>
          <wp:anchor distT="0" distB="0" distL="114300" distR="114300" simplePos="0" relativeHeight="251666432" behindDoc="1" locked="0" layoutInCell="1" allowOverlap="1">
            <wp:simplePos x="0" y="0"/>
            <wp:positionH relativeFrom="column">
              <wp:posOffset>457835</wp:posOffset>
            </wp:positionH>
            <wp:positionV relativeFrom="paragraph">
              <wp:posOffset>131445</wp:posOffset>
            </wp:positionV>
            <wp:extent cx="4476750" cy="3019425"/>
            <wp:effectExtent l="0" t="0" r="0" b="9525"/>
            <wp:wrapTight wrapText="bothSides">
              <wp:wrapPolygon>
                <wp:start x="0" y="0"/>
                <wp:lineTo x="0" y="21532"/>
                <wp:lineTo x="21508" y="21532"/>
                <wp:lineTo x="21508"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476750" cy="3019425"/>
                    </a:xfrm>
                    <a:prstGeom prst="rect">
                      <a:avLst/>
                    </a:prstGeom>
                    <a:noFill/>
                    <a:ln>
                      <a:noFill/>
                    </a:ln>
                  </pic:spPr>
                </pic:pic>
              </a:graphicData>
            </a:graphic>
          </wp:anchor>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8" w:name="_Toc15377209"/>
      <w:bookmarkStart w:id="29" w:name="_Toc15396607"/>
      <w:bookmarkStart w:id="30" w:name="_Toc28319"/>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ascii="Times New Roman" w:cs="仿宋_GB2312"/>
          <w:kern w:val="2"/>
          <w:sz w:val="32"/>
          <w:szCs w:val="32"/>
          <w:lang w:val="en-US" w:eastAsia="zh-CN" w:bidi="ar-SA"/>
        </w:rPr>
        <w:t>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796.57</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年度相比，一般公共预算财政拨款支出减少</w:t>
      </w:r>
      <w:r>
        <w:rPr>
          <w:rFonts w:hint="eastAsia" w:ascii="Times New Roman" w:cs="仿宋_GB2312"/>
          <w:kern w:val="2"/>
          <w:sz w:val="32"/>
          <w:szCs w:val="32"/>
          <w:lang w:val="en-US" w:eastAsia="zh-CN" w:bidi="ar-SA"/>
        </w:rPr>
        <w:t>86.34</w:t>
      </w:r>
      <w:r>
        <w:rPr>
          <w:rFonts w:hint="eastAsia" w:ascii="仿宋_GB2312" w:hAnsi="仿宋_GB2312" w:eastAsia="仿宋_GB2312" w:cs="仿宋_GB2312"/>
          <w:sz w:val="32"/>
          <w:szCs w:val="32"/>
        </w:rPr>
        <w:t>万元，下降</w:t>
      </w:r>
      <w:r>
        <w:rPr>
          <w:rFonts w:hint="eastAsia" w:ascii="Times New Roman" w:cs="仿宋_GB2312"/>
          <w:kern w:val="2"/>
          <w:sz w:val="32"/>
          <w:szCs w:val="32"/>
          <w:lang w:val="en-US" w:eastAsia="zh-CN" w:bidi="ar-SA"/>
        </w:rPr>
        <w:t>2.2</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rPr>
        <w:t>。主要变动原因是本年度较上年度</w:t>
      </w:r>
      <w:r>
        <w:rPr>
          <w:rFonts w:hint="eastAsia" w:ascii="仿宋_GB2312" w:hAnsi="仿宋_GB2312" w:eastAsia="仿宋_GB2312" w:cs="仿宋_GB2312"/>
          <w:sz w:val="32"/>
          <w:szCs w:val="32"/>
          <w:lang w:val="en-US" w:eastAsia="zh-CN"/>
        </w:rPr>
        <w:t>人员减少，经费</w:t>
      </w:r>
      <w:r>
        <w:rPr>
          <w:rFonts w:hint="eastAsia" w:ascii="仿宋_GB2312" w:hAnsi="仿宋_GB2312" w:eastAsia="仿宋_GB2312" w:cs="仿宋_GB2312"/>
          <w:sz w:val="32"/>
          <w:szCs w:val="32"/>
        </w:rPr>
        <w:t>减少</w:t>
      </w:r>
      <w:r>
        <w:rPr>
          <w:rFonts w:hint="eastAsia" w:ascii="仿宋_GB2312" w:hAnsi="仿宋_GB2312" w:eastAsia="仿宋_GB2312" w:cs="仿宋_GB2312"/>
          <w:sz w:val="32"/>
          <w:szCs w:val="32"/>
          <w:lang w:eastAsia="zh-CN"/>
        </w:rPr>
        <w:t>。</w:t>
      </w:r>
    </w:p>
    <w:p>
      <w:pPr>
        <w:spacing w:line="600" w:lineRule="exact"/>
        <w:ind w:firstLine="640"/>
        <w:rPr>
          <w:rFonts w:eastAsia="仿宋_GB2312" w:cs="仿宋_GB2312"/>
          <w:sz w:val="32"/>
          <w:szCs w:val="32"/>
        </w:rPr>
      </w:pPr>
    </w:p>
    <w:p>
      <w:pPr>
        <w:spacing w:line="600" w:lineRule="exact"/>
        <w:ind w:firstLine="640"/>
        <w:rPr>
          <w:rFonts w:hint="eastAsia" w:eastAsia="仿宋_GB2312" w:cs="仿宋_GB2312"/>
          <w:sz w:val="32"/>
          <w:szCs w:val="32"/>
        </w:rPr>
      </w:pPr>
      <w:r>
        <w:drawing>
          <wp:anchor distT="0" distB="0" distL="114300" distR="114300" simplePos="0" relativeHeight="251667456" behindDoc="1" locked="0" layoutInCell="1" allowOverlap="1">
            <wp:simplePos x="0" y="0"/>
            <wp:positionH relativeFrom="column">
              <wp:posOffset>415925</wp:posOffset>
            </wp:positionH>
            <wp:positionV relativeFrom="paragraph">
              <wp:posOffset>215900</wp:posOffset>
            </wp:positionV>
            <wp:extent cx="4404995" cy="3137535"/>
            <wp:effectExtent l="0" t="0" r="0" b="0"/>
            <wp:wrapTight wrapText="bothSides">
              <wp:wrapPolygon>
                <wp:start x="0" y="0"/>
                <wp:lineTo x="0" y="21508"/>
                <wp:lineTo x="21485" y="21508"/>
                <wp:lineTo x="21485"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4404995" cy="3137535"/>
                    </a:xfrm>
                    <a:prstGeom prst="rect">
                      <a:avLst/>
                    </a:prstGeom>
                    <a:noFill/>
                    <a:ln>
                      <a:noFill/>
                    </a:ln>
                  </pic:spPr>
                </pic:pic>
              </a:graphicData>
            </a:graphic>
          </wp:anchor>
        </w:drawing>
      </w:r>
    </w:p>
    <w:p>
      <w:pPr>
        <w:pStyle w:val="13"/>
        <w:rPr>
          <w:rFonts w:hint="eastAsia" w:eastAsia="仿宋_GB2312" w:cs="仿宋_GB2312"/>
          <w:sz w:val="32"/>
          <w:szCs w:val="32"/>
        </w:rPr>
      </w:pPr>
    </w:p>
    <w:p>
      <w:pPr>
        <w:pStyle w:val="7"/>
        <w:rPr>
          <w:rFonts w:hint="eastAsia" w:eastAsia="仿宋_GB2312" w:cs="仿宋_GB2312"/>
          <w:sz w:val="32"/>
          <w:szCs w:val="32"/>
        </w:rPr>
      </w:pPr>
    </w:p>
    <w:p>
      <w:pPr>
        <w:pStyle w:val="7"/>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rPr>
      </w:pPr>
      <w:r>
        <w:rPr>
          <w:rFonts w:hint="eastAsia" w:eastAsia="仿宋_GB2312" w:cs="仿宋_GB2312"/>
          <w:sz w:val="32"/>
          <w:szCs w:val="32"/>
        </w:rPr>
        <w:t>（图5：一般公共预算财政拨款支出决算变动情况）</w:t>
      </w:r>
      <w:bookmarkStart w:id="32" w:name="_Toc15377211"/>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ascii="Times New Roman" w:cs="仿宋_GB2312"/>
          <w:kern w:val="2"/>
          <w:sz w:val="32"/>
          <w:szCs w:val="32"/>
          <w:lang w:val="en-US" w:eastAsia="zh-CN" w:bidi="ar-SA"/>
        </w:rPr>
        <w:t>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796.57</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w:t>
      </w:r>
      <w:r>
        <w:rPr>
          <w:rFonts w:hint="eastAsia" w:eastAsia="仿宋_GB2312" w:cs="仿宋_GB2312"/>
          <w:sz w:val="32"/>
          <w:szCs w:val="32"/>
          <w:lang w:val="en-US" w:eastAsia="zh-CN"/>
        </w:rPr>
        <w:t>426.93</w:t>
      </w:r>
      <w:r>
        <w:rPr>
          <w:rFonts w:hint="eastAsia" w:eastAsia="仿宋_GB2312" w:cs="仿宋_GB2312"/>
          <w:sz w:val="32"/>
          <w:szCs w:val="32"/>
        </w:rPr>
        <w:t>万元，占</w:t>
      </w:r>
      <w:r>
        <w:rPr>
          <w:rFonts w:hint="eastAsia" w:eastAsia="仿宋_GB2312" w:cs="仿宋_GB2312"/>
          <w:sz w:val="32"/>
          <w:szCs w:val="32"/>
          <w:lang w:val="en-US" w:eastAsia="zh-CN"/>
        </w:rPr>
        <w:t>11.2</w:t>
      </w:r>
      <w:r>
        <w:rPr>
          <w:rFonts w:hint="eastAsia" w:eastAsia="仿宋_GB2312" w:cs="仿宋_GB2312"/>
          <w:sz w:val="32"/>
          <w:szCs w:val="32"/>
        </w:rPr>
        <w:t>%；卫生健康支出</w:t>
      </w:r>
      <w:r>
        <w:rPr>
          <w:rFonts w:hint="eastAsia" w:eastAsia="仿宋_GB2312" w:cs="仿宋_GB2312"/>
          <w:sz w:val="32"/>
          <w:szCs w:val="32"/>
          <w:lang w:val="en-US" w:eastAsia="zh-CN"/>
        </w:rPr>
        <w:t>189.35</w:t>
      </w:r>
      <w:r>
        <w:rPr>
          <w:rFonts w:hint="eastAsia" w:eastAsia="仿宋_GB2312" w:cs="仿宋_GB2312"/>
          <w:sz w:val="32"/>
          <w:szCs w:val="32"/>
        </w:rPr>
        <w:t>万元，占</w:t>
      </w:r>
      <w:r>
        <w:rPr>
          <w:rFonts w:hint="eastAsia" w:eastAsia="仿宋_GB2312" w:cs="仿宋_GB2312"/>
          <w:sz w:val="32"/>
          <w:szCs w:val="32"/>
          <w:lang w:val="en-US" w:eastAsia="zh-CN"/>
        </w:rPr>
        <w:t>5.1</w:t>
      </w:r>
      <w:r>
        <w:rPr>
          <w:rFonts w:hint="eastAsia" w:eastAsia="仿宋_GB2312" w:cs="仿宋_GB2312"/>
          <w:sz w:val="32"/>
          <w:szCs w:val="32"/>
        </w:rPr>
        <w:t>%；交通运输支出</w:t>
      </w:r>
      <w:r>
        <w:rPr>
          <w:rFonts w:hint="eastAsia" w:ascii="Times New Roman"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974.23</w:t>
      </w:r>
      <w:r>
        <w:rPr>
          <w:rFonts w:hint="eastAsia" w:eastAsia="仿宋_GB2312" w:cs="仿宋_GB2312"/>
          <w:sz w:val="32"/>
          <w:szCs w:val="32"/>
          <w:lang w:val="en-US" w:eastAsia="zh-CN"/>
        </w:rPr>
        <w:t>万元，占78.3%；</w:t>
      </w:r>
      <w:r>
        <w:rPr>
          <w:rFonts w:hint="eastAsia" w:eastAsia="仿宋_GB2312" w:cs="仿宋_GB2312"/>
          <w:sz w:val="32"/>
          <w:szCs w:val="32"/>
        </w:rPr>
        <w:t>住房保障支出</w:t>
      </w:r>
      <w:r>
        <w:rPr>
          <w:rFonts w:hint="eastAsia" w:eastAsia="仿宋_GB2312" w:cs="仿宋_GB2312"/>
          <w:sz w:val="32"/>
          <w:szCs w:val="32"/>
          <w:lang w:val="en-US" w:eastAsia="zh-CN"/>
        </w:rPr>
        <w:t>206.06</w:t>
      </w:r>
      <w:r>
        <w:rPr>
          <w:rFonts w:hint="eastAsia" w:eastAsia="仿宋_GB2312" w:cs="仿宋_GB2312"/>
          <w:sz w:val="32"/>
          <w:szCs w:val="32"/>
        </w:rPr>
        <w:t>万元，占</w:t>
      </w:r>
      <w:r>
        <w:rPr>
          <w:rFonts w:hint="eastAsia" w:eastAsia="仿宋_GB2312" w:cs="仿宋_GB2312"/>
          <w:sz w:val="32"/>
          <w:szCs w:val="32"/>
          <w:lang w:val="en-US" w:eastAsia="zh-CN"/>
        </w:rPr>
        <w:t>5.4</w:t>
      </w:r>
      <w:r>
        <w:rPr>
          <w:rFonts w:hint="eastAsia" w:eastAsia="仿宋_GB2312" w:cs="仿宋_GB2312"/>
          <w:sz w:val="32"/>
          <w:szCs w:val="32"/>
        </w:rPr>
        <w:t>%</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p>
    <w:p>
      <w:pPr>
        <w:pStyle w:val="7"/>
        <w:jc w:val="center"/>
        <w:rPr>
          <w:rFonts w:hint="eastAsia" w:eastAsia="仿宋_GB2312" w:cs="仿宋_GB2312"/>
          <w:sz w:val="32"/>
          <w:szCs w:val="32"/>
        </w:rPr>
      </w:pPr>
      <w:r>
        <w:drawing>
          <wp:anchor distT="0" distB="0" distL="114300" distR="114300" simplePos="0" relativeHeight="251668480" behindDoc="1" locked="0" layoutInCell="1" allowOverlap="1">
            <wp:simplePos x="0" y="0"/>
            <wp:positionH relativeFrom="column">
              <wp:posOffset>373380</wp:posOffset>
            </wp:positionH>
            <wp:positionV relativeFrom="paragraph">
              <wp:posOffset>89535</wp:posOffset>
            </wp:positionV>
            <wp:extent cx="4541520" cy="3694430"/>
            <wp:effectExtent l="5080" t="4445" r="6350" b="15875"/>
            <wp:wrapTight wrapText="bothSides">
              <wp:wrapPolygon>
                <wp:start x="-24" y="-26"/>
                <wp:lineTo x="-24" y="21470"/>
                <wp:lineTo x="21540" y="21470"/>
                <wp:lineTo x="21540" y="-26"/>
                <wp:lineTo x="-24" y="-26"/>
              </wp:wrapPolygon>
            </wp:wrapTight>
            <wp:docPr id="4416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pPr>
        <w:pStyle w:val="7"/>
        <w:jc w:val="center"/>
        <w:rPr>
          <w:rFonts w:hint="eastAsia" w:eastAsia="仿宋_GB2312" w:cs="仿宋_GB2312"/>
          <w:sz w:val="32"/>
          <w:szCs w:val="32"/>
        </w:rPr>
      </w:pPr>
    </w:p>
    <w:p>
      <w:pPr>
        <w:pStyle w:val="7"/>
        <w:jc w:val="both"/>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eastAsia="仿宋_GB2312" w:cs="仿宋_GB2312"/>
          <w:sz w:val="32"/>
          <w:szCs w:val="32"/>
        </w:rPr>
      </w:pPr>
      <w:bookmarkStart w:id="34" w:name="_Toc15377213"/>
      <w:bookmarkStart w:id="35" w:name="_Toc15377444"/>
      <w:bookmarkStart w:id="36" w:name="_Toc15378460"/>
      <w:r>
        <w:rPr>
          <w:rFonts w:hint="eastAsia" w:eastAsia="仿宋_GB2312" w:cs="仿宋_GB2312"/>
          <w:sz w:val="32"/>
          <w:szCs w:val="32"/>
        </w:rPr>
        <w:t>2024年度一般公共预算财政拨款支出决算数为</w:t>
      </w:r>
      <w:r>
        <w:rPr>
          <w:rFonts w:hint="eastAsia" w:ascii="Times New Roman" w:cs="仿宋_GB2312"/>
          <w:kern w:val="2"/>
          <w:sz w:val="32"/>
          <w:szCs w:val="32"/>
          <w:lang w:val="en-US" w:eastAsia="zh-CN" w:bidi="ar-SA"/>
        </w:rPr>
        <w:t>3</w:t>
      </w:r>
      <w:r>
        <w:rPr>
          <w:rFonts w:hint="eastAsia" w:ascii="Times New Roman" w:hAnsi="Times New Roman" w:eastAsia="仿宋_GB2312" w:cs="仿宋_GB2312"/>
          <w:kern w:val="2"/>
          <w:sz w:val="32"/>
          <w:szCs w:val="32"/>
          <w:lang w:val="en-US" w:eastAsia="zh-CN" w:bidi="ar-SA"/>
        </w:rPr>
        <w:t>,</w:t>
      </w:r>
      <w:r>
        <w:rPr>
          <w:rFonts w:hint="eastAsia" w:ascii="Times New Roman" w:cs="仿宋_GB2312"/>
          <w:kern w:val="2"/>
          <w:sz w:val="32"/>
          <w:szCs w:val="32"/>
          <w:lang w:val="en-US" w:eastAsia="zh-CN" w:bidi="ar-SA"/>
        </w:rPr>
        <w:t>796.57</w:t>
      </w:r>
      <w:r>
        <w:rPr>
          <w:rFonts w:hint="eastAsia"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0"/>
        <w:rPr>
          <w:rFonts w:hint="eastAsia"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1.</w:t>
      </w:r>
      <w:r>
        <w:rPr>
          <w:rFonts w:hint="eastAsia" w:eastAsia="仿宋_GB2312" w:cs="仿宋_GB2312"/>
          <w:sz w:val="32"/>
          <w:szCs w:val="32"/>
        </w:rPr>
        <w:t>社会保障和就业（类）行政事业单位养老支出（款）事业单位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（项）：支出决算为</w:t>
      </w:r>
      <w:r>
        <w:rPr>
          <w:rFonts w:hint="eastAsia" w:eastAsia="仿宋_GB2312" w:cs="仿宋_GB2312"/>
          <w:sz w:val="32"/>
          <w:szCs w:val="32"/>
          <w:lang w:val="en-US" w:eastAsia="zh-CN"/>
        </w:rPr>
        <w:t>61.9</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eastAsia="zh-CN"/>
        </w:rPr>
      </w:pPr>
      <w:r>
        <w:rPr>
          <w:rFonts w:hint="eastAsia" w:eastAsia="仿宋_GB2312" w:cs="仿宋_GB2312"/>
          <w:kern w:val="2"/>
          <w:sz w:val="32"/>
          <w:szCs w:val="32"/>
          <w:lang w:val="en-US" w:eastAsia="zh-CN" w:bidi="ar-SA"/>
        </w:rPr>
        <w:t>2</w:t>
      </w:r>
      <w:r>
        <w:rPr>
          <w:rFonts w:hint="eastAsia" w:ascii="Times New Roman" w:hAnsi="Times New Roman" w:eastAsia="仿宋_GB2312" w:cs="仿宋_GB2312"/>
          <w:kern w:val="2"/>
          <w:sz w:val="32"/>
          <w:szCs w:val="32"/>
          <w:lang w:val="en-US" w:eastAsia="zh-CN" w:bidi="ar-SA"/>
        </w:rPr>
        <w:t>.</w:t>
      </w:r>
      <w:r>
        <w:rPr>
          <w:rFonts w:hint="eastAsia" w:eastAsia="仿宋_GB2312" w:cs="仿宋_GB2312"/>
          <w:sz w:val="32"/>
          <w:szCs w:val="32"/>
        </w:rPr>
        <w:t>社会保障和就业（类）行政事业单位养老支出（款）机关事业单位基本养老保险缴费支出（项）：支出决算为</w:t>
      </w:r>
      <w:r>
        <w:rPr>
          <w:rFonts w:hint="eastAsia" w:eastAsia="仿宋_GB2312" w:cs="仿宋_GB2312"/>
          <w:sz w:val="32"/>
          <w:szCs w:val="32"/>
          <w:lang w:val="en-US" w:eastAsia="zh-CN"/>
        </w:rPr>
        <w:t>243.36</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val="en-US" w:eastAsia="zh-CN"/>
        </w:rPr>
      </w:pPr>
      <w:r>
        <w:rPr>
          <w:rFonts w:hint="eastAsia" w:eastAsia="仿宋_GB2312" w:cs="仿宋_GB2312"/>
          <w:sz w:val="32"/>
          <w:szCs w:val="32"/>
          <w:lang w:val="en-US" w:eastAsia="zh-CN"/>
        </w:rPr>
        <w:t>3.社会保障和就业（类）行政事业单位养老支出（款）机关事业单位职业年金缴费支出（项）：支出决算为121.68万元，完成预算100%，决算数等于预算数。</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.卫生健康（类）行政事业单位医疗（款）事业单位医疗（项）：支出决算为</w:t>
      </w:r>
      <w:r>
        <w:rPr>
          <w:rFonts w:hint="eastAsia" w:eastAsia="仿宋_GB2312" w:cs="仿宋_GB2312"/>
          <w:sz w:val="32"/>
          <w:szCs w:val="32"/>
          <w:lang w:val="en-US" w:eastAsia="zh-CN"/>
        </w:rPr>
        <w:t>126.39</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5.</w:t>
      </w:r>
      <w:r>
        <w:rPr>
          <w:rFonts w:hint="eastAsia" w:eastAsia="仿宋_GB2312" w:cs="仿宋_GB2312"/>
          <w:sz w:val="32"/>
          <w:szCs w:val="32"/>
        </w:rPr>
        <w:t>卫生健康（类）行政事业单位医疗（款）其他行政事业单位医疗支出（项）：支出决算</w:t>
      </w:r>
      <w:r>
        <w:rPr>
          <w:rFonts w:hint="eastAsia" w:eastAsia="仿宋_GB2312" w:cs="仿宋_GB2312"/>
          <w:sz w:val="32"/>
          <w:szCs w:val="32"/>
          <w:lang w:val="en-US" w:eastAsia="zh-CN"/>
        </w:rPr>
        <w:t>62.97</w:t>
      </w:r>
      <w:r>
        <w:rPr>
          <w:rFonts w:hint="eastAsia"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bookmarkStart w:id="37" w:name="_Toc15377214"/>
      <w:bookmarkStart w:id="38" w:name="_Toc15396608"/>
      <w:r>
        <w:rPr>
          <w:rFonts w:hint="eastAsia" w:eastAsia="仿宋_GB2312" w:cs="仿宋_GB2312"/>
          <w:sz w:val="32"/>
          <w:szCs w:val="32"/>
          <w:lang w:val="en-US" w:eastAsia="zh-CN"/>
        </w:rPr>
        <w:t>6.</w:t>
      </w:r>
      <w:r>
        <w:rPr>
          <w:rFonts w:hint="eastAsia" w:eastAsia="仿宋_GB2312" w:cs="仿宋_GB2312"/>
          <w:sz w:val="32"/>
          <w:szCs w:val="32"/>
        </w:rPr>
        <w:t>交通运输（类）公路水路运输（款）公路养护（项）：支出决算为</w:t>
      </w:r>
      <w:r>
        <w:rPr>
          <w:rFonts w:hint="eastAsia" w:eastAsia="仿宋_GB2312" w:cs="仿宋_GB2312"/>
          <w:sz w:val="32"/>
          <w:szCs w:val="32"/>
          <w:lang w:val="en-US" w:eastAsia="zh-CN"/>
        </w:rPr>
        <w:t>2,974.23</w:t>
      </w:r>
      <w:r>
        <w:rPr>
          <w:rFonts w:hint="eastAsia" w:eastAsia="仿宋_GB2312" w:cs="仿宋_GB2312"/>
          <w:sz w:val="32"/>
          <w:szCs w:val="32"/>
        </w:rPr>
        <w:t>万元，完成预算</w:t>
      </w:r>
      <w:r>
        <w:rPr>
          <w:rFonts w:hint="eastAsia" w:eastAsia="仿宋_GB2312" w:cs="仿宋_GB2312"/>
          <w:sz w:val="32"/>
          <w:szCs w:val="32"/>
          <w:lang w:val="en-US" w:eastAsia="zh-CN"/>
        </w:rPr>
        <w:t>99.9</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7.住房保障（类）住房改革支出（款）住房公积金（项）：支出决算为193.06万元，完成预算100%，决算数等于预算数。</w:t>
      </w:r>
    </w:p>
    <w:p>
      <w:pPr>
        <w:spacing w:line="600" w:lineRule="exact"/>
        <w:ind w:firstLine="640"/>
        <w:rPr>
          <w:rFonts w:hint="eastAsia"/>
        </w:rPr>
      </w:pPr>
      <w:r>
        <w:rPr>
          <w:rFonts w:hint="eastAsia" w:eastAsia="仿宋_GB2312" w:cs="仿宋_GB2312"/>
          <w:sz w:val="32"/>
          <w:szCs w:val="32"/>
          <w:lang w:val="en-US" w:eastAsia="zh-CN"/>
        </w:rPr>
        <w:t>8.住房保障（类）住房改革支出（款）购房补贴（项）：支出决算为13万元，</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tabs>
          <w:tab w:val="right" w:pos="8306"/>
        </w:tabs>
        <w:spacing w:line="600" w:lineRule="exact"/>
        <w:ind w:firstLine="640"/>
        <w:outlineLvl w:val="1"/>
        <w:rPr>
          <w:rStyle w:val="29"/>
          <w:rFonts w:ascii="Times New Roman" w:hAnsi="Times New Roman"/>
        </w:rPr>
      </w:pPr>
      <w:bookmarkStart w:id="39" w:name="_Toc12622"/>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7"/>
      <w:bookmarkEnd w:id="38"/>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Times New Roman" w:cs="仿宋_GB2312"/>
          <w:kern w:val="2"/>
          <w:sz w:val="32"/>
          <w:szCs w:val="32"/>
          <w:lang w:val="en-US" w:eastAsia="zh-CN" w:bidi="ar-SA"/>
        </w:rPr>
        <w:t>3,217.9</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eastAsia="仿宋_GB2312" w:cs="仿宋_GB2312"/>
          <w:sz w:val="32"/>
          <w:szCs w:val="32"/>
          <w:lang w:val="en-US" w:eastAsia="zh-CN"/>
        </w:rPr>
        <w:t>3,032.57</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元，主要包括：基本工资、津贴补贴、奖金、绩效工资、机关事业单位基本养老保险缴费、职业年金缴费、</w:t>
      </w:r>
      <w:r>
        <w:rPr>
          <w:rFonts w:hint="eastAsia" w:eastAsia="仿宋_GB2312" w:cs="仿宋_GB2312"/>
          <w:sz w:val="32"/>
          <w:szCs w:val="32"/>
          <w:lang w:val="en-US" w:eastAsia="zh-CN"/>
        </w:rPr>
        <w:t>职工基本医疗保险缴费、</w:t>
      </w:r>
      <w:r>
        <w:rPr>
          <w:rFonts w:hint="eastAsia" w:eastAsia="仿宋_GB2312" w:cs="仿宋_GB2312"/>
          <w:sz w:val="32"/>
          <w:szCs w:val="32"/>
        </w:rPr>
        <w:t>其他社会保障缴费、生活补助、奖励金、住房公积金。</w:t>
      </w:r>
      <w:r>
        <w:rPr>
          <w:rFonts w:hint="eastAsia" w:eastAsia="仿宋_GB2312" w:cs="仿宋_GB2312"/>
          <w:sz w:val="32"/>
          <w:szCs w:val="32"/>
        </w:rPr>
        <w:br w:type="textWrapping"/>
      </w:r>
      <w:r>
        <w:rPr>
          <w:rFonts w:hint="eastAsia" w:eastAsia="仿宋_GB2312" w:cs="仿宋_GB2312"/>
          <w:sz w:val="32"/>
          <w:szCs w:val="32"/>
          <w:lang w:val="en-US" w:eastAsia="zh-CN"/>
        </w:rPr>
        <w:t xml:space="preserve">    </w:t>
      </w:r>
      <w:r>
        <w:rPr>
          <w:rFonts w:hint="eastAsia" w:eastAsia="仿宋_GB2312" w:cs="仿宋_GB2312"/>
          <w:sz w:val="32"/>
          <w:szCs w:val="32"/>
        </w:rPr>
        <w:t>公用经费</w:t>
      </w:r>
      <w:r>
        <w:rPr>
          <w:rFonts w:hint="eastAsia" w:eastAsia="仿宋_GB2312" w:cs="仿宋_GB2312"/>
          <w:sz w:val="32"/>
          <w:szCs w:val="32"/>
          <w:lang w:val="en-US" w:eastAsia="zh-CN"/>
        </w:rPr>
        <w:t>185.33</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w:t>
      </w:r>
      <w:r>
        <w:rPr>
          <w:rFonts w:hint="eastAsia" w:eastAsia="仿宋_GB2312" w:cs="仿宋_GB2312"/>
          <w:sz w:val="32"/>
          <w:szCs w:val="32"/>
          <w:lang w:val="en-US" w:eastAsia="zh-CN"/>
        </w:rPr>
        <w:t>咨询费</w:t>
      </w:r>
      <w:r>
        <w:rPr>
          <w:rFonts w:hint="eastAsia" w:eastAsia="仿宋_GB2312" w:cs="仿宋_GB2312"/>
          <w:sz w:val="32"/>
          <w:szCs w:val="32"/>
        </w:rPr>
        <w:t>、</w:t>
      </w:r>
      <w:r>
        <w:rPr>
          <w:rFonts w:hint="eastAsia" w:eastAsia="仿宋_GB2312" w:cs="仿宋_GB2312"/>
          <w:sz w:val="32"/>
          <w:szCs w:val="32"/>
          <w:lang w:val="en-US" w:eastAsia="zh-CN"/>
        </w:rPr>
        <w:t>手续费、水费</w:t>
      </w:r>
      <w:r>
        <w:rPr>
          <w:rFonts w:hint="eastAsia" w:eastAsia="仿宋_GB2312" w:cs="仿宋_GB2312"/>
          <w:sz w:val="32"/>
          <w:szCs w:val="32"/>
        </w:rPr>
        <w:t>、邮电费、差旅费、维修（护）费、培训费、公务接待费、</w:t>
      </w:r>
      <w:r>
        <w:rPr>
          <w:rFonts w:hint="eastAsia" w:eastAsia="仿宋_GB2312" w:cs="仿宋_GB2312"/>
          <w:sz w:val="32"/>
          <w:szCs w:val="32"/>
          <w:lang w:val="en-US" w:eastAsia="zh-CN"/>
        </w:rPr>
        <w:t>专用材料费、</w:t>
      </w:r>
      <w:r>
        <w:rPr>
          <w:rFonts w:hint="eastAsia" w:eastAsia="仿宋_GB2312" w:cs="仿宋_GB2312"/>
          <w:sz w:val="32"/>
          <w:szCs w:val="32"/>
        </w:rPr>
        <w:t>劳务费、福利费、公务用车运行维护费、</w:t>
      </w:r>
      <w:r>
        <w:rPr>
          <w:rFonts w:hint="eastAsia" w:eastAsia="仿宋_GB2312" w:cs="仿宋_GB2312"/>
          <w:sz w:val="32"/>
          <w:szCs w:val="32"/>
          <w:lang w:val="en-US" w:eastAsia="zh-CN"/>
        </w:rPr>
        <w:t>其他交通费用、</w:t>
      </w:r>
      <w:r>
        <w:rPr>
          <w:rFonts w:hint="eastAsia" w:eastAsia="仿宋_GB2312" w:cs="仿宋_GB2312"/>
          <w:sz w:val="32"/>
          <w:szCs w:val="32"/>
        </w:rPr>
        <w:t>其他商品和服务支出。</w:t>
      </w:r>
    </w:p>
    <w:p>
      <w:pPr>
        <w:spacing w:line="600" w:lineRule="exact"/>
        <w:ind w:firstLine="640"/>
        <w:outlineLvl w:val="1"/>
        <w:rPr>
          <w:rStyle w:val="29"/>
          <w:rFonts w:ascii="Times New Roman" w:hAnsi="Times New Roman" w:eastAsia="黑体"/>
          <w:b w:val="0"/>
        </w:rPr>
      </w:pPr>
      <w:bookmarkStart w:id="40" w:name="_Toc15377215"/>
      <w:bookmarkStart w:id="41" w:name="_Toc3121"/>
      <w:bookmarkStart w:id="42" w:name="_Toc15396609"/>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pPr>
      <w:r>
        <w:rPr>
          <w:rFonts w:hint="eastAsia" w:eastAsia="仿宋_GB2312" w:cs="仿宋_GB2312"/>
          <w:sz w:val="32"/>
          <w:szCs w:val="32"/>
        </w:rPr>
        <w:t>2024年度“三公”经费财政拨款支出决算为</w:t>
      </w:r>
      <w:r>
        <w:rPr>
          <w:rFonts w:hint="eastAsia" w:eastAsia="仿宋_GB2312" w:cs="仿宋_GB2312"/>
          <w:sz w:val="32"/>
          <w:szCs w:val="32"/>
          <w:lang w:val="en-US" w:eastAsia="zh-CN"/>
        </w:rPr>
        <w:t>19.15</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w:t>
      </w:r>
      <w:r>
        <w:rPr>
          <w:rFonts w:hint="eastAsia" w:eastAsia="仿宋_GB2312" w:cs="仿宋_GB2312"/>
          <w:sz w:val="32"/>
          <w:szCs w:val="32"/>
          <w:lang w:val="en-US" w:eastAsia="zh-CN"/>
        </w:rPr>
        <w:t>增加0.04</w:t>
      </w:r>
      <w:r>
        <w:rPr>
          <w:rFonts w:hint="eastAsia" w:eastAsia="仿宋_GB2312" w:cs="仿宋_GB2312"/>
          <w:sz w:val="32"/>
          <w:szCs w:val="32"/>
        </w:rPr>
        <w:t>万元，</w:t>
      </w:r>
      <w:r>
        <w:rPr>
          <w:rFonts w:hint="eastAsia" w:eastAsia="仿宋_GB2312" w:cs="仿宋_GB2312"/>
          <w:sz w:val="32"/>
          <w:szCs w:val="32"/>
          <w:lang w:val="en-US" w:eastAsia="zh-CN"/>
        </w:rPr>
        <w:t>增长0.2</w:t>
      </w:r>
      <w:r>
        <w:rPr>
          <w:rFonts w:hint="eastAsia" w:eastAsia="仿宋_GB2312" w:cs="仿宋_GB2312"/>
          <w:sz w:val="32"/>
          <w:szCs w:val="32"/>
        </w:rPr>
        <w:t>%。决算数</w:t>
      </w:r>
      <w:r>
        <w:rPr>
          <w:rFonts w:hint="eastAsia" w:eastAsia="仿宋_GB2312" w:cs="仿宋_GB2312"/>
          <w:sz w:val="32"/>
          <w:szCs w:val="32"/>
          <w:lang w:val="en-US" w:eastAsia="zh-CN"/>
        </w:rPr>
        <w:t>等于</w:t>
      </w:r>
      <w:r>
        <w:rPr>
          <w:rFonts w:hint="eastAsia" w:eastAsia="仿宋_GB2312" w:cs="仿宋_GB2312"/>
          <w:sz w:val="32"/>
          <w:szCs w:val="32"/>
        </w:rPr>
        <w:t>预算数</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19</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99.2%</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0.15万元</w:t>
      </w:r>
      <w:r>
        <w:rPr>
          <w:rFonts w:hint="eastAsia" w:ascii="仿宋_GB2312" w:hAnsi="仿宋_GB2312" w:eastAsia="仿宋_GB2312" w:cs="仿宋_GB2312"/>
          <w:sz w:val="32"/>
          <w:szCs w:val="32"/>
        </w:rPr>
        <w:t>，占</w:t>
      </w:r>
      <w:r>
        <w:rPr>
          <w:rFonts w:hint="eastAsia" w:eastAsia="仿宋_GB2312" w:cs="仿宋_GB2312"/>
          <w:sz w:val="32"/>
          <w:szCs w:val="32"/>
          <w:lang w:val="en-US" w:eastAsia="zh-CN"/>
        </w:rPr>
        <w:t>0.8%</w:t>
      </w:r>
      <w:r>
        <w:rPr>
          <w:rFonts w:hint="eastAsia" w:ascii="仿宋_GB2312" w:hAnsi="仿宋_GB2312" w:eastAsia="仿宋_GB2312" w:cs="仿宋_GB2312"/>
          <w:sz w:val="32"/>
          <w:szCs w:val="32"/>
        </w:rPr>
        <w:t>。具体情况如下：</w:t>
      </w:r>
    </w:p>
    <w:p>
      <w:pPr>
        <w:pStyle w:val="7"/>
        <w:jc w:val="center"/>
        <w:rPr>
          <w:rFonts w:hint="eastAsia" w:ascii="仿宋_GB2312" w:hAnsi="仿宋_GB2312" w:eastAsia="仿宋_GB2312" w:cs="仿宋_GB2312"/>
          <w:sz w:val="32"/>
          <w:szCs w:val="32"/>
        </w:rPr>
      </w:pPr>
      <w:r>
        <w:drawing>
          <wp:anchor distT="0" distB="0" distL="114300" distR="114300" simplePos="0" relativeHeight="251669504" behindDoc="1" locked="0" layoutInCell="1" allowOverlap="1">
            <wp:simplePos x="0" y="0"/>
            <wp:positionH relativeFrom="column">
              <wp:posOffset>796290</wp:posOffset>
            </wp:positionH>
            <wp:positionV relativeFrom="paragraph">
              <wp:posOffset>73660</wp:posOffset>
            </wp:positionV>
            <wp:extent cx="3968750" cy="2765425"/>
            <wp:effectExtent l="4445" t="4445" r="8255" b="11430"/>
            <wp:wrapTight wrapText="bothSides">
              <wp:wrapPolygon>
                <wp:start x="-24" y="-35"/>
                <wp:lineTo x="-24" y="21540"/>
                <wp:lineTo x="21541" y="21540"/>
                <wp:lineTo x="21541" y="-35"/>
                <wp:lineTo x="-24" y="-35"/>
              </wp:wrapPolygon>
            </wp:wrapTight>
            <wp:docPr id="4415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与2023</w:t>
      </w:r>
      <w:r>
        <w:rPr>
          <w:rFonts w:hint="eastAsia" w:eastAsia="仿宋_GB2312" w:cs="仿宋_GB2312"/>
          <w:sz w:val="32"/>
          <w:szCs w:val="32"/>
        </w:rPr>
        <w:t>年</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2.公务用车购置及运行维护费支出</w:t>
      </w:r>
      <w:r>
        <w:rPr>
          <w:rFonts w:hint="eastAsia" w:eastAsia="仿宋_GB2312" w:cs="仿宋_GB2312"/>
          <w:b/>
          <w:bCs/>
          <w:sz w:val="32"/>
          <w:szCs w:val="32"/>
          <w:lang w:val="en-US" w:eastAsia="zh-CN"/>
        </w:rPr>
        <w:t>19</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w:t>
      </w:r>
      <w:r>
        <w:rPr>
          <w:rFonts w:hint="eastAsia" w:eastAsia="仿宋_GB2312" w:cs="仿宋_GB2312"/>
          <w:sz w:val="32"/>
          <w:szCs w:val="32"/>
          <w:lang w:val="en-US" w:eastAsia="zh-CN"/>
        </w:rPr>
        <w:t>减少0.01</w:t>
      </w:r>
      <w:r>
        <w:rPr>
          <w:rFonts w:hint="eastAsia" w:eastAsia="仿宋_GB2312" w:cs="仿宋_GB2312"/>
          <w:sz w:val="32"/>
          <w:szCs w:val="32"/>
        </w:rPr>
        <w:t>万元。主要原因是公务用车购置及运行维护费</w:t>
      </w:r>
      <w:r>
        <w:rPr>
          <w:rFonts w:hint="eastAsia" w:eastAsia="仿宋_GB2312" w:cs="仿宋_GB2312"/>
          <w:sz w:val="32"/>
          <w:szCs w:val="32"/>
          <w:lang w:val="en-US" w:eastAsia="zh-CN"/>
        </w:rPr>
        <w:t>增加</w:t>
      </w:r>
      <w:r>
        <w:rPr>
          <w:rFonts w:hint="eastAsia" w:eastAsia="仿宋_GB2312" w:cs="仿宋_GB2312"/>
          <w:sz w:val="32"/>
          <w:szCs w:val="32"/>
          <w:lang w:eastAsia="zh-CN"/>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辆。截至2024年12月31日，单位共有公务用车</w:t>
      </w:r>
      <w:r>
        <w:rPr>
          <w:rFonts w:hint="eastAsia" w:eastAsia="仿宋_GB2312" w:cs="仿宋_GB2312"/>
          <w:sz w:val="32"/>
          <w:szCs w:val="32"/>
          <w:lang w:val="en-US" w:eastAsia="zh-CN"/>
        </w:rPr>
        <w:t>22</w:t>
      </w:r>
      <w:r>
        <w:rPr>
          <w:rFonts w:hint="eastAsia" w:eastAsia="仿宋_GB2312" w:cs="仿宋_GB2312"/>
          <w:sz w:val="32"/>
          <w:szCs w:val="32"/>
        </w:rPr>
        <w:t>辆，其中：执法执勤用车</w:t>
      </w:r>
      <w:r>
        <w:rPr>
          <w:rFonts w:hint="eastAsia" w:eastAsia="仿宋_GB2312" w:cs="仿宋_GB2312"/>
          <w:sz w:val="32"/>
          <w:szCs w:val="32"/>
          <w:lang w:val="en-US" w:eastAsia="zh-CN"/>
        </w:rPr>
        <w:t>10辆、其他用车12辆</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19</w:t>
      </w:r>
      <w:r>
        <w:rPr>
          <w:rFonts w:hint="eastAsia" w:eastAsia="仿宋_GB2312" w:cs="仿宋_GB2312"/>
          <w:sz w:val="32"/>
          <w:szCs w:val="32"/>
        </w:rPr>
        <w:t>万元。主要用于公路养护等工作所需的公务用车燃料费、维修费、过路过桥费、保险费等支出。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0.15</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公务接待费支出决算比2023年度</w:t>
      </w:r>
      <w:r>
        <w:rPr>
          <w:rFonts w:hint="eastAsia" w:eastAsia="仿宋_GB2312" w:cs="仿宋_GB2312"/>
          <w:sz w:val="32"/>
          <w:szCs w:val="32"/>
          <w:lang w:val="en-US" w:eastAsia="zh-CN"/>
        </w:rPr>
        <w:t>增加0.03</w:t>
      </w:r>
      <w:r>
        <w:rPr>
          <w:rFonts w:hint="eastAsia" w:eastAsia="仿宋_GB2312" w:cs="仿宋_GB2312"/>
          <w:sz w:val="32"/>
          <w:szCs w:val="32"/>
        </w:rPr>
        <w:t>万元，</w:t>
      </w:r>
      <w:r>
        <w:rPr>
          <w:rFonts w:hint="eastAsia" w:eastAsia="仿宋_GB2312" w:cs="仿宋_GB2312"/>
          <w:sz w:val="32"/>
          <w:szCs w:val="32"/>
          <w:lang w:val="en-US" w:eastAsia="zh-CN"/>
        </w:rPr>
        <w:t>增长25</w:t>
      </w:r>
      <w:r>
        <w:rPr>
          <w:rFonts w:hint="eastAsia" w:eastAsia="仿宋_GB2312" w:cs="仿宋_GB2312"/>
          <w:sz w:val="32"/>
          <w:szCs w:val="32"/>
        </w:rPr>
        <w:t>%。主要原因是</w:t>
      </w:r>
      <w:r>
        <w:rPr>
          <w:rFonts w:hint="eastAsia" w:eastAsia="仿宋_GB2312" w:cs="仿宋_GB2312"/>
          <w:sz w:val="32"/>
          <w:szCs w:val="32"/>
          <w:lang w:val="en-US" w:eastAsia="zh-CN"/>
        </w:rPr>
        <w:t>本年增加公务接待支出</w:t>
      </w:r>
      <w:r>
        <w:rPr>
          <w:rFonts w:hint="eastAsia" w:eastAsia="仿宋_GB2312" w:cs="仿宋_GB2312"/>
          <w:sz w:val="32"/>
          <w:szCs w:val="32"/>
        </w:rPr>
        <w:t>。其中：</w:t>
      </w:r>
    </w:p>
    <w:p>
      <w:pPr>
        <w:spacing w:line="600" w:lineRule="exact"/>
        <w:ind w:firstLine="640"/>
        <w:rPr>
          <w:rFonts w:hint="default" w:eastAsia="仿宋_GB2312" w:cs="仿宋_GB2312"/>
          <w:sz w:val="32"/>
          <w:szCs w:val="32"/>
          <w:highlight w:val="none"/>
          <w:lang w:val="en-US"/>
        </w:rPr>
      </w:pPr>
      <w:r>
        <w:rPr>
          <w:rFonts w:hint="eastAsia" w:eastAsia="仿宋_GB2312" w:cs="仿宋_GB2312"/>
          <w:sz w:val="32"/>
          <w:szCs w:val="32"/>
          <w:highlight w:val="none"/>
        </w:rPr>
        <w:t>国内公务接待支</w:t>
      </w:r>
      <w:r>
        <w:rPr>
          <w:rFonts w:hint="eastAsia" w:ascii="仿宋_GB2312" w:hAnsi="仿宋_GB2312" w:eastAsia="仿宋_GB2312" w:cs="仿宋_GB2312"/>
          <w:sz w:val="32"/>
          <w:szCs w:val="32"/>
          <w:highlight w:val="none"/>
        </w:rPr>
        <w:t>出</w:t>
      </w:r>
      <w:r>
        <w:rPr>
          <w:rFonts w:hint="eastAsia" w:ascii="Times New Roman" w:hAnsi="Times New Roman" w:eastAsia="仿宋_GB2312" w:cs="仿宋_GB2312"/>
          <w:sz w:val="32"/>
          <w:szCs w:val="32"/>
          <w:lang w:val="en-US" w:eastAsia="zh-CN"/>
        </w:rPr>
        <w:t>0.15万元，主要用于州公路局孟长春副局长一行5人到小金公路分局开展年终考核慰问工作、州公路局王军一行8人到小金公路分局开展全州国省干线公路第三、四季度考核工作、宜宾市公路一行5人到小金公路分局学习调研工作。国内公务接待3批次，18人</w:t>
      </w:r>
      <w:r>
        <w:rPr>
          <w:rFonts w:hint="eastAsia" w:eastAsia="仿宋_GB2312" w:cs="仿宋_GB2312"/>
          <w:sz w:val="32"/>
          <w:szCs w:val="32"/>
          <w:highlight w:val="none"/>
        </w:rPr>
        <w:t>次（不包括陪同人员），共计支出</w:t>
      </w:r>
      <w:r>
        <w:rPr>
          <w:rFonts w:hint="eastAsia" w:eastAsia="仿宋_GB2312" w:cs="仿宋_GB2312"/>
          <w:sz w:val="32"/>
          <w:szCs w:val="32"/>
          <w:highlight w:val="none"/>
          <w:lang w:val="en-US" w:eastAsia="zh-CN"/>
        </w:rPr>
        <w:t>0.15</w:t>
      </w:r>
      <w:r>
        <w:rPr>
          <w:rFonts w:hint="eastAsia" w:eastAsia="仿宋_GB2312" w:cs="仿宋_GB2312"/>
          <w:sz w:val="32"/>
          <w:szCs w:val="32"/>
          <w:highlight w:val="none"/>
        </w:rPr>
        <w:t>万元，具体内容包括：</w:t>
      </w:r>
      <w:r>
        <w:rPr>
          <w:rFonts w:hint="eastAsia" w:ascii="Times New Roman" w:hAnsi="Times New Roman" w:eastAsia="仿宋_GB2312" w:cs="仿宋_GB2312"/>
          <w:sz w:val="32"/>
          <w:szCs w:val="32"/>
          <w:lang w:val="en-US" w:eastAsia="zh-CN"/>
        </w:rPr>
        <w:t>州公路局孟长春副局长一行5人到小金公路分局开展年终考核慰问工作420元、州公路局王军一行8人到小金公路分局开展全州国省干线公路第三、四季度考核工作660元、宜宾市公路一行5人到小金公路分局学习调研工作420元</w:t>
      </w:r>
      <w:r>
        <w:rPr>
          <w:rFonts w:hint="eastAsia" w:eastAsia="仿宋_GB2312" w:cs="仿宋_GB2312"/>
          <w:sz w:val="32"/>
          <w:szCs w:val="32"/>
          <w:highlight w:val="none"/>
          <w:lang w:val="en-US"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bookmarkStart w:id="45" w:name="_Toc15377218"/>
      <w:bookmarkStart w:id="46" w:name="_Toc15396610"/>
      <w:r>
        <w:rPr>
          <w:rFonts w:hint="eastAsia" w:ascii="仿宋_GB2312" w:hAnsi="仿宋_GB2312" w:eastAsia="仿宋_GB2312" w:cs="仿宋_GB2312"/>
          <w:sz w:val="32"/>
          <w:szCs w:val="32"/>
          <w:lang w:eastAsia="zh-CN"/>
        </w:rPr>
        <w:t>。</w:t>
      </w:r>
    </w:p>
    <w:p>
      <w:pPr>
        <w:spacing w:line="600" w:lineRule="exact"/>
        <w:ind w:firstLine="640"/>
        <w:outlineLvl w:val="1"/>
        <w:rPr>
          <w:rStyle w:val="29"/>
          <w:rFonts w:ascii="Times New Roman" w:hAnsi="Times New Roman" w:eastAsia="黑体"/>
        </w:rPr>
      </w:pPr>
      <w:bookmarkStart w:id="47" w:name="_Toc23203"/>
      <w:r>
        <w:rPr>
          <w:rFonts w:hint="eastAsia" w:eastAsia="黑体"/>
          <w:sz w:val="32"/>
          <w:szCs w:val="32"/>
        </w:rPr>
        <w:t>八、</w:t>
      </w:r>
      <w:r>
        <w:rPr>
          <w:rStyle w:val="29"/>
          <w:rFonts w:hint="eastAsia" w:ascii="Times New Roman" w:hAnsi="Times New Roman" w:eastAsia="黑体"/>
          <w:b w:val="0"/>
        </w:rPr>
        <w:t>政府性基金预算支出决算情况说明</w:t>
      </w:r>
      <w:bookmarkEnd w:id="45"/>
      <w:bookmarkEnd w:id="46"/>
      <w:bookmarkEnd w:id="47"/>
    </w:p>
    <w:p>
      <w:pPr>
        <w:spacing w:line="600" w:lineRule="exact"/>
        <w:ind w:firstLine="640"/>
        <w:rPr>
          <w:rFonts w:hint="eastAsia"/>
          <w:lang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48" w:name="_Toc15396611"/>
      <w:bookmarkStart w:id="49" w:name="_Toc14890"/>
      <w:bookmarkStart w:id="50" w:name="_Toc15377219"/>
      <w:r>
        <w:rPr>
          <w:rStyle w:val="29"/>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hint="eastAsia"/>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1" w:name="_Toc15377221"/>
      <w:bookmarkStart w:id="52" w:name="_Toc15396612"/>
      <w:bookmarkStart w:id="53" w:name="_Toc17012"/>
      <w:r>
        <w:rPr>
          <w:rStyle w:val="29"/>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阿坝藏族羌族自治州公路管理局小金公路管理分局</w:t>
      </w:r>
      <w:r>
        <w:rPr>
          <w:rFonts w:hint="eastAsia" w:ascii="仿宋_GB2312" w:hAnsi="仿宋_GB2312" w:eastAsia="仿宋_GB2312" w:cs="仿宋_GB2312"/>
          <w:sz w:val="32"/>
          <w:szCs w:val="32"/>
        </w:rPr>
        <w:t>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highlight w:val="none"/>
        </w:rPr>
      </w:pPr>
      <w:bookmarkStart w:id="55" w:name="_Toc15377223"/>
      <w:r>
        <w:rPr>
          <w:rFonts w:hint="eastAsia" w:eastAsia="楷体_GB2312" w:cs="楷体_GB2312"/>
          <w:b/>
          <w:sz w:val="32"/>
          <w:szCs w:val="32"/>
        </w:rPr>
        <w:t>（</w:t>
      </w:r>
      <w:r>
        <w:rPr>
          <w:rFonts w:hint="eastAsia" w:eastAsia="楷体_GB2312" w:cs="楷体_GB2312"/>
          <w:b/>
          <w:sz w:val="32"/>
          <w:szCs w:val="32"/>
          <w:highlight w:val="none"/>
        </w:rPr>
        <w:t>二）政府采购支出情况</w:t>
      </w:r>
      <w:bookmarkEnd w:id="55"/>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highlight w:val="none"/>
        </w:rPr>
        <w:t>2024</w:t>
      </w:r>
      <w:r>
        <w:rPr>
          <w:rFonts w:hint="eastAsia" w:ascii="仿宋_GB2312" w:hAnsi="仿宋_GB2312" w:eastAsia="仿宋_GB2312" w:cs="仿宋_GB2312"/>
          <w:sz w:val="32"/>
          <w:szCs w:val="32"/>
          <w:highlight w:val="none"/>
        </w:rPr>
        <w:t>年度，</w:t>
      </w:r>
      <w:r>
        <w:rPr>
          <w:rFonts w:hint="eastAsia" w:ascii="仿宋_GB2312" w:hAnsi="仿宋_GB2312" w:eastAsia="仿宋_GB2312" w:cs="仿宋_GB2312"/>
          <w:sz w:val="32"/>
          <w:szCs w:val="32"/>
          <w:highlight w:val="none"/>
          <w:lang w:val="en-US" w:eastAsia="zh-CN"/>
        </w:rPr>
        <w:t>阿坝藏族羌族自治州公路管理局小金公路管理分局</w:t>
      </w:r>
      <w:r>
        <w:rPr>
          <w:rFonts w:hint="eastAsia" w:ascii="仿宋_GB2312" w:hAnsi="仿宋_GB2312" w:eastAsia="仿宋_GB2312" w:cs="仿宋_GB2312"/>
          <w:sz w:val="32"/>
          <w:szCs w:val="32"/>
          <w:highlight w:val="none"/>
        </w:rPr>
        <w:t>政府采购支出</w:t>
      </w:r>
      <w:r>
        <w:rPr>
          <w:rFonts w:hint="eastAsia" w:ascii="仿宋_GB2312" w:hAnsi="仿宋_GB2312" w:eastAsia="仿宋_GB2312" w:cs="仿宋_GB2312"/>
          <w:sz w:val="32"/>
          <w:szCs w:val="32"/>
        </w:rPr>
        <w:t>总额</w:t>
      </w:r>
      <w:r>
        <w:rPr>
          <w:rFonts w:hint="eastAsia" w:eastAsia="仿宋_GB2312" w:cs="仿宋_GB2312"/>
          <w:sz w:val="32"/>
          <w:szCs w:val="32"/>
          <w:lang w:val="en-US" w:eastAsia="zh-CN"/>
        </w:rPr>
        <w:t>81.72</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lang w:val="en-US" w:eastAsia="zh-CN"/>
        </w:rPr>
        <w:t>59.3</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w:t>
      </w:r>
      <w:r>
        <w:rPr>
          <w:rFonts w:hint="eastAsia" w:ascii="仿宋_GB2312" w:hAnsi="仿宋_GB2312" w:eastAsia="仿宋_GB2312" w:cs="仿宋_GB2312"/>
          <w:sz w:val="32"/>
          <w:szCs w:val="32"/>
          <w:lang w:val="en-US" w:eastAsia="zh-CN"/>
        </w:rPr>
        <w:t>出</w:t>
      </w:r>
      <w:r>
        <w:rPr>
          <w:rFonts w:hint="eastAsia" w:eastAsia="仿宋_GB2312" w:cs="仿宋_GB2312"/>
          <w:sz w:val="32"/>
          <w:szCs w:val="32"/>
          <w:lang w:val="en-US" w:eastAsia="zh-CN"/>
        </w:rPr>
        <w:t>22.42</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单位日常工作开展</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w:t>
      </w:r>
      <w:r>
        <w:rPr>
          <w:rFonts w:hint="eastAsia" w:eastAsia="仿宋_GB2312" w:cs="仿宋_GB2312"/>
          <w:sz w:val="32"/>
          <w:szCs w:val="32"/>
          <w:lang w:val="en-US" w:eastAsia="zh-CN"/>
        </w:rPr>
        <w:t>至2024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highlight w:val="none"/>
          <w:lang w:val="en-US" w:eastAsia="zh-CN"/>
        </w:rPr>
        <w:t>阿坝藏族羌族自治州公路管理局小金公路管理分局</w:t>
      </w:r>
      <w:r>
        <w:rPr>
          <w:rFonts w:hint="eastAsia" w:ascii="仿宋_GB2312" w:hAnsi="仿宋_GB2312" w:eastAsia="仿宋_GB2312" w:cs="仿宋_GB2312"/>
          <w:sz w:val="32"/>
          <w:szCs w:val="32"/>
        </w:rPr>
        <w:t>共有车辆</w:t>
      </w:r>
      <w:r>
        <w:rPr>
          <w:rFonts w:hint="eastAsia" w:eastAsia="仿宋_GB2312" w:cs="仿宋_GB2312"/>
          <w:sz w:val="32"/>
          <w:szCs w:val="32"/>
          <w:lang w:val="en-US" w:eastAsia="zh-CN"/>
        </w:rPr>
        <w:t>22</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w:t>
      </w:r>
      <w:r>
        <w:rPr>
          <w:rFonts w:hint="eastAsia" w:eastAsia="仿宋_GB2312" w:cs="仿宋_GB2312"/>
          <w:sz w:val="32"/>
          <w:szCs w:val="32"/>
          <w:lang w:eastAsia="zh-CN"/>
        </w:rPr>
        <w:t>特种专业技术用车</w:t>
      </w:r>
      <w:r>
        <w:rPr>
          <w:rFonts w:hint="eastAsia" w:eastAsia="仿宋_GB2312" w:cs="仿宋_GB2312"/>
          <w:sz w:val="32"/>
          <w:szCs w:val="32"/>
          <w:lang w:val="en-US" w:eastAsia="zh-CN"/>
        </w:rPr>
        <w:t>0辆、执法执勤用车10辆、</w:t>
      </w:r>
      <w:r>
        <w:rPr>
          <w:rFonts w:hint="eastAsia" w:ascii="仿宋_GB2312" w:hAnsi="仿宋_GB2312" w:eastAsia="仿宋_GB2312" w:cs="仿宋_GB2312"/>
          <w:sz w:val="32"/>
          <w:szCs w:val="32"/>
        </w:rPr>
        <w:t>其他用车</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w:t>
      </w:r>
      <w:r>
        <w:rPr>
          <w:rFonts w:hint="eastAsia" w:ascii="仿宋_GB2312" w:hAnsi="仿宋_GB2312" w:eastAsia="仿宋_GB2312" w:cs="仿宋_GB2312"/>
          <w:sz w:val="32"/>
          <w:szCs w:val="32"/>
          <w:highlight w:val="none"/>
          <w:lang w:val="en-US" w:eastAsia="zh-CN"/>
        </w:rPr>
        <w:t>阿坝藏族羌族自治州公路管理局小金公路管理分局</w:t>
      </w:r>
      <w:r>
        <w:rPr>
          <w:rFonts w:hint="eastAsia" w:eastAsia="仿宋_GB2312" w:cs="仿宋_GB2312"/>
          <w:sz w:val="32"/>
          <w:szCs w:val="32"/>
        </w:rPr>
        <w:t>在2024年度预算编制阶段，组织对小修保养（小金分局）</w:t>
      </w:r>
      <w:r>
        <w:rPr>
          <w:rFonts w:hint="eastAsia" w:eastAsia="仿宋_GB2312" w:cs="仿宋_GB2312"/>
          <w:sz w:val="32"/>
          <w:szCs w:val="32"/>
          <w:lang w:eastAsia="zh-CN"/>
        </w:rPr>
        <w:t>、交调站维护费（小金分局）、小金公路分局养护机械运行维护费、小金公路管理分局八一建军节慰问费、巴朗山隧道管理经费（2024年）、小金公路分局退休人员春节慰问</w:t>
      </w:r>
      <w:r>
        <w:rPr>
          <w:rFonts w:hint="eastAsia" w:eastAsia="仿宋_GB2312" w:cs="仿宋_GB2312"/>
          <w:sz w:val="32"/>
          <w:szCs w:val="32"/>
          <w:lang w:val="en-US" w:eastAsia="zh-CN"/>
        </w:rPr>
        <w:t>费、小金公路分局水毁应急抢险7</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7</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7</w:t>
      </w:r>
      <w:r>
        <w:rPr>
          <w:rFonts w:hint="eastAsia" w:eastAsia="仿宋_GB2312" w:cs="仿宋_GB2312"/>
          <w:sz w:val="32"/>
          <w:szCs w:val="32"/>
        </w:rPr>
        <w:t>个项目开展绩效监控</w:t>
      </w:r>
      <w:r>
        <w:rPr>
          <w:rFonts w:hint="eastAsia" w:eastAsia="仿宋_GB2312" w:cs="仿宋_GB2312"/>
          <w:sz w:val="32"/>
          <w:szCs w:val="32"/>
          <w:lang w:eastAsia="zh-CN"/>
        </w:rPr>
        <w:t>，</w:t>
      </w:r>
      <w:r>
        <w:rPr>
          <w:rFonts w:hint="eastAsia" w:eastAsia="仿宋_GB2312" w:cs="仿宋_GB2312"/>
          <w:sz w:val="32"/>
          <w:szCs w:val="32"/>
        </w:rPr>
        <w:t>组织对</w:t>
      </w:r>
      <w:r>
        <w:rPr>
          <w:rFonts w:hint="eastAsia" w:eastAsia="仿宋_GB2312" w:cs="仿宋_GB2312"/>
          <w:sz w:val="32"/>
          <w:szCs w:val="32"/>
          <w:lang w:val="en-US" w:eastAsia="zh-CN"/>
        </w:rPr>
        <w:t>7</w:t>
      </w:r>
      <w:r>
        <w:rPr>
          <w:rFonts w:hint="eastAsia" w:eastAsia="仿宋_GB2312" w:cs="仿宋_GB2312"/>
          <w:sz w:val="32"/>
          <w:szCs w:val="32"/>
        </w:rPr>
        <w:t>个项目开展绩效自评，绩效自评表详见第四部分附件。</w:t>
      </w:r>
    </w:p>
    <w:p>
      <w:pPr>
        <w:spacing w:line="600" w:lineRule="exact"/>
        <w:ind w:firstLine="640"/>
        <w:rPr>
          <w:rFonts w:eastAsia="仿宋_GB2312" w:cs="仿宋_GB2312"/>
          <w:sz w:val="32"/>
          <w:szCs w:val="32"/>
        </w:rPr>
      </w:pPr>
    </w:p>
    <w:p>
      <w:pPr>
        <w:pStyle w:val="13"/>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rPr>
          <w:rFonts w:eastAsia="仿宋_GB2312" w:cs="仿宋_GB2312"/>
          <w:sz w:val="32"/>
          <w:szCs w:val="32"/>
        </w:rPr>
      </w:pPr>
    </w:p>
    <w:p>
      <w:pPr>
        <w:pStyle w:val="7"/>
        <w:ind w:left="0" w:leftChars="0" w:firstLine="0" w:firstLineChars="0"/>
        <w:rPr>
          <w:rFonts w:eastAsia="仿宋_GB2312" w:cs="仿宋_GB2312"/>
          <w:sz w:val="32"/>
          <w:szCs w:val="32"/>
        </w:rPr>
      </w:pPr>
    </w:p>
    <w:p>
      <w:pPr>
        <w:pStyle w:val="13"/>
      </w:pPr>
    </w:p>
    <w:p>
      <w:pPr>
        <w:spacing w:line="600" w:lineRule="exact"/>
        <w:jc w:val="center"/>
        <w:outlineLvl w:val="0"/>
        <w:rPr>
          <w:rFonts w:eastAsia="黑体"/>
          <w:sz w:val="44"/>
          <w:szCs w:val="44"/>
        </w:rPr>
      </w:pPr>
      <w:bookmarkStart w:id="57" w:name="_Toc15377225"/>
      <w:bookmarkStart w:id="58" w:name="_Toc15396613"/>
      <w:bookmarkStart w:id="59" w:name="_Toc24234"/>
      <w:r>
        <w:rPr>
          <w:rFonts w:hint="eastAsia" w:eastAsia="黑体"/>
          <w:sz w:val="44"/>
          <w:szCs w:val="44"/>
        </w:rPr>
        <w:t>第三部分  名词解释</w:t>
      </w:r>
      <w:bookmarkEnd w:id="57"/>
      <w:bookmarkEnd w:id="58"/>
      <w:bookmarkEnd w:id="59"/>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.社会保障和就业支出（类）行政事业单位养老支出（款）事业单位</w:t>
      </w:r>
      <w:r>
        <w:rPr>
          <w:rFonts w:hint="eastAsia" w:eastAsia="仿宋_GB2312" w:cs="仿宋_GB2312"/>
          <w:sz w:val="32"/>
          <w:szCs w:val="32"/>
          <w:lang w:val="en-US" w:eastAsia="zh-CN"/>
        </w:rPr>
        <w:t>离退休</w:t>
      </w:r>
      <w:r>
        <w:rPr>
          <w:rFonts w:hint="eastAsia" w:eastAsia="仿宋_GB2312" w:cs="仿宋_GB2312"/>
          <w:sz w:val="32"/>
          <w:szCs w:val="32"/>
        </w:rPr>
        <w:t>（项）：指</w:t>
      </w:r>
      <w:r>
        <w:rPr>
          <w:rFonts w:hint="eastAsia" w:ascii="宋体" w:hAnsi="宋体" w:eastAsia="仿宋_GB2312" w:cs="仿宋_GB2312"/>
          <w:sz w:val="32"/>
          <w:szCs w:val="32"/>
        </w:rPr>
        <w:t>反映事业单位开支的离退休经费</w:t>
      </w:r>
      <w:r>
        <w:rPr>
          <w:rFonts w:hint="eastAsia" w:eastAsia="仿宋_GB2312" w:cs="仿宋_GB2312"/>
          <w:sz w:val="32"/>
          <w:szCs w:val="32"/>
        </w:rPr>
        <w:t>。</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 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.住房保障支出（类）住房改革支出（款）购房补贴（项）：指反映按房改政策规定，行政事业单位向符合条</w:t>
      </w:r>
      <w:r>
        <w:rPr>
          <w:rFonts w:hint="eastAsia" w:eastAsia="仿宋_GB2312" w:cs="仿宋_GB2312"/>
          <w:sz w:val="32"/>
          <w:szCs w:val="32"/>
          <w:lang w:eastAsia="zh-CN"/>
        </w:rPr>
        <w:t>件的</w:t>
      </w:r>
      <w:r>
        <w:rPr>
          <w:rFonts w:hint="eastAsia" w:eastAsia="仿宋_GB2312" w:cs="仿宋_GB2312"/>
          <w:sz w:val="32"/>
          <w:szCs w:val="32"/>
        </w:rPr>
        <w:t>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12</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eastAsia="黑体"/>
          <w:b w:val="0"/>
          <w:bCs/>
        </w:rPr>
      </w:pPr>
      <w:bookmarkStart w:id="60" w:name="_Toc15377226"/>
      <w:r>
        <w:rPr>
          <w:rFonts w:hint="eastAsia" w:eastAsia="仿宋_GB2312" w:cs="仿宋_GB2312"/>
          <w:szCs w:val="32"/>
        </w:rPr>
        <w:br w:type="page"/>
      </w:r>
      <w:bookmarkStart w:id="61" w:name="_Toc11707"/>
      <w:bookmarkStart w:id="62" w:name="_Toc15396614"/>
      <w:r>
        <w:rPr>
          <w:rFonts w:hint="eastAsia" w:eastAsia="黑体"/>
          <w:sz w:val="44"/>
          <w:szCs w:val="44"/>
        </w:rPr>
        <w:t>第四部分  附件</w:t>
      </w:r>
      <w:bookmarkEnd w:id="61"/>
      <w:bookmarkEnd w:id="62"/>
    </w:p>
    <w:p>
      <w:pPr>
        <w:pStyle w:val="2"/>
        <w:spacing w:before="93"/>
        <w:jc w:val="center"/>
        <w:rPr>
          <w:rFonts w:ascii="Times New Roman" w:cs="宋体"/>
          <w:color w:val="auto"/>
          <w:sz w:val="32"/>
          <w:szCs w:val="32"/>
          <w:highlight w:val="none"/>
          <w:shd w:val="clear" w:color="auto" w:fill="FFFFFF"/>
          <w:lang w:val="zh-CN"/>
        </w:rPr>
      </w:pPr>
      <w:r>
        <w:rPr>
          <w:rFonts w:hint="eastAsia" w:ascii="Times New Roman" w:cs="宋体"/>
          <w:color w:val="auto"/>
          <w:sz w:val="32"/>
          <w:szCs w:val="32"/>
          <w:highlight w:val="none"/>
          <w:shd w:val="clear" w:color="auto" w:fill="FFFFFF"/>
          <w:lang w:val="zh-CN"/>
        </w:rPr>
        <w:t>单位预算项目支出绩效自评表（202</w:t>
      </w:r>
      <w:r>
        <w:rPr>
          <w:rFonts w:hint="eastAsia" w:ascii="Times New Roman" w:cs="宋体"/>
          <w:color w:val="auto"/>
          <w:sz w:val="32"/>
          <w:szCs w:val="32"/>
          <w:highlight w:val="none"/>
          <w:shd w:val="clear" w:color="auto" w:fill="FFFFFF"/>
          <w:lang w:val="en-US" w:eastAsia="zh-CN"/>
        </w:rPr>
        <w:t>4</w:t>
      </w:r>
      <w:r>
        <w:rPr>
          <w:rFonts w:hint="eastAsia" w:ascii="Times New Roman" w:cs="宋体"/>
          <w:color w:val="auto"/>
          <w:sz w:val="32"/>
          <w:szCs w:val="32"/>
          <w:highlight w:val="none"/>
          <w:shd w:val="clear" w:color="auto" w:fill="FFFFFF"/>
          <w:lang w:val="zh-CN"/>
        </w:rPr>
        <w:t>年度）</w:t>
      </w:r>
    </w:p>
    <w:p>
      <w:pPr>
        <w:jc w:val="both"/>
      </w:pPr>
      <w:r>
        <w:drawing>
          <wp:anchor distT="0" distB="0" distL="114300" distR="114300" simplePos="0" relativeHeight="251670528" behindDoc="0" locked="0" layoutInCell="1" allowOverlap="1">
            <wp:simplePos x="0" y="0"/>
            <wp:positionH relativeFrom="column">
              <wp:posOffset>-242570</wp:posOffset>
            </wp:positionH>
            <wp:positionV relativeFrom="paragraph">
              <wp:posOffset>10795</wp:posOffset>
            </wp:positionV>
            <wp:extent cx="5760720" cy="6346825"/>
            <wp:effectExtent l="0" t="0" r="11430" b="1587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6"/>
                    <a:stretch>
                      <a:fillRect/>
                    </a:stretch>
                  </pic:blipFill>
                  <pic:spPr>
                    <a:xfrm>
                      <a:off x="0" y="0"/>
                      <a:ext cx="5760720" cy="6346825"/>
                    </a:xfrm>
                    <a:prstGeom prst="rect">
                      <a:avLst/>
                    </a:prstGeom>
                    <a:noFill/>
                    <a:ln>
                      <a:noFill/>
                    </a:ln>
                  </pic:spPr>
                </pic:pic>
              </a:graphicData>
            </a:graphic>
          </wp:anchor>
        </w:drawing>
      </w:r>
    </w:p>
    <w:p>
      <w:pPr>
        <w:jc w:val="both"/>
      </w:pPr>
    </w:p>
    <w:p>
      <w:pPr>
        <w:jc w:val="both"/>
        <w:rPr>
          <w:rFonts w:eastAsia="黑体" w:cs="黑体"/>
          <w:kern w:val="0"/>
          <w:sz w:val="32"/>
          <w:szCs w:val="32"/>
          <w:shd w:val="clear" w:color="auto" w:fill="FFFFFF"/>
          <w:lang w:val="zh-CN"/>
        </w:rPr>
      </w:pPr>
      <w:r>
        <w:rPr>
          <w:rFonts w:hint="eastAsia" w:eastAsia="黑体" w:cs="黑体"/>
          <w:kern w:val="0"/>
          <w:sz w:val="32"/>
          <w:szCs w:val="32"/>
          <w:shd w:val="clear" w:color="auto" w:fill="FFFFFF"/>
          <w:lang w:val="zh-CN"/>
        </w:rPr>
        <w:br w:type="page"/>
      </w:r>
    </w:p>
    <w:p>
      <w:pPr>
        <w:spacing w:line="600" w:lineRule="exact"/>
        <w:jc w:val="center"/>
        <w:outlineLvl w:val="0"/>
        <w:rPr>
          <w:rFonts w:hint="eastAsia" w:eastAsia="黑体"/>
          <w:sz w:val="44"/>
          <w:szCs w:val="44"/>
        </w:rPr>
      </w:pPr>
      <w:bookmarkStart w:id="63" w:name="_Toc15396618"/>
      <w:r>
        <w:drawing>
          <wp:anchor distT="0" distB="0" distL="114300" distR="114300" simplePos="0" relativeHeight="251672576" behindDoc="1" locked="0" layoutInCell="1" allowOverlap="1">
            <wp:simplePos x="0" y="0"/>
            <wp:positionH relativeFrom="column">
              <wp:posOffset>-250825</wp:posOffset>
            </wp:positionH>
            <wp:positionV relativeFrom="paragraph">
              <wp:posOffset>4867910</wp:posOffset>
            </wp:positionV>
            <wp:extent cx="5776595" cy="3830955"/>
            <wp:effectExtent l="0" t="0" r="14605" b="17145"/>
            <wp:wrapTight wrapText="bothSides">
              <wp:wrapPolygon>
                <wp:start x="0" y="0"/>
                <wp:lineTo x="0" y="21482"/>
                <wp:lineTo x="21512" y="21482"/>
                <wp:lineTo x="21512"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5776595" cy="3830955"/>
                    </a:xfrm>
                    <a:prstGeom prst="rect">
                      <a:avLst/>
                    </a:prstGeom>
                    <a:noFill/>
                    <a:ln>
                      <a:noFill/>
                    </a:ln>
                  </pic:spPr>
                </pic:pic>
              </a:graphicData>
            </a:graphic>
          </wp:anchor>
        </w:drawing>
      </w:r>
      <w:r>
        <w:drawing>
          <wp:anchor distT="0" distB="0" distL="114300" distR="114300" simplePos="0" relativeHeight="251671552" behindDoc="1" locked="0" layoutInCell="1" allowOverlap="1">
            <wp:simplePos x="0" y="0"/>
            <wp:positionH relativeFrom="column">
              <wp:posOffset>-225425</wp:posOffset>
            </wp:positionH>
            <wp:positionV relativeFrom="paragraph">
              <wp:posOffset>193675</wp:posOffset>
            </wp:positionV>
            <wp:extent cx="5742940" cy="4549140"/>
            <wp:effectExtent l="0" t="0" r="10160" b="60960"/>
            <wp:wrapTight wrapText="bothSides">
              <wp:wrapPolygon>
                <wp:start x="0" y="0"/>
                <wp:lineTo x="0" y="21528"/>
                <wp:lineTo x="21495" y="21528"/>
                <wp:lineTo x="21495" y="0"/>
                <wp:lineTo x="0" y="0"/>
              </wp:wrapPolygon>
            </wp:wrapTight>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742940" cy="454914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4624" behindDoc="1" locked="0" layoutInCell="1" allowOverlap="1">
            <wp:simplePos x="0" y="0"/>
            <wp:positionH relativeFrom="column">
              <wp:posOffset>-267970</wp:posOffset>
            </wp:positionH>
            <wp:positionV relativeFrom="paragraph">
              <wp:posOffset>4563110</wp:posOffset>
            </wp:positionV>
            <wp:extent cx="5811520" cy="4121150"/>
            <wp:effectExtent l="0" t="0" r="17780" b="0"/>
            <wp:wrapTight wrapText="bothSides">
              <wp:wrapPolygon>
                <wp:start x="0" y="0"/>
                <wp:lineTo x="0" y="21467"/>
                <wp:lineTo x="21524" y="21467"/>
                <wp:lineTo x="21524" y="0"/>
                <wp:lineTo x="0" y="0"/>
              </wp:wrapPolygon>
            </wp:wrapTight>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9"/>
                    <a:stretch>
                      <a:fillRect/>
                    </a:stretch>
                  </pic:blipFill>
                  <pic:spPr>
                    <a:xfrm>
                      <a:off x="0" y="0"/>
                      <a:ext cx="5811520" cy="4121150"/>
                    </a:xfrm>
                    <a:prstGeom prst="rect">
                      <a:avLst/>
                    </a:prstGeom>
                    <a:noFill/>
                    <a:ln>
                      <a:noFill/>
                    </a:ln>
                  </pic:spPr>
                </pic:pic>
              </a:graphicData>
            </a:graphic>
          </wp:anchor>
        </w:drawing>
      </w:r>
      <w:r>
        <w:drawing>
          <wp:anchor distT="0" distB="0" distL="114300" distR="114300" simplePos="0" relativeHeight="251673600" behindDoc="1" locked="0" layoutInCell="1" allowOverlap="1">
            <wp:simplePos x="0" y="0"/>
            <wp:positionH relativeFrom="column">
              <wp:posOffset>-224790</wp:posOffset>
            </wp:positionH>
            <wp:positionV relativeFrom="paragraph">
              <wp:posOffset>124460</wp:posOffset>
            </wp:positionV>
            <wp:extent cx="5742940" cy="4140200"/>
            <wp:effectExtent l="0" t="0" r="10160" b="0"/>
            <wp:wrapTight wrapText="bothSides">
              <wp:wrapPolygon>
                <wp:start x="0" y="0"/>
                <wp:lineTo x="0" y="21467"/>
                <wp:lineTo x="21495" y="21467"/>
                <wp:lineTo x="21495"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5742940" cy="4140200"/>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r>
        <w:drawing>
          <wp:anchor distT="0" distB="0" distL="114300" distR="114300" simplePos="0" relativeHeight="251676672" behindDoc="1" locked="0" layoutInCell="1" allowOverlap="1">
            <wp:simplePos x="0" y="0"/>
            <wp:positionH relativeFrom="column">
              <wp:posOffset>-294640</wp:posOffset>
            </wp:positionH>
            <wp:positionV relativeFrom="paragraph">
              <wp:posOffset>4618990</wp:posOffset>
            </wp:positionV>
            <wp:extent cx="5855335" cy="4023995"/>
            <wp:effectExtent l="0" t="0" r="12065" b="0"/>
            <wp:wrapTight wrapText="bothSides">
              <wp:wrapPolygon>
                <wp:start x="0" y="0"/>
                <wp:lineTo x="0" y="21474"/>
                <wp:lineTo x="21504" y="21474"/>
                <wp:lineTo x="21504" y="0"/>
                <wp:lineTo x="0" y="0"/>
              </wp:wrapPolygon>
            </wp:wrapTight>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1"/>
                    <a:stretch>
                      <a:fillRect/>
                    </a:stretch>
                  </pic:blipFill>
                  <pic:spPr>
                    <a:xfrm>
                      <a:off x="0" y="0"/>
                      <a:ext cx="5855335" cy="4023995"/>
                    </a:xfrm>
                    <a:prstGeom prst="rect">
                      <a:avLst/>
                    </a:prstGeom>
                    <a:noFill/>
                    <a:ln>
                      <a:noFill/>
                    </a:ln>
                  </pic:spPr>
                </pic:pic>
              </a:graphicData>
            </a:graphic>
          </wp:anchor>
        </w:drawing>
      </w:r>
      <w:r>
        <w:drawing>
          <wp:anchor distT="0" distB="0" distL="114300" distR="114300" simplePos="0" relativeHeight="251675648" behindDoc="1" locked="0" layoutInCell="1" allowOverlap="1">
            <wp:simplePos x="0" y="0"/>
            <wp:positionH relativeFrom="column">
              <wp:posOffset>-250825</wp:posOffset>
            </wp:positionH>
            <wp:positionV relativeFrom="paragraph">
              <wp:posOffset>107315</wp:posOffset>
            </wp:positionV>
            <wp:extent cx="5786755" cy="4232275"/>
            <wp:effectExtent l="0" t="0" r="4445" b="0"/>
            <wp:wrapTight wrapText="bothSides">
              <wp:wrapPolygon>
                <wp:start x="0" y="0"/>
                <wp:lineTo x="0" y="21487"/>
                <wp:lineTo x="21545" y="21487"/>
                <wp:lineTo x="21545" y="0"/>
                <wp:lineTo x="0"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2"/>
                    <a:stretch>
                      <a:fillRect/>
                    </a:stretch>
                  </pic:blipFill>
                  <pic:spPr>
                    <a:xfrm>
                      <a:off x="0" y="0"/>
                      <a:ext cx="5786755" cy="4232275"/>
                    </a:xfrm>
                    <a:prstGeom prst="rect">
                      <a:avLst/>
                    </a:prstGeom>
                    <a:noFill/>
                    <a:ln>
                      <a:noFill/>
                    </a:ln>
                  </pic:spPr>
                </pic:pic>
              </a:graphicData>
            </a:graphic>
          </wp:anchor>
        </w:drawing>
      </w:r>
    </w:p>
    <w:p>
      <w:pPr>
        <w:spacing w:line="600" w:lineRule="exact"/>
        <w:jc w:val="center"/>
        <w:outlineLvl w:val="0"/>
        <w:rPr>
          <w:rFonts w:hint="eastAsia" w:eastAsia="黑体"/>
          <w:sz w:val="44"/>
          <w:szCs w:val="44"/>
        </w:rPr>
      </w:pPr>
      <w:bookmarkStart w:id="64" w:name="_Toc27363"/>
      <w:r>
        <w:rPr>
          <w:rFonts w:hint="eastAsia" w:eastAsia="黑体"/>
          <w:sz w:val="44"/>
          <w:szCs w:val="44"/>
        </w:rPr>
        <w:t>第五部分 附表</w:t>
      </w:r>
      <w:bookmarkEnd w:id="60"/>
      <w:bookmarkEnd w:id="63"/>
      <w:bookmarkEnd w:id="64"/>
      <w:bookmarkStart w:id="65" w:name="_Toc15396619"/>
    </w:p>
    <w:p>
      <w:pPr>
        <w:pStyle w:val="14"/>
        <w:adjustRightInd w:val="0"/>
        <w:snapToGrid w:val="0"/>
        <w:spacing w:line="560" w:lineRule="exact"/>
        <w:jc w:val="left"/>
        <w:rPr>
          <w:rFonts w:eastAsia="仿宋_GB2312" w:cs="仿宋_GB2312"/>
          <w:sz w:val="32"/>
          <w:szCs w:val="32"/>
        </w:rPr>
      </w:pPr>
    </w:p>
    <w:p>
      <w:pPr>
        <w:pStyle w:val="4"/>
        <w:rPr>
          <w:rStyle w:val="37"/>
          <w:rFonts w:hint="eastAsia" w:ascii="仿宋" w:hAnsi="仿宋" w:eastAsia="仿宋"/>
          <w:b w:val="0"/>
          <w:bCs w:val="0"/>
        </w:rPr>
      </w:pPr>
      <w:bookmarkStart w:id="66" w:name="_Toc14128"/>
      <w:r>
        <w:rPr>
          <w:rStyle w:val="37"/>
          <w:rFonts w:hint="eastAsia" w:ascii="仿宋" w:hAnsi="仿宋" w:eastAsia="仿宋"/>
          <w:b w:val="0"/>
          <w:bCs w:val="0"/>
        </w:rPr>
        <w:t>一、收入支出决算总表</w:t>
      </w:r>
      <w:bookmarkEnd w:id="65"/>
      <w:bookmarkEnd w:id="66"/>
    </w:p>
    <w:p>
      <w:pPr>
        <w:pStyle w:val="4"/>
        <w:rPr>
          <w:rStyle w:val="37"/>
          <w:rFonts w:hint="eastAsia" w:ascii="仿宋" w:hAnsi="仿宋" w:eastAsia="仿宋"/>
          <w:b w:val="0"/>
          <w:bCs w:val="0"/>
        </w:rPr>
      </w:pPr>
      <w:bookmarkStart w:id="67" w:name="_Toc15396620"/>
      <w:bookmarkStart w:id="68" w:name="_Toc9008"/>
      <w:r>
        <w:rPr>
          <w:rStyle w:val="37"/>
          <w:rFonts w:hint="eastAsia" w:ascii="仿宋" w:hAnsi="仿宋" w:eastAsia="仿宋"/>
          <w:b w:val="0"/>
          <w:bCs w:val="0"/>
        </w:rPr>
        <w:t>二、收入决算表</w:t>
      </w:r>
      <w:bookmarkEnd w:id="67"/>
      <w:bookmarkEnd w:id="68"/>
    </w:p>
    <w:p>
      <w:pPr>
        <w:pStyle w:val="4"/>
        <w:rPr>
          <w:rStyle w:val="37"/>
          <w:rFonts w:hint="eastAsia" w:ascii="仿宋" w:hAnsi="仿宋" w:eastAsia="仿宋"/>
          <w:b w:val="0"/>
          <w:bCs w:val="0"/>
        </w:rPr>
      </w:pPr>
      <w:bookmarkStart w:id="69" w:name="_Toc15396621"/>
      <w:bookmarkStart w:id="70" w:name="_Toc4521"/>
      <w:r>
        <w:rPr>
          <w:rStyle w:val="37"/>
          <w:rFonts w:hint="eastAsia" w:ascii="仿宋" w:hAnsi="仿宋" w:eastAsia="仿宋"/>
          <w:b w:val="0"/>
          <w:bCs w:val="0"/>
        </w:rPr>
        <w:t>三、支出决算表</w:t>
      </w:r>
      <w:bookmarkEnd w:id="69"/>
      <w:bookmarkEnd w:id="70"/>
    </w:p>
    <w:p>
      <w:pPr>
        <w:pStyle w:val="4"/>
        <w:rPr>
          <w:rStyle w:val="37"/>
          <w:rFonts w:hint="eastAsia" w:ascii="仿宋" w:hAnsi="仿宋" w:eastAsia="仿宋"/>
          <w:b w:val="0"/>
          <w:bCs w:val="0"/>
        </w:rPr>
      </w:pPr>
      <w:bookmarkStart w:id="71" w:name="_Toc32579"/>
      <w:bookmarkStart w:id="72" w:name="_Toc15396622"/>
      <w:r>
        <w:rPr>
          <w:rStyle w:val="37"/>
          <w:rFonts w:hint="eastAsia" w:ascii="仿宋" w:hAnsi="仿宋" w:eastAsia="仿宋"/>
          <w:b w:val="0"/>
          <w:bCs w:val="0"/>
        </w:rPr>
        <w:t>四、财政拨款收入支出决算总表</w:t>
      </w:r>
      <w:bookmarkEnd w:id="71"/>
      <w:bookmarkEnd w:id="72"/>
    </w:p>
    <w:p>
      <w:pPr>
        <w:pStyle w:val="4"/>
        <w:rPr>
          <w:rStyle w:val="37"/>
          <w:rFonts w:hint="eastAsia" w:ascii="仿宋" w:hAnsi="仿宋" w:eastAsia="仿宋"/>
          <w:b w:val="0"/>
          <w:bCs w:val="0"/>
        </w:rPr>
      </w:pPr>
      <w:bookmarkStart w:id="73" w:name="_Toc23065"/>
      <w:bookmarkStart w:id="74" w:name="_Toc15396623"/>
      <w:r>
        <w:rPr>
          <w:rStyle w:val="37"/>
          <w:rFonts w:hint="eastAsia" w:ascii="仿宋" w:hAnsi="仿宋" w:eastAsia="仿宋"/>
          <w:b w:val="0"/>
          <w:bCs w:val="0"/>
        </w:rPr>
        <w:t>五、财政拨款支出决算明细表</w:t>
      </w:r>
      <w:bookmarkEnd w:id="73"/>
      <w:bookmarkEnd w:id="74"/>
      <w:bookmarkStart w:id="75" w:name="_Toc15396624"/>
    </w:p>
    <w:p>
      <w:pPr>
        <w:pStyle w:val="4"/>
        <w:rPr>
          <w:rStyle w:val="37"/>
          <w:rFonts w:hint="eastAsia" w:ascii="仿宋" w:hAnsi="仿宋" w:eastAsia="仿宋"/>
          <w:b w:val="0"/>
          <w:bCs w:val="0"/>
        </w:rPr>
      </w:pPr>
      <w:bookmarkStart w:id="76" w:name="_Toc12952"/>
      <w:r>
        <w:rPr>
          <w:rStyle w:val="37"/>
          <w:rFonts w:hint="eastAsia" w:ascii="仿宋" w:hAnsi="仿宋" w:eastAsia="仿宋"/>
          <w:b w:val="0"/>
          <w:bCs w:val="0"/>
        </w:rPr>
        <w:t>六、一般公共预算财政拨款支出决算表</w:t>
      </w:r>
      <w:bookmarkEnd w:id="75"/>
      <w:bookmarkEnd w:id="76"/>
    </w:p>
    <w:p>
      <w:pPr>
        <w:pStyle w:val="4"/>
        <w:rPr>
          <w:rStyle w:val="37"/>
          <w:rFonts w:hint="eastAsia" w:ascii="仿宋" w:hAnsi="仿宋" w:eastAsia="仿宋"/>
          <w:b w:val="0"/>
          <w:bCs w:val="0"/>
        </w:rPr>
      </w:pPr>
      <w:bookmarkStart w:id="77" w:name="_Toc15396625"/>
      <w:bookmarkStart w:id="78" w:name="_Toc12867"/>
      <w:r>
        <w:rPr>
          <w:rStyle w:val="37"/>
          <w:rFonts w:hint="eastAsia" w:ascii="仿宋" w:hAnsi="仿宋" w:eastAsia="仿宋"/>
          <w:b w:val="0"/>
          <w:bCs w:val="0"/>
        </w:rPr>
        <w:t>七、一般公共预算财政拨款支出决算明细表</w:t>
      </w:r>
      <w:bookmarkEnd w:id="77"/>
      <w:bookmarkEnd w:id="78"/>
    </w:p>
    <w:p>
      <w:pPr>
        <w:pStyle w:val="4"/>
        <w:rPr>
          <w:rStyle w:val="37"/>
          <w:rFonts w:hint="eastAsia" w:ascii="仿宋" w:hAnsi="仿宋" w:eastAsia="仿宋"/>
          <w:b w:val="0"/>
          <w:bCs w:val="0"/>
        </w:rPr>
      </w:pPr>
      <w:bookmarkStart w:id="79" w:name="_Toc2880"/>
      <w:bookmarkStart w:id="80" w:name="_Toc15396626"/>
      <w:r>
        <w:rPr>
          <w:rStyle w:val="37"/>
          <w:rFonts w:hint="eastAsia" w:ascii="仿宋" w:hAnsi="仿宋" w:eastAsia="仿宋"/>
          <w:b w:val="0"/>
          <w:bCs w:val="0"/>
        </w:rPr>
        <w:t>八、一般公共预算财政拨款基本支出决算表</w:t>
      </w:r>
      <w:bookmarkEnd w:id="79"/>
      <w:bookmarkEnd w:id="80"/>
    </w:p>
    <w:p>
      <w:pPr>
        <w:pStyle w:val="4"/>
        <w:rPr>
          <w:rStyle w:val="37"/>
          <w:rFonts w:hint="eastAsia" w:ascii="仿宋" w:hAnsi="仿宋" w:eastAsia="仿宋"/>
          <w:b w:val="0"/>
          <w:bCs w:val="0"/>
        </w:rPr>
      </w:pPr>
      <w:bookmarkStart w:id="81" w:name="_Toc15396627"/>
      <w:bookmarkStart w:id="82" w:name="_Toc24062"/>
      <w:r>
        <w:rPr>
          <w:rStyle w:val="37"/>
          <w:rFonts w:hint="eastAsia" w:ascii="仿宋" w:hAnsi="仿宋" w:eastAsia="仿宋"/>
          <w:b w:val="0"/>
          <w:bCs w:val="0"/>
        </w:rPr>
        <w:t>九、一般公共预算财政拨款项目支出决算表</w:t>
      </w:r>
      <w:bookmarkEnd w:id="81"/>
      <w:bookmarkEnd w:id="82"/>
    </w:p>
    <w:p>
      <w:pPr>
        <w:pStyle w:val="4"/>
        <w:rPr>
          <w:rStyle w:val="37"/>
          <w:rFonts w:hint="eastAsia" w:ascii="仿宋" w:hAnsi="仿宋" w:eastAsia="仿宋"/>
          <w:b w:val="0"/>
          <w:bCs w:val="0"/>
        </w:rPr>
      </w:pPr>
      <w:bookmarkStart w:id="83" w:name="_Toc15396628"/>
      <w:bookmarkStart w:id="84" w:name="_Toc23439"/>
      <w:r>
        <w:rPr>
          <w:rStyle w:val="37"/>
          <w:rFonts w:hint="eastAsia" w:ascii="仿宋" w:hAnsi="仿宋" w:eastAsia="仿宋"/>
          <w:b w:val="0"/>
          <w:bCs w:val="0"/>
        </w:rPr>
        <w:t>十、</w:t>
      </w:r>
      <w:bookmarkEnd w:id="83"/>
      <w:r>
        <w:rPr>
          <w:rStyle w:val="37"/>
          <w:rFonts w:hint="eastAsia" w:ascii="仿宋" w:hAnsi="仿宋" w:eastAsia="仿宋"/>
          <w:b w:val="0"/>
          <w:bCs w:val="0"/>
        </w:rPr>
        <w:t>政府性基金预算财政拨款收入支出决算表</w:t>
      </w:r>
      <w:bookmarkEnd w:id="84"/>
    </w:p>
    <w:p>
      <w:pPr>
        <w:pStyle w:val="4"/>
        <w:rPr>
          <w:rStyle w:val="37"/>
          <w:rFonts w:hint="eastAsia" w:ascii="仿宋" w:hAnsi="仿宋" w:eastAsia="仿宋"/>
          <w:b w:val="0"/>
          <w:bCs w:val="0"/>
        </w:rPr>
      </w:pPr>
      <w:bookmarkStart w:id="85" w:name="_Toc15396629"/>
      <w:bookmarkStart w:id="86" w:name="_Toc5291"/>
      <w:r>
        <w:rPr>
          <w:rStyle w:val="37"/>
          <w:rFonts w:hint="eastAsia" w:ascii="仿宋" w:hAnsi="仿宋" w:eastAsia="仿宋"/>
          <w:b w:val="0"/>
          <w:bCs w:val="0"/>
        </w:rPr>
        <w:t>十一、</w:t>
      </w:r>
      <w:bookmarkEnd w:id="85"/>
      <w:r>
        <w:rPr>
          <w:rStyle w:val="37"/>
          <w:rFonts w:hint="eastAsia" w:ascii="仿宋" w:hAnsi="仿宋" w:eastAsia="仿宋"/>
          <w:b w:val="0"/>
          <w:bCs w:val="0"/>
        </w:rPr>
        <w:t>国有资本经营预算财政拨款收入支出决算表</w:t>
      </w:r>
      <w:bookmarkEnd w:id="86"/>
    </w:p>
    <w:p>
      <w:pPr>
        <w:pStyle w:val="4"/>
        <w:rPr>
          <w:rStyle w:val="37"/>
          <w:rFonts w:hint="eastAsia" w:ascii="仿宋" w:hAnsi="仿宋" w:eastAsia="仿宋"/>
          <w:b w:val="0"/>
          <w:bCs w:val="0"/>
        </w:rPr>
      </w:pPr>
      <w:bookmarkStart w:id="87" w:name="_Toc15396630"/>
      <w:bookmarkStart w:id="88" w:name="_Toc23131"/>
      <w:r>
        <w:rPr>
          <w:rStyle w:val="37"/>
          <w:rFonts w:hint="eastAsia" w:ascii="仿宋" w:hAnsi="仿宋" w:eastAsia="仿宋"/>
          <w:b w:val="0"/>
          <w:bCs w:val="0"/>
        </w:rPr>
        <w:t>十二、</w:t>
      </w:r>
      <w:bookmarkEnd w:id="87"/>
      <w:r>
        <w:rPr>
          <w:rStyle w:val="37"/>
          <w:rFonts w:hint="eastAsia" w:ascii="仿宋" w:hAnsi="仿宋" w:eastAsia="仿宋"/>
          <w:b w:val="0"/>
          <w:bCs w:val="0"/>
        </w:rPr>
        <w:t>国有资本经营预算财政拨款支出决算表</w:t>
      </w:r>
      <w:bookmarkEnd w:id="88"/>
    </w:p>
    <w:p>
      <w:pPr>
        <w:pStyle w:val="4"/>
        <w:rPr>
          <w:rStyle w:val="37"/>
          <w:rFonts w:hint="eastAsia" w:ascii="仿宋" w:hAnsi="仿宋" w:eastAsia="仿宋"/>
          <w:b w:val="0"/>
          <w:bCs w:val="0"/>
        </w:rPr>
      </w:pPr>
      <w:bookmarkStart w:id="89" w:name="_Toc15396631"/>
      <w:bookmarkStart w:id="90" w:name="_Toc25328"/>
      <w:r>
        <w:rPr>
          <w:rStyle w:val="37"/>
          <w:rFonts w:hint="eastAsia" w:ascii="仿宋" w:hAnsi="仿宋" w:eastAsia="仿宋"/>
          <w:b w:val="0"/>
          <w:bCs w:val="0"/>
        </w:rPr>
        <w:t>十三、</w:t>
      </w:r>
      <w:bookmarkEnd w:id="89"/>
      <w:r>
        <w:rPr>
          <w:rStyle w:val="37"/>
          <w:rFonts w:hint="eastAsia" w:ascii="仿宋" w:hAnsi="仿宋" w:eastAsia="仿宋"/>
          <w:b w:val="0"/>
          <w:bCs w:val="0"/>
        </w:rPr>
        <w:t>财政拨款“三公”经费支出决算表</w:t>
      </w:r>
      <w:bookmarkEnd w:id="90"/>
    </w:p>
    <w:p/>
    <w:sectPr>
      <w:footerReference r:id="rId7" w:type="first"/>
      <w:footerReference r:id="rId6"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- 2 -</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200051"/>
    <w:rsid w:val="066E0107"/>
    <w:rsid w:val="07996F6E"/>
    <w:rsid w:val="07DFD8BA"/>
    <w:rsid w:val="09867E8F"/>
    <w:rsid w:val="0A2032A3"/>
    <w:rsid w:val="0B444046"/>
    <w:rsid w:val="0CA8290A"/>
    <w:rsid w:val="0D35B1ED"/>
    <w:rsid w:val="0DDF33BD"/>
    <w:rsid w:val="0E254B6B"/>
    <w:rsid w:val="0E351F00"/>
    <w:rsid w:val="0F98263C"/>
    <w:rsid w:val="101860EC"/>
    <w:rsid w:val="101F47CC"/>
    <w:rsid w:val="10C055FF"/>
    <w:rsid w:val="11694EBD"/>
    <w:rsid w:val="11772AA4"/>
    <w:rsid w:val="118107EC"/>
    <w:rsid w:val="12E24EE2"/>
    <w:rsid w:val="13D12EE6"/>
    <w:rsid w:val="13D50BC4"/>
    <w:rsid w:val="14B17F78"/>
    <w:rsid w:val="165E0673"/>
    <w:rsid w:val="16B831D5"/>
    <w:rsid w:val="16BB723D"/>
    <w:rsid w:val="17E50567"/>
    <w:rsid w:val="186504BB"/>
    <w:rsid w:val="19A445FC"/>
    <w:rsid w:val="1BE8440E"/>
    <w:rsid w:val="1CC6347C"/>
    <w:rsid w:val="1D155CEE"/>
    <w:rsid w:val="1D1638FE"/>
    <w:rsid w:val="1E312DEB"/>
    <w:rsid w:val="1E740ACF"/>
    <w:rsid w:val="1EC05A3F"/>
    <w:rsid w:val="1FD91AA0"/>
    <w:rsid w:val="1FF35744"/>
    <w:rsid w:val="1FF6BC77"/>
    <w:rsid w:val="2186353C"/>
    <w:rsid w:val="23860B96"/>
    <w:rsid w:val="23AA1961"/>
    <w:rsid w:val="240371BF"/>
    <w:rsid w:val="244F3473"/>
    <w:rsid w:val="24C97D99"/>
    <w:rsid w:val="25A718F0"/>
    <w:rsid w:val="25BB59F6"/>
    <w:rsid w:val="260F557C"/>
    <w:rsid w:val="26970054"/>
    <w:rsid w:val="27567996"/>
    <w:rsid w:val="281408E2"/>
    <w:rsid w:val="28341F69"/>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5B50823"/>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E24165"/>
    <w:rsid w:val="3FF4CAE0"/>
    <w:rsid w:val="3FF7B227"/>
    <w:rsid w:val="44E268DA"/>
    <w:rsid w:val="450D13D7"/>
    <w:rsid w:val="45506656"/>
    <w:rsid w:val="466E49D9"/>
    <w:rsid w:val="486A6C7A"/>
    <w:rsid w:val="4A627F82"/>
    <w:rsid w:val="4B0E749A"/>
    <w:rsid w:val="4B2477C4"/>
    <w:rsid w:val="4B4F25DA"/>
    <w:rsid w:val="4BE068DB"/>
    <w:rsid w:val="4D577224"/>
    <w:rsid w:val="4DBF1CEB"/>
    <w:rsid w:val="4DF0007C"/>
    <w:rsid w:val="4E733692"/>
    <w:rsid w:val="4E9A5707"/>
    <w:rsid w:val="4EAB630A"/>
    <w:rsid w:val="4ECE2238"/>
    <w:rsid w:val="4F833267"/>
    <w:rsid w:val="4FE9BD67"/>
    <w:rsid w:val="4FFB052F"/>
    <w:rsid w:val="537E6D0A"/>
    <w:rsid w:val="53F74C96"/>
    <w:rsid w:val="54FD7D57"/>
    <w:rsid w:val="55170BA8"/>
    <w:rsid w:val="553218C9"/>
    <w:rsid w:val="567E1AA5"/>
    <w:rsid w:val="56E47B74"/>
    <w:rsid w:val="57175D52"/>
    <w:rsid w:val="57BD3DD4"/>
    <w:rsid w:val="57D72CAA"/>
    <w:rsid w:val="5ADE1FC9"/>
    <w:rsid w:val="5AF92295"/>
    <w:rsid w:val="5B0D06A1"/>
    <w:rsid w:val="5B250254"/>
    <w:rsid w:val="5BDD79E6"/>
    <w:rsid w:val="5BF561CA"/>
    <w:rsid w:val="5BFF5DFC"/>
    <w:rsid w:val="5CD71FC4"/>
    <w:rsid w:val="5D1F11B5"/>
    <w:rsid w:val="5D695134"/>
    <w:rsid w:val="5DAE1B18"/>
    <w:rsid w:val="5DE7D9E5"/>
    <w:rsid w:val="5EA902B4"/>
    <w:rsid w:val="5ECEC941"/>
    <w:rsid w:val="5FBF9FF3"/>
    <w:rsid w:val="5FCD4E2C"/>
    <w:rsid w:val="5FEF394A"/>
    <w:rsid w:val="5FF67715"/>
    <w:rsid w:val="62BF3928"/>
    <w:rsid w:val="63B3701E"/>
    <w:rsid w:val="647F5392"/>
    <w:rsid w:val="650C0DFE"/>
    <w:rsid w:val="65E66580"/>
    <w:rsid w:val="664B1D71"/>
    <w:rsid w:val="664B4E8E"/>
    <w:rsid w:val="67277B67"/>
    <w:rsid w:val="67AA3209"/>
    <w:rsid w:val="698D0931"/>
    <w:rsid w:val="6A597B55"/>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BFA5E8F"/>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2"/>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3"/>
    <w:qFormat/>
    <w:uiPriority w:val="9"/>
    <w:rPr>
      <w:rFonts w:ascii="Times New Roman" w:hAnsi="Times New Roman"/>
      <w:b/>
      <w:bCs/>
      <w:kern w:val="44"/>
      <w:sz w:val="44"/>
      <w:szCs w:val="44"/>
    </w:rPr>
  </w:style>
  <w:style w:type="character" w:customStyle="1" w:styleId="29">
    <w:name w:val="标题 2 字符"/>
    <w:basedOn w:val="16"/>
    <w:link w:val="4"/>
    <w:qFormat/>
    <w:uiPriority w:val="9"/>
    <w:rPr>
      <w:rFonts w:asciiTheme="majorHAnsi" w:hAnsiTheme="majorHAnsi" w:eastAsiaTheme="majorEastAsia" w:cstheme="majorBidi"/>
      <w:b/>
      <w:bCs/>
      <w:kern w:val="2"/>
      <w:sz w:val="32"/>
      <w:szCs w:val="32"/>
    </w:r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5"/>
    <w:qFormat/>
    <w:uiPriority w:val="9"/>
    <w:rPr>
      <w:rFonts w:ascii="Times New Roman" w:hAnsi="Times New Roman"/>
      <w:b/>
      <w:bCs/>
      <w:kern w:val="2"/>
      <w:sz w:val="32"/>
      <w:szCs w:val="32"/>
    </w:rPr>
  </w:style>
  <w:style w:type="paragraph" w:customStyle="1" w:styleId="33">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6">
    <w:name w:val="WPSOffice手动目录 1"/>
    <w:qFormat/>
    <w:uiPriority w:val="99"/>
    <w:rPr>
      <w:rFonts w:ascii="Times New Roman" w:hAnsi="Times New Roman" w:eastAsia="宋体" w:cs="Times New Roman"/>
      <w:kern w:val="0"/>
      <w:sz w:val="20"/>
      <w:szCs w:val="20"/>
      <w:lang w:val="en-US" w:eastAsia="zh-CN" w:bidi="ar-SA"/>
    </w:rPr>
  </w:style>
  <w:style w:type="character" w:customStyle="1" w:styleId="37">
    <w:name w:val="Heading 2 Char"/>
    <w:basedOn w:val="16"/>
    <w:link w:val="4"/>
    <w:qFormat/>
    <w:locked/>
    <w:uiPriority w:val="9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2.png"/><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chart" Target="charts/chart2.xml"/><Relationship Id="rId14" Type="http://schemas.openxmlformats.org/officeDocument/2006/relationships/chart" Target="charts/chart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2025.09.08\&#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单位：万元</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4578499024865"/>
          <c:y val="0.0205730102083723"/>
        </c:manualLayout>
      </c:layout>
      <c:overlay val="0"/>
      <c:spPr>
        <a:noFill/>
        <a:ln>
          <a:noFill/>
        </a:ln>
        <a:effectLst/>
      </c:spPr>
    </c:title>
    <c:autoTitleDeleted val="0"/>
    <c:plotArea>
      <c:layout>
        <c:manualLayout>
          <c:layoutTarget val="inner"/>
          <c:xMode val="edge"/>
          <c:yMode val="edge"/>
          <c:x val="0.199120050282841"/>
          <c:y val="0.244981286151752"/>
          <c:w val="0.491891891891892"/>
          <c:h val="0.665702619938755"/>
        </c:manualLayout>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Pt>
            <c:idx val="4"/>
            <c:bubble3D val="0"/>
            <c:explosion val="0"/>
          </c:dPt>
          <c:dPt>
            <c:idx val="5"/>
            <c:bubble3D val="0"/>
            <c:explosion val="0"/>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2,974.23, 78</a:t>
                    </a:r>
                    <a:r>
                      <a:rPr lang="en-US" altLang="zh-CN"/>
                      <a:t>.3</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0171931786413195"/>
                  <c:y val="0"/>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426.93, 11</a:t>
                    </a:r>
                    <a:r>
                      <a:rPr lang="en-US" altLang="zh-CN"/>
                      <a:t>.2</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0462557719765993"/>
                  <c:y val="0.000823319885450348"/>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189.35, 5</a:t>
                    </a:r>
                    <a:r>
                      <a:rPr lang="en-US" altLang="zh-CN"/>
                      <a:t>.1</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solidFill>
                        <a:latin typeface="+mn-lt"/>
                        <a:ea typeface="+mn-ea"/>
                        <a:cs typeface="+mn-cs"/>
                      </a:defRPr>
                    </a:pPr>
                    <a:r>
                      <a:t>206.06, </a:t>
                    </a:r>
                    <a:r>
                      <a:rPr lang="en-US" altLang="zh-CN"/>
                      <a:t>5.4</a:t>
                    </a:r>
                    <a:r>
                      <a:t>%</a:t>
                    </a:r>
                  </a:p>
                </c:rich>
              </c:tx>
              <c:dLblPos val="bestFit"/>
              <c:showLegendKey val="0"/>
              <c:showVal val="1"/>
              <c:showCatName val="0"/>
              <c:showSerName val="0"/>
              <c:showPercent val="1"/>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'[决算图表(1)(1).et]Sheet1'!$I$75:$I$80</c:f>
              <c:strCache>
                <c:ptCount val="6"/>
                <c:pt idx="0">
                  <c:v>交通运输支出</c:v>
                </c:pt>
                <c:pt idx="1">
                  <c:v>社会保障和就业支出</c:v>
                </c:pt>
                <c:pt idx="2">
                  <c:v>卫生健康支出</c:v>
                </c:pt>
                <c:pt idx="3">
                  <c:v>住房保障支出</c:v>
                </c:pt>
              </c:strCache>
            </c:strRef>
          </c:cat>
          <c:val>
            <c:numRef>
              <c:f>'[决算图表(1)(1).et]Sheet1'!$J$75:$J$80</c:f>
              <c:numCache>
                <c:formatCode>#,##0.00</c:formatCode>
                <c:ptCount val="6"/>
                <c:pt idx="0">
                  <c:v>2974.23</c:v>
                </c:pt>
                <c:pt idx="1" c:formatCode="General">
                  <c:v>426.93</c:v>
                </c:pt>
                <c:pt idx="2" c:formatCode="General">
                  <c:v>189.35</c:v>
                </c:pt>
                <c:pt idx="3" c:formatCode="General">
                  <c:v>206.06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4"/>
        <c:delete val="1"/>
      </c:legendEntry>
      <c:legendEntry>
        <c:idx val="5"/>
        <c:delete val="1"/>
      </c:legendEntry>
      <c:layout>
        <c:manualLayout>
          <c:xMode val="edge"/>
          <c:yMode val="edge"/>
          <c:x val="0.70225"/>
          <c:y val="0.7425"/>
          <c:w val="0.285"/>
          <c:h val="0.2455"/>
        </c:manualLayout>
      </c:layout>
      <c:overlay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“三公”经费财政拨款支出结构图</a:t>
            </a:r>
            <a:endPar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endParaRPr>
          </a:p>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rgbClr val="333333"/>
                </a:solidFill>
                <a:effectLst/>
                <a:latin typeface="宋体" panose="02010600030101010101" charset="-122"/>
                <a:ea typeface="宋体" panose="02010600030101010101" charset="-122"/>
                <a:cs typeface="宋体" panose="02010600030101010101" charset="-122"/>
              </a:rPr>
              <a:t>单位：万元</a:t>
            </a:r>
            <a:endParaRPr sz="1200" b="0" i="0" u="none" strike="noStrike" kern="1200" cap="none" spc="0" normalizeH="0" baseline="0">
              <a:solidFill>
                <a:srgbClr val="000000"/>
              </a:solidFill>
              <a:effectLst/>
              <a:latin typeface="宋体" panose="02010600030101010101" charset="-122"/>
              <a:ea typeface="宋体" panose="02010600030101010101" charset="-122"/>
              <a:cs typeface="宋体" panose="02010600030101010101" charset="-122"/>
            </a:endParaRPr>
          </a:p>
        </c:rich>
      </c:tx>
      <c:layout/>
      <c:overlay val="0"/>
    </c:title>
    <c:autoTitleDeleted val="0"/>
    <c:plotArea>
      <c:layout>
        <c:manualLayout>
          <c:layoutTarget val="inner"/>
          <c:xMode val="edge"/>
          <c:yMode val="edge"/>
          <c:x val="0.248039652450595"/>
          <c:y val="0.214197773791607"/>
          <c:w val="0.477741407528642"/>
          <c:h val="0.688930847297616"/>
        </c:manualLayout>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19, 99</a:t>
                    </a:r>
                    <a:r>
                      <a:rPr lang="en-US" altLang="zh-CN"/>
                      <a:t>.2</a:t>
                    </a:r>
                    <a:r>
                      <a:t>%</a:t>
                    </a:r>
                  </a:p>
                </c:rich>
              </c:tx>
              <c:dLblPos val="bestFit"/>
              <c:showLegendKey val="0"/>
              <c:showVal val="1"/>
              <c:showCatName val="0"/>
              <c:showSerName val="0"/>
              <c:showPercent val="1"/>
              <c:showBubbleSize val="0"/>
              <c:extLst>
                <c:ext xmlns:c15="http://schemas.microsoft.com/office/drawing/2012/chart" uri="{CE6537A1-D6FC-4f65-9D91-7224C49458BB}"/>
              </c:extLst>
            </c:dLbl>
            <c:dLbl>
              <c:idx val="1"/>
              <c:layout>
                <c:manualLayout>
                  <c:x val="-0.204708204560709"/>
                  <c:y val="0.00495201298606977"/>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0.15, </a:t>
                    </a:r>
                    <a:r>
                      <a:rPr lang="en-US" altLang="zh-CN"/>
                      <a:t>0.8</a:t>
                    </a:r>
                    <a:r>
                      <a:t>%</a:t>
                    </a:r>
                  </a:p>
                </c:rich>
              </c:tx>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'[决算图表(1)(1).et]Sheet1'!$B$145:$B$147</c:f>
              <c:strCache>
                <c:ptCount val="3"/>
                <c:pt idx="0">
                  <c:v>公务用车购置及运行维护费</c:v>
                </c:pt>
                <c:pt idx="1">
                  <c:v>公务接待费</c:v>
                </c:pt>
                <c:pt idx="2">
                  <c:v>因公出国（境）费支出决算</c:v>
                </c:pt>
              </c:strCache>
            </c:strRef>
          </c:cat>
          <c:val>
            <c:numRef>
              <c:f>'[决算图表(1)(1).et]Sheet1'!$C$145:$C$147</c:f>
              <c:numCache>
                <c:formatCode>General</c:formatCode>
                <c:ptCount val="3"/>
                <c:pt idx="0">
                  <c:v>19</c:v>
                </c:pt>
                <c:pt idx="1">
                  <c:v>0.15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0"/>
        <c:delete val="1"/>
      </c:legendEntry>
      <c:legendEntry>
        <c:idx val="2"/>
        <c:delete val="1"/>
      </c:legendEntry>
      <c:layout>
        <c:manualLayout>
          <c:xMode val="edge"/>
          <c:yMode val="edge"/>
          <c:x val="0.0485"/>
          <c:y val="0.90075"/>
          <c:w val="0.864"/>
          <c:h val="0.08825"/>
        </c:manualLayout>
      </c:layout>
      <c:overlay val="0"/>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4750</Words>
  <Characters>5199</Characters>
  <Lines>60</Lines>
  <Paragraphs>17</Paragraphs>
  <TotalTime>145</TotalTime>
  <ScaleCrop>false</ScaleCrop>
  <LinksUpToDate>false</LinksUpToDate>
  <CharactersWithSpaces>5373</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2025-09-18T07:43:28Z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E0C976BA53EE4E7F81DA95F98707BED6</vt:lpwstr>
  </property>
  <property fmtid="{D5CDD505-2E9C-101B-9397-08002B2CF9AE}" pid="4" name="KSOTemplateDocerSaveRecord">
    <vt:lpwstr>eyJoZGlkIjoiMjRiN2I0NWNjYzc2ZDE0Zjk3OWRhMWM5ZmFjNTgwM2QiLCJ1c2VySWQiOiI0MjU0NzI2MTgifQ==</vt:lpwstr>
  </property>
</Properties>
</file>