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pacing w:before="93"/>
        <w:rPr>
          <w:rFonts w:ascii="Times New Roman" w:eastAsia="方正小标宋简体"/>
          <w:kern w:val="2"/>
          <w:sz w:val="72"/>
          <w:szCs w:val="72"/>
        </w:rPr>
      </w:pPr>
      <w:bookmarkStart w:id="0" w:name="_Toc15396475"/>
      <w:bookmarkStart w:id="1" w:name="_Toc15377193"/>
      <w:bookmarkStart w:id="2" w:name="_Toc15396597"/>
      <w:bookmarkStart w:id="3" w:name="_Toc15306267"/>
      <w:bookmarkStart w:id="4" w:name="_Toc15377425"/>
      <w:bookmarkStart w:id="5" w:name="_Toc15378441"/>
    </w:p>
    <w:p>
      <w:pPr>
        <w:pStyle w:val="2"/>
        <w:spacing w:before="93"/>
        <w:rPr>
          <w:rFonts w:ascii="Times New Roman" w:eastAsia="方正小标宋简体"/>
          <w:kern w:val="2"/>
          <w:sz w:val="72"/>
          <w:szCs w:val="72"/>
        </w:rPr>
      </w:pPr>
    </w:p>
    <w:p>
      <w:pPr>
        <w:pStyle w:val="2"/>
        <w:bidi w:val="0"/>
      </w:pPr>
    </w:p>
    <w:p>
      <w:pPr>
        <w:pStyle w:val="2"/>
        <w:spacing w:before="93"/>
        <w:jc w:val="center"/>
        <w:rPr>
          <w:rFonts w:hint="eastAsia"/>
          <w:lang w:val="en-US" w:eastAsia="zh-CN"/>
        </w:rPr>
      </w:pPr>
      <w:r>
        <w:rPr>
          <w:rFonts w:hint="eastAsia" w:ascii="方正小标宋简体" w:hAnsi="宋体" w:eastAsia="方正小标宋简体"/>
          <w:kern w:val="2"/>
          <w:sz w:val="44"/>
          <w:szCs w:val="44"/>
        </w:rPr>
        <w:t>2024年度阿坝藏族羌族自治州公路管理局马尔康公路管理分局</w:t>
      </w:r>
      <w:bookmarkStart w:id="91" w:name="_GoBack"/>
      <w:bookmarkEnd w:id="91"/>
      <w:r>
        <w:rPr>
          <w:rFonts w:hint="eastAsia" w:ascii="方正小标宋简体" w:hAnsi="宋体" w:eastAsia="方正小标宋简体"/>
          <w:kern w:val="2"/>
          <w:sz w:val="44"/>
          <w:szCs w:val="44"/>
        </w:rPr>
        <w:t>决算</w:t>
      </w:r>
      <w:r>
        <w:rPr>
          <w:rFonts w:hint="eastAsia" w:ascii="方正小标宋简体" w:hAnsi="宋体" w:eastAsia="方正小标宋简体"/>
          <w:kern w:val="2"/>
          <w:sz w:val="44"/>
          <w:szCs w:val="44"/>
          <w:lang w:val="en-US" w:eastAsia="zh-CN"/>
        </w:rPr>
        <w:t>公开</w:t>
      </w:r>
    </w:p>
    <w:p>
      <w:pPr>
        <w:pStyle w:val="19"/>
        <w:rPr>
          <w:rFonts w:ascii="Times New Roman" w:hAnsi="Times New Roman"/>
        </w:rPr>
        <w:sectPr>
          <w:footerReference r:id="rId5" w:type="first"/>
          <w:headerReference r:id="rId3" w:type="default"/>
          <w:footerReference r:id="rId4" w:type="default"/>
          <w:pgSz w:w="11906" w:h="16838"/>
          <w:pgMar w:top="1440" w:right="1800" w:bottom="1440" w:left="1800" w:header="851" w:footer="992" w:gutter="0"/>
          <w:pgNumType w:fmt="numberInDash" w:start="1"/>
          <w:cols w:space="425" w:num="1"/>
          <w:titlePg/>
          <w:docGrid w:type="lines" w:linePitch="312" w:charSpace="0"/>
        </w:sectPr>
      </w:pPr>
    </w:p>
    <w:bookmarkEnd w:id="0"/>
    <w:bookmarkEnd w:id="1"/>
    <w:bookmarkEnd w:id="2"/>
    <w:bookmarkEnd w:id="3"/>
    <w:bookmarkEnd w:id="4"/>
    <w:bookmarkEnd w:id="5"/>
    <w:p>
      <w:pPr>
        <w:widowControl/>
        <w:jc w:val="center"/>
        <w:rPr>
          <w:rFonts w:eastAsia="黑体"/>
          <w:sz w:val="48"/>
          <w:szCs w:val="48"/>
        </w:rPr>
      </w:pPr>
      <w:r>
        <w:rPr>
          <w:rFonts w:hint="eastAsia" w:eastAsia="黑体"/>
          <w:sz w:val="48"/>
          <w:szCs w:val="48"/>
        </w:rPr>
        <w:t>目录</w:t>
      </w:r>
    </w:p>
    <w:p>
      <w:pPr>
        <w:widowControl/>
        <w:jc w:val="center"/>
        <w:rPr>
          <w:rFonts w:eastAsia="黑体" w:cstheme="minorBidi"/>
          <w:sz w:val="28"/>
          <w:szCs w:val="28"/>
        </w:rPr>
      </w:pPr>
    </w:p>
    <w:p>
      <w:pPr>
        <w:pStyle w:val="12"/>
        <w:rPr>
          <w:rFonts w:ascii="Times New Roman" w:hAnsi="Times New Roman" w:eastAsia="仿宋_GB2312" w:cs="仿宋_GB2312"/>
          <w:sz w:val="32"/>
          <w:szCs w:val="32"/>
        </w:rPr>
      </w:pPr>
      <w:r>
        <w:rPr>
          <w:rFonts w:hint="eastAsia" w:ascii="Times New Roman" w:hAnsi="Times New Roman" w:eastAsia="仿宋_GB2312" w:cs="仿宋_GB2312"/>
          <w:sz w:val="32"/>
          <w:szCs w:val="32"/>
        </w:rPr>
        <w:t>公开时间：202</w:t>
      </w:r>
      <w:r>
        <w:rPr>
          <w:rFonts w:hint="eastAsia" w:ascii="Times New Roman" w:hAnsi="Times New Roman" w:eastAsia="仿宋_GB2312" w:cs="仿宋_GB2312"/>
          <w:sz w:val="32"/>
          <w:szCs w:val="32"/>
          <w:lang w:val="en-US" w:eastAsia="zh-CN"/>
        </w:rPr>
        <w:t>5</w:t>
      </w:r>
      <w:r>
        <w:rPr>
          <w:rFonts w:hint="eastAsia" w:ascii="Times New Roman" w:hAnsi="Times New Roman" w:eastAsia="仿宋_GB2312" w:cs="仿宋_GB2312"/>
          <w:sz w:val="32"/>
          <w:szCs w:val="32"/>
        </w:rPr>
        <w:t>年</w:t>
      </w:r>
      <w:r>
        <w:rPr>
          <w:rFonts w:hint="eastAsia" w:ascii="Times New Roman" w:hAnsi="Times New Roman" w:eastAsia="仿宋_GB2312" w:cs="仿宋_GB2312"/>
          <w:sz w:val="32"/>
          <w:szCs w:val="32"/>
          <w:lang w:val="en-US" w:eastAsia="zh-CN"/>
        </w:rPr>
        <w:t>9</w:t>
      </w:r>
      <w:r>
        <w:rPr>
          <w:rFonts w:hint="eastAsia" w:ascii="Times New Roman" w:hAnsi="Times New Roman" w:eastAsia="仿宋_GB2312" w:cs="仿宋_GB2312"/>
          <w:sz w:val="32"/>
          <w:szCs w:val="32"/>
        </w:rPr>
        <w:t>月</w:t>
      </w:r>
      <w:r>
        <w:rPr>
          <w:rFonts w:hint="eastAsia" w:ascii="Times New Roman" w:hAnsi="Times New Roman" w:eastAsia="仿宋_GB2312" w:cs="仿宋_GB2312"/>
          <w:sz w:val="32"/>
          <w:szCs w:val="32"/>
          <w:lang w:val="en-US" w:eastAsia="zh-CN"/>
        </w:rPr>
        <w:t>21</w:t>
      </w:r>
      <w:r>
        <w:rPr>
          <w:rFonts w:hint="eastAsia" w:ascii="Times New Roman" w:hAnsi="Times New Roman" w:eastAsia="仿宋_GB2312" w:cs="仿宋_GB2312"/>
          <w:sz w:val="32"/>
          <w:szCs w:val="32"/>
        </w:rPr>
        <w:t>日</w:t>
      </w:r>
    </w:p>
    <w:p/>
    <w:sdt>
      <w:sdtPr>
        <w:rPr>
          <w:rFonts w:ascii="宋体" w:hAnsi="宋体" w:eastAsia="宋体" w:cs="Times New Roman"/>
          <w:kern w:val="2"/>
          <w:sz w:val="21"/>
          <w:szCs w:val="24"/>
          <w:lang w:val="en-US" w:eastAsia="zh-CN" w:bidi="ar-SA"/>
        </w:rPr>
        <w:id w:val="147467230"/>
        <w15:color w:val="DBDBDB"/>
        <w:docPartObj>
          <w:docPartGallery w:val="Table of Contents"/>
          <w:docPartUnique/>
        </w:docPartObj>
      </w:sdtPr>
      <w:sdtEndPr>
        <w:rPr>
          <w:rFonts w:ascii="Times New Roman" w:hAnsi="Times New Roman" w:eastAsia="仿宋_GB2312" w:cs="仿宋_GB2312"/>
          <w:bCs/>
          <w:kern w:val="2"/>
          <w:sz w:val="21"/>
          <w:szCs w:val="32"/>
          <w:lang w:val="en-US" w:eastAsia="zh-CN" w:bidi="ar-SA"/>
        </w:rPr>
      </w:sdtEndPr>
      <w:sdtContent>
        <w:p>
          <w:pPr>
            <w:spacing w:before="0" w:beforeLines="0" w:after="0" w:afterLines="0" w:line="240" w:lineRule="auto"/>
            <w:ind w:left="0" w:leftChars="0" w:right="0" w:rightChars="0" w:firstLine="0" w:firstLineChars="0"/>
            <w:jc w:val="center"/>
          </w:pPr>
        </w:p>
        <w:p>
          <w:pPr>
            <w:pStyle w:val="12"/>
            <w:tabs>
              <w:tab w:val="right" w:leader="dot" w:pos="8306"/>
              <w:tab w:val="clear" w:pos="8296"/>
            </w:tabs>
          </w:pPr>
          <w:r>
            <w:rPr>
              <w:rFonts w:eastAsia="仿宋_GB2312" w:cs="仿宋_GB2312"/>
              <w:b/>
              <w:bCs/>
              <w:sz w:val="32"/>
              <w:szCs w:val="32"/>
            </w:rPr>
            <w:fldChar w:fldCharType="begin"/>
          </w:r>
          <w:r>
            <w:rPr>
              <w:rFonts w:eastAsia="仿宋_GB2312" w:cs="仿宋_GB2312"/>
              <w:b/>
              <w:bCs/>
              <w:sz w:val="32"/>
              <w:szCs w:val="32"/>
            </w:rPr>
            <w:instrText xml:space="preserve">TOC \o "1-2" \h \u </w:instrText>
          </w:r>
          <w:r>
            <w:rPr>
              <w:rFonts w:eastAsia="仿宋_GB2312" w:cs="仿宋_GB2312"/>
              <w:b/>
              <w:bCs/>
              <w:sz w:val="32"/>
              <w:szCs w:val="32"/>
            </w:rPr>
            <w:fldChar w:fldCharType="separate"/>
          </w:r>
          <w:r>
            <w:rPr>
              <w:rFonts w:hint="eastAsia" w:ascii="Times New Roman" w:hAnsi="Times New Roman" w:eastAsia="方正小标宋简体" w:cs="方正小标宋简体"/>
              <w:b w:val="0"/>
              <w:bCs/>
              <w:kern w:val="44"/>
              <w:sz w:val="28"/>
              <w:szCs w:val="28"/>
              <w:lang w:val="en-US" w:eastAsia="zh-CN" w:bidi="ar-SA"/>
            </w:rPr>
            <w:fldChar w:fldCharType="begin"/>
          </w:r>
          <w:r>
            <w:rPr>
              <w:rFonts w:hint="eastAsia" w:ascii="Times New Roman" w:hAnsi="Times New Roman" w:eastAsia="方正小标宋简体" w:cs="方正小标宋简体"/>
              <w:b w:val="0"/>
              <w:bCs/>
              <w:kern w:val="44"/>
              <w:sz w:val="28"/>
              <w:szCs w:val="28"/>
              <w:lang w:val="en-US" w:eastAsia="zh-CN" w:bidi="ar-SA"/>
            </w:rPr>
            <w:instrText xml:space="preserve"> HYPERLINK \l _Toc27661 </w:instrText>
          </w:r>
          <w:r>
            <w:rPr>
              <w:rFonts w:hint="eastAsia" w:ascii="Times New Roman" w:hAnsi="Times New Roman" w:eastAsia="方正小标宋简体" w:cs="方正小标宋简体"/>
              <w:b w:val="0"/>
              <w:bCs/>
              <w:kern w:val="44"/>
              <w:sz w:val="28"/>
              <w:szCs w:val="28"/>
              <w:lang w:val="en-US" w:eastAsia="zh-CN" w:bidi="ar-SA"/>
            </w:rPr>
            <w:fldChar w:fldCharType="separate"/>
          </w:r>
          <w:r>
            <w:rPr>
              <w:rFonts w:hint="eastAsia" w:ascii="Times New Roman" w:hAnsi="Times New Roman" w:eastAsia="方正小标宋简体" w:cs="方正小标宋简体"/>
              <w:b w:val="0"/>
              <w:bCs/>
              <w:kern w:val="44"/>
              <w:sz w:val="28"/>
              <w:szCs w:val="28"/>
              <w:lang w:val="en-US" w:eastAsia="zh-CN" w:bidi="ar-SA"/>
            </w:rPr>
            <w:t>第一部分  单位概况</w:t>
          </w:r>
          <w:r>
            <w:rPr>
              <w:rFonts w:hint="eastAsia" w:ascii="Times New Roman" w:hAnsi="Times New Roman" w:eastAsia="方正小标宋简体" w:cs="方正小标宋简体"/>
              <w:b w:val="0"/>
              <w:bCs/>
              <w:kern w:val="44"/>
              <w:sz w:val="28"/>
              <w:szCs w:val="28"/>
              <w:lang w:val="en-US" w:eastAsia="zh-CN" w:bidi="ar-SA"/>
            </w:rPr>
            <w:tab/>
          </w:r>
          <w:r>
            <w:rPr>
              <w:rFonts w:hint="eastAsia" w:ascii="Times New Roman" w:hAnsi="Times New Roman" w:eastAsia="方正小标宋简体" w:cs="方正小标宋简体"/>
              <w:b w:val="0"/>
              <w:bCs/>
              <w:kern w:val="44"/>
              <w:sz w:val="28"/>
              <w:szCs w:val="28"/>
              <w:lang w:val="en-US" w:eastAsia="zh-CN" w:bidi="ar-SA"/>
            </w:rPr>
            <w:fldChar w:fldCharType="begin"/>
          </w:r>
          <w:r>
            <w:rPr>
              <w:rFonts w:hint="eastAsia" w:ascii="Times New Roman" w:hAnsi="Times New Roman" w:eastAsia="方正小标宋简体" w:cs="方正小标宋简体"/>
              <w:b w:val="0"/>
              <w:bCs/>
              <w:kern w:val="44"/>
              <w:sz w:val="28"/>
              <w:szCs w:val="28"/>
              <w:lang w:val="en-US" w:eastAsia="zh-CN" w:bidi="ar-SA"/>
            </w:rPr>
            <w:instrText xml:space="preserve"> PAGEREF _Toc27661 \h </w:instrText>
          </w:r>
          <w:r>
            <w:rPr>
              <w:rFonts w:hint="eastAsia" w:ascii="Times New Roman" w:hAnsi="Times New Roman" w:eastAsia="方正小标宋简体" w:cs="方正小标宋简体"/>
              <w:b w:val="0"/>
              <w:bCs/>
              <w:kern w:val="44"/>
              <w:sz w:val="28"/>
              <w:szCs w:val="28"/>
              <w:lang w:val="en-US" w:eastAsia="zh-CN" w:bidi="ar-SA"/>
            </w:rPr>
            <w:fldChar w:fldCharType="separate"/>
          </w:r>
          <w:r>
            <w:rPr>
              <w:rFonts w:hint="eastAsia" w:ascii="Times New Roman" w:hAnsi="Times New Roman" w:eastAsia="方正小标宋简体" w:cs="方正小标宋简体"/>
              <w:b w:val="0"/>
              <w:bCs/>
              <w:kern w:val="44"/>
              <w:sz w:val="28"/>
              <w:szCs w:val="28"/>
              <w:lang w:val="en-US" w:eastAsia="zh-CN" w:bidi="ar-SA"/>
            </w:rPr>
            <w:t>- 3 -</w:t>
          </w:r>
          <w:r>
            <w:rPr>
              <w:rFonts w:hint="eastAsia" w:ascii="Times New Roman" w:hAnsi="Times New Roman" w:eastAsia="方正小标宋简体" w:cs="方正小标宋简体"/>
              <w:b w:val="0"/>
              <w:bCs/>
              <w:kern w:val="44"/>
              <w:sz w:val="28"/>
              <w:szCs w:val="28"/>
              <w:lang w:val="en-US" w:eastAsia="zh-CN" w:bidi="ar-SA"/>
            </w:rPr>
            <w:fldChar w:fldCharType="end"/>
          </w:r>
          <w:r>
            <w:rPr>
              <w:rFonts w:hint="eastAsia" w:ascii="Times New Roman" w:hAnsi="Times New Roman" w:eastAsia="方正小标宋简体" w:cs="方正小标宋简体"/>
              <w:b w:val="0"/>
              <w:bCs/>
              <w:kern w:val="44"/>
              <w:sz w:val="28"/>
              <w:szCs w:val="28"/>
              <w:lang w:val="en-US" w:eastAsia="zh-CN" w:bidi="ar-SA"/>
            </w:rPr>
            <w:fldChar w:fldCharType="end"/>
          </w:r>
        </w:p>
        <w:p>
          <w:pPr>
            <w:pStyle w:val="14"/>
            <w:tabs>
              <w:tab w:val="right" w:leader="dot" w:pos="8306"/>
              <w:tab w:val="clear" w:pos="8296"/>
            </w:tabs>
            <w:rPr>
              <w:rFonts w:hint="eastAsia" w:ascii="黑体" w:hAnsi="黑体" w:eastAsia="黑体" w:cs="黑体"/>
              <w:sz w:val="28"/>
              <w:szCs w:val="28"/>
            </w:rPr>
          </w:pPr>
          <w:r>
            <w:rPr>
              <w:rFonts w:hint="eastAsia" w:ascii="黑体" w:hAnsi="黑体" w:eastAsia="黑体" w:cs="黑体"/>
              <w:bCs/>
              <w:sz w:val="28"/>
              <w:szCs w:val="28"/>
            </w:rPr>
            <w:fldChar w:fldCharType="begin"/>
          </w:r>
          <w:r>
            <w:rPr>
              <w:rFonts w:hint="eastAsia" w:ascii="黑体" w:hAnsi="黑体" w:eastAsia="黑体" w:cs="黑体"/>
              <w:bCs/>
              <w:sz w:val="28"/>
              <w:szCs w:val="28"/>
            </w:rPr>
            <w:instrText xml:space="preserve"> HYPERLINK \l _Toc12558 </w:instrText>
          </w:r>
          <w:r>
            <w:rPr>
              <w:rFonts w:hint="eastAsia" w:ascii="黑体" w:hAnsi="黑体" w:eastAsia="黑体" w:cs="黑体"/>
              <w:bCs/>
              <w:sz w:val="28"/>
              <w:szCs w:val="28"/>
            </w:rPr>
            <w:fldChar w:fldCharType="separate"/>
          </w:r>
          <w:r>
            <w:rPr>
              <w:rFonts w:hint="eastAsia" w:ascii="黑体" w:hAnsi="黑体" w:eastAsia="黑体" w:cs="黑体"/>
              <w:sz w:val="28"/>
              <w:szCs w:val="28"/>
              <w:lang w:val="en-US" w:eastAsia="zh-CN"/>
            </w:rPr>
            <w:t>一、主要</w:t>
          </w:r>
          <w:r>
            <w:rPr>
              <w:rFonts w:hint="eastAsia" w:ascii="黑体" w:hAnsi="黑体" w:eastAsia="黑体" w:cs="黑体"/>
              <w:sz w:val="28"/>
              <w:szCs w:val="28"/>
            </w:rPr>
            <w:t>职责</w:t>
          </w:r>
          <w:r>
            <w:rPr>
              <w:rFonts w:hint="eastAsia" w:ascii="黑体" w:hAnsi="黑体" w:eastAsia="黑体" w:cs="黑体"/>
              <w:sz w:val="28"/>
              <w:szCs w:val="28"/>
            </w:rPr>
            <w:tab/>
          </w:r>
          <w:r>
            <w:rPr>
              <w:rFonts w:hint="eastAsia" w:ascii="黑体" w:hAnsi="黑体" w:eastAsia="黑体" w:cs="黑体"/>
              <w:sz w:val="28"/>
              <w:szCs w:val="28"/>
            </w:rPr>
            <w:fldChar w:fldCharType="begin"/>
          </w:r>
          <w:r>
            <w:rPr>
              <w:rFonts w:hint="eastAsia" w:ascii="黑体" w:hAnsi="黑体" w:eastAsia="黑体" w:cs="黑体"/>
              <w:sz w:val="28"/>
              <w:szCs w:val="28"/>
            </w:rPr>
            <w:instrText xml:space="preserve"> PAGEREF _Toc12558 \h </w:instrText>
          </w:r>
          <w:r>
            <w:rPr>
              <w:rFonts w:hint="eastAsia" w:ascii="黑体" w:hAnsi="黑体" w:eastAsia="黑体" w:cs="黑体"/>
              <w:sz w:val="28"/>
              <w:szCs w:val="28"/>
            </w:rPr>
            <w:fldChar w:fldCharType="separate"/>
          </w:r>
          <w:r>
            <w:rPr>
              <w:rFonts w:hint="eastAsia" w:ascii="黑体" w:hAnsi="黑体" w:eastAsia="黑体" w:cs="黑体"/>
              <w:sz w:val="28"/>
              <w:szCs w:val="28"/>
            </w:rPr>
            <w:t>- 3 -</w:t>
          </w:r>
          <w:r>
            <w:rPr>
              <w:rFonts w:hint="eastAsia" w:ascii="黑体" w:hAnsi="黑体" w:eastAsia="黑体" w:cs="黑体"/>
              <w:sz w:val="28"/>
              <w:szCs w:val="28"/>
            </w:rPr>
            <w:fldChar w:fldCharType="end"/>
          </w:r>
          <w:r>
            <w:rPr>
              <w:rFonts w:hint="eastAsia" w:ascii="黑体" w:hAnsi="黑体" w:eastAsia="黑体" w:cs="黑体"/>
              <w:bCs/>
              <w:sz w:val="28"/>
              <w:szCs w:val="28"/>
            </w:rPr>
            <w:fldChar w:fldCharType="end"/>
          </w:r>
        </w:p>
        <w:p>
          <w:pPr>
            <w:pStyle w:val="14"/>
            <w:tabs>
              <w:tab w:val="right" w:leader="dot" w:pos="8306"/>
              <w:tab w:val="clear" w:pos="8296"/>
            </w:tabs>
          </w:pPr>
          <w:r>
            <w:rPr>
              <w:rFonts w:hint="eastAsia" w:ascii="黑体" w:hAnsi="黑体" w:eastAsia="黑体" w:cs="黑体"/>
              <w:bCs/>
              <w:sz w:val="28"/>
              <w:szCs w:val="28"/>
            </w:rPr>
            <w:fldChar w:fldCharType="begin"/>
          </w:r>
          <w:r>
            <w:rPr>
              <w:rFonts w:hint="eastAsia" w:ascii="黑体" w:hAnsi="黑体" w:eastAsia="黑体" w:cs="黑体"/>
              <w:bCs/>
              <w:sz w:val="28"/>
              <w:szCs w:val="28"/>
            </w:rPr>
            <w:instrText xml:space="preserve"> HYPERLINK \l _Toc3661 </w:instrText>
          </w:r>
          <w:r>
            <w:rPr>
              <w:rFonts w:hint="eastAsia" w:ascii="黑体" w:hAnsi="黑体" w:eastAsia="黑体" w:cs="黑体"/>
              <w:bCs/>
              <w:sz w:val="28"/>
              <w:szCs w:val="28"/>
            </w:rPr>
            <w:fldChar w:fldCharType="separate"/>
          </w:r>
          <w:r>
            <w:rPr>
              <w:rFonts w:hint="eastAsia" w:ascii="黑体" w:hAnsi="黑体" w:eastAsia="黑体" w:cs="黑体"/>
              <w:sz w:val="28"/>
              <w:szCs w:val="28"/>
            </w:rPr>
            <w:t>二、机</w:t>
          </w:r>
          <w:r>
            <w:rPr>
              <w:rFonts w:hint="eastAsia" w:ascii="黑体" w:hAnsi="黑体" w:eastAsia="黑体" w:cs="黑体"/>
              <w:bCs w:val="0"/>
              <w:sz w:val="28"/>
              <w:szCs w:val="28"/>
            </w:rPr>
            <w:t>构设置</w:t>
          </w:r>
          <w:r>
            <w:rPr>
              <w:rFonts w:hint="eastAsia" w:ascii="黑体" w:hAnsi="黑体" w:eastAsia="黑体" w:cs="黑体"/>
              <w:sz w:val="28"/>
              <w:szCs w:val="28"/>
            </w:rPr>
            <w:tab/>
          </w:r>
          <w:r>
            <w:rPr>
              <w:rFonts w:hint="eastAsia" w:ascii="黑体" w:hAnsi="黑体" w:eastAsia="黑体" w:cs="黑体"/>
              <w:sz w:val="28"/>
              <w:szCs w:val="28"/>
            </w:rPr>
            <w:fldChar w:fldCharType="begin"/>
          </w:r>
          <w:r>
            <w:rPr>
              <w:rFonts w:hint="eastAsia" w:ascii="黑体" w:hAnsi="黑体" w:eastAsia="黑体" w:cs="黑体"/>
              <w:sz w:val="28"/>
              <w:szCs w:val="28"/>
            </w:rPr>
            <w:instrText xml:space="preserve"> PAGEREF _Toc3661 \h </w:instrText>
          </w:r>
          <w:r>
            <w:rPr>
              <w:rFonts w:hint="eastAsia" w:ascii="黑体" w:hAnsi="黑体" w:eastAsia="黑体" w:cs="黑体"/>
              <w:sz w:val="28"/>
              <w:szCs w:val="28"/>
            </w:rPr>
            <w:fldChar w:fldCharType="separate"/>
          </w:r>
          <w:r>
            <w:rPr>
              <w:rFonts w:hint="eastAsia" w:ascii="黑体" w:hAnsi="黑体" w:eastAsia="黑体" w:cs="黑体"/>
              <w:sz w:val="28"/>
              <w:szCs w:val="28"/>
            </w:rPr>
            <w:t>- 3 -</w:t>
          </w:r>
          <w:r>
            <w:rPr>
              <w:rFonts w:hint="eastAsia" w:ascii="黑体" w:hAnsi="黑体" w:eastAsia="黑体" w:cs="黑体"/>
              <w:sz w:val="28"/>
              <w:szCs w:val="28"/>
            </w:rPr>
            <w:fldChar w:fldCharType="end"/>
          </w:r>
          <w:r>
            <w:rPr>
              <w:rFonts w:hint="eastAsia" w:ascii="黑体" w:hAnsi="黑体" w:eastAsia="黑体" w:cs="黑体"/>
              <w:bCs/>
              <w:sz w:val="28"/>
              <w:szCs w:val="28"/>
            </w:rPr>
            <w:fldChar w:fldCharType="end"/>
          </w:r>
        </w:p>
        <w:p>
          <w:pPr>
            <w:pStyle w:val="12"/>
            <w:tabs>
              <w:tab w:val="right" w:leader="dot" w:pos="8306"/>
              <w:tab w:val="clear" w:pos="8296"/>
            </w:tabs>
            <w:rPr>
              <w:rFonts w:hint="eastAsia" w:ascii="Times New Roman" w:hAnsi="Times New Roman" w:eastAsia="方正小标宋简体" w:cs="方正小标宋简体"/>
              <w:b w:val="0"/>
              <w:bCs/>
              <w:kern w:val="44"/>
              <w:sz w:val="28"/>
              <w:szCs w:val="28"/>
              <w:lang w:val="en-US" w:eastAsia="zh-CN" w:bidi="ar-SA"/>
            </w:rPr>
          </w:pPr>
          <w:r>
            <w:rPr>
              <w:rFonts w:hint="eastAsia" w:ascii="Times New Roman" w:hAnsi="Times New Roman" w:eastAsia="方正小标宋简体" w:cs="方正小标宋简体"/>
              <w:b w:val="0"/>
              <w:bCs/>
              <w:kern w:val="44"/>
              <w:sz w:val="28"/>
              <w:szCs w:val="28"/>
              <w:lang w:val="en-US" w:eastAsia="zh-CN" w:bidi="ar-SA"/>
            </w:rPr>
            <w:fldChar w:fldCharType="begin"/>
          </w:r>
          <w:r>
            <w:rPr>
              <w:rFonts w:hint="eastAsia" w:ascii="Times New Roman" w:hAnsi="Times New Roman" w:eastAsia="方正小标宋简体" w:cs="方正小标宋简体"/>
              <w:b w:val="0"/>
              <w:bCs/>
              <w:kern w:val="44"/>
              <w:sz w:val="28"/>
              <w:szCs w:val="28"/>
              <w:lang w:val="en-US" w:eastAsia="zh-CN" w:bidi="ar-SA"/>
            </w:rPr>
            <w:instrText xml:space="preserve"> HYPERLINK \l _Toc5056 </w:instrText>
          </w:r>
          <w:r>
            <w:rPr>
              <w:rFonts w:hint="eastAsia" w:ascii="Times New Roman" w:hAnsi="Times New Roman" w:eastAsia="方正小标宋简体" w:cs="方正小标宋简体"/>
              <w:b w:val="0"/>
              <w:bCs/>
              <w:kern w:val="44"/>
              <w:sz w:val="28"/>
              <w:szCs w:val="28"/>
              <w:lang w:val="en-US" w:eastAsia="zh-CN" w:bidi="ar-SA"/>
            </w:rPr>
            <w:fldChar w:fldCharType="separate"/>
          </w:r>
          <w:r>
            <w:rPr>
              <w:rFonts w:hint="eastAsia" w:ascii="Times New Roman" w:hAnsi="Times New Roman" w:eastAsia="方正小标宋简体" w:cs="方正小标宋简体"/>
              <w:b w:val="0"/>
              <w:bCs/>
              <w:kern w:val="44"/>
              <w:sz w:val="28"/>
              <w:szCs w:val="28"/>
              <w:lang w:val="en-US" w:eastAsia="zh-CN" w:bidi="ar-SA"/>
            </w:rPr>
            <w:t>第二部分  2024年度单位决算情况说明</w:t>
          </w:r>
          <w:r>
            <w:rPr>
              <w:rFonts w:hint="eastAsia" w:ascii="Times New Roman" w:hAnsi="Times New Roman" w:eastAsia="方正小标宋简体" w:cs="方正小标宋简体"/>
              <w:b w:val="0"/>
              <w:bCs/>
              <w:kern w:val="44"/>
              <w:sz w:val="28"/>
              <w:szCs w:val="28"/>
              <w:lang w:val="en-US" w:eastAsia="zh-CN" w:bidi="ar-SA"/>
            </w:rPr>
            <w:tab/>
          </w:r>
          <w:r>
            <w:rPr>
              <w:rFonts w:hint="eastAsia" w:ascii="Times New Roman" w:hAnsi="Times New Roman" w:eastAsia="方正小标宋简体" w:cs="方正小标宋简体"/>
              <w:b w:val="0"/>
              <w:bCs/>
              <w:kern w:val="44"/>
              <w:sz w:val="28"/>
              <w:szCs w:val="28"/>
              <w:lang w:val="en-US" w:eastAsia="zh-CN" w:bidi="ar-SA"/>
            </w:rPr>
            <w:fldChar w:fldCharType="begin"/>
          </w:r>
          <w:r>
            <w:rPr>
              <w:rFonts w:hint="eastAsia" w:ascii="Times New Roman" w:hAnsi="Times New Roman" w:eastAsia="方正小标宋简体" w:cs="方正小标宋简体"/>
              <w:b w:val="0"/>
              <w:bCs/>
              <w:kern w:val="44"/>
              <w:sz w:val="28"/>
              <w:szCs w:val="28"/>
              <w:lang w:val="en-US" w:eastAsia="zh-CN" w:bidi="ar-SA"/>
            </w:rPr>
            <w:instrText xml:space="preserve"> PAGEREF _Toc5056 \h </w:instrText>
          </w:r>
          <w:r>
            <w:rPr>
              <w:rFonts w:hint="eastAsia" w:ascii="Times New Roman" w:hAnsi="Times New Roman" w:eastAsia="方正小标宋简体" w:cs="方正小标宋简体"/>
              <w:b w:val="0"/>
              <w:bCs/>
              <w:kern w:val="44"/>
              <w:sz w:val="28"/>
              <w:szCs w:val="28"/>
              <w:lang w:val="en-US" w:eastAsia="zh-CN" w:bidi="ar-SA"/>
            </w:rPr>
            <w:fldChar w:fldCharType="separate"/>
          </w:r>
          <w:r>
            <w:rPr>
              <w:rFonts w:hint="eastAsia" w:ascii="Times New Roman" w:hAnsi="Times New Roman" w:eastAsia="方正小标宋简体" w:cs="方正小标宋简体"/>
              <w:b w:val="0"/>
              <w:bCs/>
              <w:kern w:val="44"/>
              <w:sz w:val="28"/>
              <w:szCs w:val="28"/>
              <w:lang w:val="en-US" w:eastAsia="zh-CN" w:bidi="ar-SA"/>
            </w:rPr>
            <w:t>- 4 -</w:t>
          </w:r>
          <w:r>
            <w:rPr>
              <w:rFonts w:hint="eastAsia" w:ascii="Times New Roman" w:hAnsi="Times New Roman" w:eastAsia="方正小标宋简体" w:cs="方正小标宋简体"/>
              <w:b w:val="0"/>
              <w:bCs/>
              <w:kern w:val="44"/>
              <w:sz w:val="28"/>
              <w:szCs w:val="28"/>
              <w:lang w:val="en-US" w:eastAsia="zh-CN" w:bidi="ar-SA"/>
            </w:rPr>
            <w:fldChar w:fldCharType="end"/>
          </w:r>
          <w:r>
            <w:rPr>
              <w:rFonts w:hint="eastAsia" w:ascii="Times New Roman" w:hAnsi="Times New Roman" w:eastAsia="方正小标宋简体" w:cs="方正小标宋简体"/>
              <w:b w:val="0"/>
              <w:bCs/>
              <w:kern w:val="44"/>
              <w:sz w:val="28"/>
              <w:szCs w:val="28"/>
              <w:lang w:val="en-US" w:eastAsia="zh-CN" w:bidi="ar-SA"/>
            </w:rPr>
            <w:fldChar w:fldCharType="end"/>
          </w:r>
        </w:p>
        <w:p>
          <w:pPr>
            <w:pStyle w:val="14"/>
            <w:tabs>
              <w:tab w:val="right" w:leader="dot" w:pos="8306"/>
              <w:tab w:val="clear" w:pos="8296"/>
            </w:tabs>
            <w:rPr>
              <w:rFonts w:hint="eastAsia" w:ascii="黑体" w:hAnsi="黑体" w:eastAsia="黑体" w:cs="黑体"/>
              <w:bCs/>
              <w:sz w:val="28"/>
              <w:szCs w:val="28"/>
            </w:rPr>
          </w:pPr>
          <w:r>
            <w:rPr>
              <w:rFonts w:hint="eastAsia" w:ascii="黑体" w:hAnsi="黑体" w:eastAsia="黑体" w:cs="黑体"/>
              <w:bCs/>
              <w:sz w:val="28"/>
              <w:szCs w:val="28"/>
            </w:rPr>
            <w:fldChar w:fldCharType="begin"/>
          </w:r>
          <w:r>
            <w:rPr>
              <w:rFonts w:hint="eastAsia" w:ascii="黑体" w:hAnsi="黑体" w:eastAsia="黑体" w:cs="黑体"/>
              <w:bCs/>
              <w:sz w:val="28"/>
              <w:szCs w:val="28"/>
            </w:rPr>
            <w:instrText xml:space="preserve"> HYPERLINK \l _Toc1539 </w:instrText>
          </w:r>
          <w:r>
            <w:rPr>
              <w:rFonts w:hint="eastAsia" w:ascii="黑体" w:hAnsi="黑体" w:eastAsia="黑体" w:cs="黑体"/>
              <w:bCs/>
              <w:sz w:val="28"/>
              <w:szCs w:val="28"/>
            </w:rPr>
            <w:fldChar w:fldCharType="separate"/>
          </w:r>
          <w:r>
            <w:rPr>
              <w:rFonts w:hint="eastAsia" w:ascii="黑体" w:hAnsi="黑体" w:eastAsia="黑体" w:cs="黑体"/>
              <w:bCs/>
              <w:sz w:val="28"/>
              <w:szCs w:val="28"/>
            </w:rPr>
            <w:t>一、收入支出决算总体情况说明</w:t>
          </w:r>
          <w:r>
            <w:rPr>
              <w:rFonts w:hint="eastAsia" w:ascii="黑体" w:hAnsi="黑体" w:eastAsia="黑体" w:cs="黑体"/>
              <w:bCs/>
              <w:sz w:val="28"/>
              <w:szCs w:val="28"/>
            </w:rPr>
            <w:tab/>
          </w:r>
          <w:r>
            <w:rPr>
              <w:rFonts w:hint="eastAsia" w:ascii="黑体" w:hAnsi="黑体" w:eastAsia="黑体" w:cs="黑体"/>
              <w:bCs/>
              <w:sz w:val="28"/>
              <w:szCs w:val="28"/>
            </w:rPr>
            <w:fldChar w:fldCharType="begin"/>
          </w:r>
          <w:r>
            <w:rPr>
              <w:rFonts w:hint="eastAsia" w:ascii="黑体" w:hAnsi="黑体" w:eastAsia="黑体" w:cs="黑体"/>
              <w:bCs/>
              <w:sz w:val="28"/>
              <w:szCs w:val="28"/>
            </w:rPr>
            <w:instrText xml:space="preserve"> PAGEREF _Toc1539 \h </w:instrText>
          </w:r>
          <w:r>
            <w:rPr>
              <w:rFonts w:hint="eastAsia" w:ascii="黑体" w:hAnsi="黑体" w:eastAsia="黑体" w:cs="黑体"/>
              <w:bCs/>
              <w:sz w:val="28"/>
              <w:szCs w:val="28"/>
            </w:rPr>
            <w:fldChar w:fldCharType="separate"/>
          </w:r>
          <w:r>
            <w:rPr>
              <w:rFonts w:hint="eastAsia" w:ascii="黑体" w:hAnsi="黑体" w:eastAsia="黑体" w:cs="黑体"/>
              <w:bCs/>
              <w:sz w:val="28"/>
              <w:szCs w:val="28"/>
            </w:rPr>
            <w:t>- 4 -</w:t>
          </w:r>
          <w:r>
            <w:rPr>
              <w:rFonts w:hint="eastAsia" w:ascii="黑体" w:hAnsi="黑体" w:eastAsia="黑体" w:cs="黑体"/>
              <w:bCs/>
              <w:sz w:val="28"/>
              <w:szCs w:val="28"/>
            </w:rPr>
            <w:fldChar w:fldCharType="end"/>
          </w:r>
          <w:r>
            <w:rPr>
              <w:rFonts w:hint="eastAsia" w:ascii="黑体" w:hAnsi="黑体" w:eastAsia="黑体" w:cs="黑体"/>
              <w:bCs/>
              <w:sz w:val="28"/>
              <w:szCs w:val="28"/>
            </w:rPr>
            <w:fldChar w:fldCharType="end"/>
          </w:r>
        </w:p>
        <w:p>
          <w:pPr>
            <w:pStyle w:val="14"/>
            <w:tabs>
              <w:tab w:val="right" w:leader="dot" w:pos="8306"/>
              <w:tab w:val="clear" w:pos="8296"/>
            </w:tabs>
            <w:rPr>
              <w:rFonts w:hint="eastAsia" w:ascii="黑体" w:hAnsi="黑体" w:eastAsia="黑体" w:cs="黑体"/>
              <w:bCs/>
              <w:sz w:val="28"/>
              <w:szCs w:val="28"/>
            </w:rPr>
          </w:pPr>
          <w:r>
            <w:rPr>
              <w:rFonts w:hint="eastAsia" w:ascii="黑体" w:hAnsi="黑体" w:eastAsia="黑体" w:cs="黑体"/>
              <w:bCs/>
              <w:sz w:val="28"/>
              <w:szCs w:val="28"/>
            </w:rPr>
            <w:fldChar w:fldCharType="begin"/>
          </w:r>
          <w:r>
            <w:rPr>
              <w:rFonts w:hint="eastAsia" w:ascii="黑体" w:hAnsi="黑体" w:eastAsia="黑体" w:cs="黑体"/>
              <w:bCs/>
              <w:sz w:val="28"/>
              <w:szCs w:val="28"/>
            </w:rPr>
            <w:instrText xml:space="preserve"> HYPERLINK \l _Toc22737 </w:instrText>
          </w:r>
          <w:r>
            <w:rPr>
              <w:rFonts w:hint="eastAsia" w:ascii="黑体" w:hAnsi="黑体" w:eastAsia="黑体" w:cs="黑体"/>
              <w:bCs/>
              <w:sz w:val="28"/>
              <w:szCs w:val="28"/>
            </w:rPr>
            <w:fldChar w:fldCharType="separate"/>
          </w:r>
          <w:r>
            <w:rPr>
              <w:rFonts w:hint="eastAsia" w:ascii="黑体" w:hAnsi="黑体" w:eastAsia="黑体" w:cs="黑体"/>
              <w:bCs/>
              <w:sz w:val="28"/>
              <w:szCs w:val="28"/>
            </w:rPr>
            <w:t>二、收入决算情况说明</w:t>
          </w:r>
          <w:r>
            <w:rPr>
              <w:rFonts w:hint="eastAsia" w:ascii="黑体" w:hAnsi="黑体" w:eastAsia="黑体" w:cs="黑体"/>
              <w:bCs/>
              <w:sz w:val="28"/>
              <w:szCs w:val="28"/>
            </w:rPr>
            <w:tab/>
          </w:r>
          <w:r>
            <w:rPr>
              <w:rFonts w:hint="eastAsia" w:ascii="黑体" w:hAnsi="黑体" w:eastAsia="黑体" w:cs="黑体"/>
              <w:bCs/>
              <w:sz w:val="28"/>
              <w:szCs w:val="28"/>
            </w:rPr>
            <w:fldChar w:fldCharType="begin"/>
          </w:r>
          <w:r>
            <w:rPr>
              <w:rFonts w:hint="eastAsia" w:ascii="黑体" w:hAnsi="黑体" w:eastAsia="黑体" w:cs="黑体"/>
              <w:bCs/>
              <w:sz w:val="28"/>
              <w:szCs w:val="28"/>
            </w:rPr>
            <w:instrText xml:space="preserve"> PAGEREF _Toc22737 \h </w:instrText>
          </w:r>
          <w:r>
            <w:rPr>
              <w:rFonts w:hint="eastAsia" w:ascii="黑体" w:hAnsi="黑体" w:eastAsia="黑体" w:cs="黑体"/>
              <w:bCs/>
              <w:sz w:val="28"/>
              <w:szCs w:val="28"/>
            </w:rPr>
            <w:fldChar w:fldCharType="separate"/>
          </w:r>
          <w:r>
            <w:rPr>
              <w:rFonts w:hint="eastAsia" w:ascii="黑体" w:hAnsi="黑体" w:eastAsia="黑体" w:cs="黑体"/>
              <w:bCs/>
              <w:sz w:val="28"/>
              <w:szCs w:val="28"/>
            </w:rPr>
            <w:t>- 4 -</w:t>
          </w:r>
          <w:r>
            <w:rPr>
              <w:rFonts w:hint="eastAsia" w:ascii="黑体" w:hAnsi="黑体" w:eastAsia="黑体" w:cs="黑体"/>
              <w:bCs/>
              <w:sz w:val="28"/>
              <w:szCs w:val="28"/>
            </w:rPr>
            <w:fldChar w:fldCharType="end"/>
          </w:r>
          <w:r>
            <w:rPr>
              <w:rFonts w:hint="eastAsia" w:ascii="黑体" w:hAnsi="黑体" w:eastAsia="黑体" w:cs="黑体"/>
              <w:bCs/>
              <w:sz w:val="28"/>
              <w:szCs w:val="28"/>
            </w:rPr>
            <w:fldChar w:fldCharType="end"/>
          </w:r>
        </w:p>
        <w:p>
          <w:pPr>
            <w:pStyle w:val="14"/>
            <w:tabs>
              <w:tab w:val="right" w:leader="dot" w:pos="8306"/>
              <w:tab w:val="clear" w:pos="8296"/>
            </w:tabs>
            <w:rPr>
              <w:rFonts w:hint="eastAsia" w:ascii="黑体" w:hAnsi="黑体" w:eastAsia="黑体" w:cs="黑体"/>
              <w:bCs/>
              <w:sz w:val="28"/>
              <w:szCs w:val="28"/>
            </w:rPr>
          </w:pPr>
          <w:r>
            <w:rPr>
              <w:rFonts w:hint="eastAsia" w:ascii="黑体" w:hAnsi="黑体" w:eastAsia="黑体" w:cs="黑体"/>
              <w:bCs/>
              <w:sz w:val="28"/>
              <w:szCs w:val="28"/>
            </w:rPr>
            <w:fldChar w:fldCharType="begin"/>
          </w:r>
          <w:r>
            <w:rPr>
              <w:rFonts w:hint="eastAsia" w:ascii="黑体" w:hAnsi="黑体" w:eastAsia="黑体" w:cs="黑体"/>
              <w:bCs/>
              <w:sz w:val="28"/>
              <w:szCs w:val="28"/>
            </w:rPr>
            <w:instrText xml:space="preserve"> HYPERLINK \l _Toc3923 </w:instrText>
          </w:r>
          <w:r>
            <w:rPr>
              <w:rFonts w:hint="eastAsia" w:ascii="黑体" w:hAnsi="黑体" w:eastAsia="黑体" w:cs="黑体"/>
              <w:bCs/>
              <w:sz w:val="28"/>
              <w:szCs w:val="28"/>
            </w:rPr>
            <w:fldChar w:fldCharType="separate"/>
          </w:r>
          <w:r>
            <w:rPr>
              <w:rFonts w:hint="eastAsia" w:ascii="黑体" w:hAnsi="黑体" w:eastAsia="黑体" w:cs="黑体"/>
              <w:bCs/>
              <w:sz w:val="28"/>
              <w:szCs w:val="28"/>
            </w:rPr>
            <w:t>三、支出决算情况说明</w:t>
          </w:r>
          <w:r>
            <w:rPr>
              <w:rFonts w:hint="eastAsia" w:ascii="黑体" w:hAnsi="黑体" w:eastAsia="黑体" w:cs="黑体"/>
              <w:bCs/>
              <w:sz w:val="28"/>
              <w:szCs w:val="28"/>
            </w:rPr>
            <w:tab/>
          </w:r>
          <w:r>
            <w:rPr>
              <w:rFonts w:hint="eastAsia" w:ascii="黑体" w:hAnsi="黑体" w:eastAsia="黑体" w:cs="黑体"/>
              <w:bCs/>
              <w:sz w:val="28"/>
              <w:szCs w:val="28"/>
            </w:rPr>
            <w:fldChar w:fldCharType="begin"/>
          </w:r>
          <w:r>
            <w:rPr>
              <w:rFonts w:hint="eastAsia" w:ascii="黑体" w:hAnsi="黑体" w:eastAsia="黑体" w:cs="黑体"/>
              <w:bCs/>
              <w:sz w:val="28"/>
              <w:szCs w:val="28"/>
            </w:rPr>
            <w:instrText xml:space="preserve"> PAGEREF _Toc3923 \h </w:instrText>
          </w:r>
          <w:r>
            <w:rPr>
              <w:rFonts w:hint="eastAsia" w:ascii="黑体" w:hAnsi="黑体" w:eastAsia="黑体" w:cs="黑体"/>
              <w:bCs/>
              <w:sz w:val="28"/>
              <w:szCs w:val="28"/>
            </w:rPr>
            <w:fldChar w:fldCharType="separate"/>
          </w:r>
          <w:r>
            <w:rPr>
              <w:rFonts w:hint="eastAsia" w:ascii="黑体" w:hAnsi="黑体" w:eastAsia="黑体" w:cs="黑体"/>
              <w:bCs/>
              <w:sz w:val="28"/>
              <w:szCs w:val="28"/>
            </w:rPr>
            <w:t>- 5 -</w:t>
          </w:r>
          <w:r>
            <w:rPr>
              <w:rFonts w:hint="eastAsia" w:ascii="黑体" w:hAnsi="黑体" w:eastAsia="黑体" w:cs="黑体"/>
              <w:bCs/>
              <w:sz w:val="28"/>
              <w:szCs w:val="28"/>
            </w:rPr>
            <w:fldChar w:fldCharType="end"/>
          </w:r>
          <w:r>
            <w:rPr>
              <w:rFonts w:hint="eastAsia" w:ascii="黑体" w:hAnsi="黑体" w:eastAsia="黑体" w:cs="黑体"/>
              <w:bCs/>
              <w:sz w:val="28"/>
              <w:szCs w:val="28"/>
            </w:rPr>
            <w:fldChar w:fldCharType="end"/>
          </w:r>
        </w:p>
        <w:p>
          <w:pPr>
            <w:pStyle w:val="14"/>
            <w:tabs>
              <w:tab w:val="right" w:leader="dot" w:pos="8306"/>
              <w:tab w:val="clear" w:pos="8296"/>
            </w:tabs>
            <w:rPr>
              <w:rFonts w:hint="eastAsia" w:ascii="黑体" w:hAnsi="黑体" w:eastAsia="黑体" w:cs="黑体"/>
              <w:bCs/>
              <w:sz w:val="28"/>
              <w:szCs w:val="28"/>
            </w:rPr>
          </w:pPr>
          <w:r>
            <w:rPr>
              <w:rFonts w:hint="eastAsia" w:ascii="黑体" w:hAnsi="黑体" w:eastAsia="黑体" w:cs="黑体"/>
              <w:bCs/>
              <w:sz w:val="28"/>
              <w:szCs w:val="28"/>
            </w:rPr>
            <w:fldChar w:fldCharType="begin"/>
          </w:r>
          <w:r>
            <w:rPr>
              <w:rFonts w:hint="eastAsia" w:ascii="黑体" w:hAnsi="黑体" w:eastAsia="黑体" w:cs="黑体"/>
              <w:bCs/>
              <w:sz w:val="28"/>
              <w:szCs w:val="28"/>
            </w:rPr>
            <w:instrText xml:space="preserve"> HYPERLINK \l _Toc7165 </w:instrText>
          </w:r>
          <w:r>
            <w:rPr>
              <w:rFonts w:hint="eastAsia" w:ascii="黑体" w:hAnsi="黑体" w:eastAsia="黑体" w:cs="黑体"/>
              <w:bCs/>
              <w:sz w:val="28"/>
              <w:szCs w:val="28"/>
            </w:rPr>
            <w:fldChar w:fldCharType="separate"/>
          </w:r>
          <w:r>
            <w:rPr>
              <w:rFonts w:hint="eastAsia" w:ascii="黑体" w:hAnsi="黑体" w:eastAsia="黑体" w:cs="黑体"/>
              <w:bCs/>
              <w:sz w:val="28"/>
              <w:szCs w:val="28"/>
            </w:rPr>
            <w:t>四、财政拨款收入支出决算总体情况说明</w:t>
          </w:r>
          <w:r>
            <w:rPr>
              <w:rFonts w:hint="eastAsia" w:ascii="黑体" w:hAnsi="黑体" w:eastAsia="黑体" w:cs="黑体"/>
              <w:bCs/>
              <w:sz w:val="28"/>
              <w:szCs w:val="28"/>
            </w:rPr>
            <w:tab/>
          </w:r>
          <w:r>
            <w:rPr>
              <w:rFonts w:hint="eastAsia" w:ascii="黑体" w:hAnsi="黑体" w:eastAsia="黑体" w:cs="黑体"/>
              <w:bCs/>
              <w:sz w:val="28"/>
              <w:szCs w:val="28"/>
            </w:rPr>
            <w:fldChar w:fldCharType="begin"/>
          </w:r>
          <w:r>
            <w:rPr>
              <w:rFonts w:hint="eastAsia" w:ascii="黑体" w:hAnsi="黑体" w:eastAsia="黑体" w:cs="黑体"/>
              <w:bCs/>
              <w:sz w:val="28"/>
              <w:szCs w:val="28"/>
            </w:rPr>
            <w:instrText xml:space="preserve"> PAGEREF _Toc7165 \h </w:instrText>
          </w:r>
          <w:r>
            <w:rPr>
              <w:rFonts w:hint="eastAsia" w:ascii="黑体" w:hAnsi="黑体" w:eastAsia="黑体" w:cs="黑体"/>
              <w:bCs/>
              <w:sz w:val="28"/>
              <w:szCs w:val="28"/>
            </w:rPr>
            <w:fldChar w:fldCharType="separate"/>
          </w:r>
          <w:r>
            <w:rPr>
              <w:rFonts w:hint="eastAsia" w:ascii="黑体" w:hAnsi="黑体" w:eastAsia="黑体" w:cs="黑体"/>
              <w:bCs/>
              <w:sz w:val="28"/>
              <w:szCs w:val="28"/>
            </w:rPr>
            <w:t>- 6 -</w:t>
          </w:r>
          <w:r>
            <w:rPr>
              <w:rFonts w:hint="eastAsia" w:ascii="黑体" w:hAnsi="黑体" w:eastAsia="黑体" w:cs="黑体"/>
              <w:bCs/>
              <w:sz w:val="28"/>
              <w:szCs w:val="28"/>
            </w:rPr>
            <w:fldChar w:fldCharType="end"/>
          </w:r>
          <w:r>
            <w:rPr>
              <w:rFonts w:hint="eastAsia" w:ascii="黑体" w:hAnsi="黑体" w:eastAsia="黑体" w:cs="黑体"/>
              <w:bCs/>
              <w:sz w:val="28"/>
              <w:szCs w:val="28"/>
            </w:rPr>
            <w:fldChar w:fldCharType="end"/>
          </w:r>
        </w:p>
        <w:p>
          <w:pPr>
            <w:pStyle w:val="14"/>
            <w:tabs>
              <w:tab w:val="right" w:leader="dot" w:pos="8306"/>
              <w:tab w:val="clear" w:pos="8296"/>
            </w:tabs>
            <w:rPr>
              <w:rFonts w:hint="eastAsia" w:ascii="黑体" w:hAnsi="黑体" w:eastAsia="黑体" w:cs="黑体"/>
              <w:bCs/>
              <w:sz w:val="28"/>
              <w:szCs w:val="28"/>
            </w:rPr>
          </w:pPr>
          <w:r>
            <w:rPr>
              <w:rFonts w:hint="eastAsia" w:ascii="黑体" w:hAnsi="黑体" w:eastAsia="黑体" w:cs="黑体"/>
              <w:bCs/>
              <w:sz w:val="28"/>
              <w:szCs w:val="28"/>
            </w:rPr>
            <w:fldChar w:fldCharType="begin"/>
          </w:r>
          <w:r>
            <w:rPr>
              <w:rFonts w:hint="eastAsia" w:ascii="黑体" w:hAnsi="黑体" w:eastAsia="黑体" w:cs="黑体"/>
              <w:bCs/>
              <w:sz w:val="28"/>
              <w:szCs w:val="28"/>
            </w:rPr>
            <w:instrText xml:space="preserve"> HYPERLINK \l _Toc28319 </w:instrText>
          </w:r>
          <w:r>
            <w:rPr>
              <w:rFonts w:hint="eastAsia" w:ascii="黑体" w:hAnsi="黑体" w:eastAsia="黑体" w:cs="黑体"/>
              <w:bCs/>
              <w:sz w:val="28"/>
              <w:szCs w:val="28"/>
            </w:rPr>
            <w:fldChar w:fldCharType="separate"/>
          </w:r>
          <w:r>
            <w:rPr>
              <w:rFonts w:hint="eastAsia" w:ascii="黑体" w:hAnsi="黑体" w:eastAsia="黑体" w:cs="黑体"/>
              <w:bCs/>
              <w:sz w:val="28"/>
              <w:szCs w:val="28"/>
            </w:rPr>
            <w:t>五、一般公共预算财政拨款支出决算情况说明</w:t>
          </w:r>
          <w:r>
            <w:rPr>
              <w:rFonts w:hint="eastAsia" w:ascii="黑体" w:hAnsi="黑体" w:eastAsia="黑体" w:cs="黑体"/>
              <w:bCs/>
              <w:sz w:val="28"/>
              <w:szCs w:val="28"/>
            </w:rPr>
            <w:tab/>
          </w:r>
          <w:r>
            <w:rPr>
              <w:rFonts w:hint="eastAsia" w:ascii="黑体" w:hAnsi="黑体" w:eastAsia="黑体" w:cs="黑体"/>
              <w:bCs/>
              <w:sz w:val="28"/>
              <w:szCs w:val="28"/>
            </w:rPr>
            <w:fldChar w:fldCharType="begin"/>
          </w:r>
          <w:r>
            <w:rPr>
              <w:rFonts w:hint="eastAsia" w:ascii="黑体" w:hAnsi="黑体" w:eastAsia="黑体" w:cs="黑体"/>
              <w:bCs/>
              <w:sz w:val="28"/>
              <w:szCs w:val="28"/>
            </w:rPr>
            <w:instrText xml:space="preserve"> PAGEREF _Toc28319 \h </w:instrText>
          </w:r>
          <w:r>
            <w:rPr>
              <w:rFonts w:hint="eastAsia" w:ascii="黑体" w:hAnsi="黑体" w:eastAsia="黑体" w:cs="黑体"/>
              <w:bCs/>
              <w:sz w:val="28"/>
              <w:szCs w:val="28"/>
            </w:rPr>
            <w:fldChar w:fldCharType="separate"/>
          </w:r>
          <w:r>
            <w:rPr>
              <w:rFonts w:hint="eastAsia" w:ascii="黑体" w:hAnsi="黑体" w:eastAsia="黑体" w:cs="黑体"/>
              <w:bCs/>
              <w:sz w:val="28"/>
              <w:szCs w:val="28"/>
            </w:rPr>
            <w:t>- 6 -</w:t>
          </w:r>
          <w:r>
            <w:rPr>
              <w:rFonts w:hint="eastAsia" w:ascii="黑体" w:hAnsi="黑体" w:eastAsia="黑体" w:cs="黑体"/>
              <w:bCs/>
              <w:sz w:val="28"/>
              <w:szCs w:val="28"/>
            </w:rPr>
            <w:fldChar w:fldCharType="end"/>
          </w:r>
          <w:r>
            <w:rPr>
              <w:rFonts w:hint="eastAsia" w:ascii="黑体" w:hAnsi="黑体" w:eastAsia="黑体" w:cs="黑体"/>
              <w:bCs/>
              <w:sz w:val="28"/>
              <w:szCs w:val="28"/>
            </w:rPr>
            <w:fldChar w:fldCharType="end"/>
          </w:r>
        </w:p>
        <w:p>
          <w:pPr>
            <w:pStyle w:val="14"/>
            <w:tabs>
              <w:tab w:val="right" w:leader="dot" w:pos="8306"/>
              <w:tab w:val="clear" w:pos="8296"/>
            </w:tabs>
            <w:rPr>
              <w:rFonts w:hint="eastAsia" w:ascii="黑体" w:hAnsi="黑体" w:eastAsia="黑体" w:cs="黑体"/>
              <w:bCs/>
              <w:sz w:val="28"/>
              <w:szCs w:val="28"/>
            </w:rPr>
          </w:pPr>
          <w:r>
            <w:rPr>
              <w:rFonts w:hint="eastAsia" w:ascii="黑体" w:hAnsi="黑体" w:eastAsia="黑体" w:cs="黑体"/>
              <w:bCs/>
              <w:sz w:val="28"/>
              <w:szCs w:val="28"/>
            </w:rPr>
            <w:fldChar w:fldCharType="begin"/>
          </w:r>
          <w:r>
            <w:rPr>
              <w:rFonts w:hint="eastAsia" w:ascii="黑体" w:hAnsi="黑体" w:eastAsia="黑体" w:cs="黑体"/>
              <w:bCs/>
              <w:sz w:val="28"/>
              <w:szCs w:val="28"/>
            </w:rPr>
            <w:instrText xml:space="preserve"> HYPERLINK \l _Toc12622 </w:instrText>
          </w:r>
          <w:r>
            <w:rPr>
              <w:rFonts w:hint="eastAsia" w:ascii="黑体" w:hAnsi="黑体" w:eastAsia="黑体" w:cs="黑体"/>
              <w:bCs/>
              <w:sz w:val="28"/>
              <w:szCs w:val="28"/>
            </w:rPr>
            <w:fldChar w:fldCharType="separate"/>
          </w:r>
          <w:r>
            <w:rPr>
              <w:rFonts w:hint="eastAsia" w:ascii="黑体" w:hAnsi="黑体" w:eastAsia="黑体" w:cs="黑体"/>
              <w:bCs/>
              <w:sz w:val="28"/>
              <w:szCs w:val="28"/>
            </w:rPr>
            <w:t>六、一般公共预算财政拨款基本支出决算情况说明</w:t>
          </w:r>
          <w:r>
            <w:rPr>
              <w:rFonts w:hint="eastAsia" w:ascii="黑体" w:hAnsi="黑体" w:eastAsia="黑体" w:cs="黑体"/>
              <w:bCs/>
              <w:sz w:val="28"/>
              <w:szCs w:val="28"/>
            </w:rPr>
            <w:tab/>
          </w:r>
          <w:r>
            <w:rPr>
              <w:rFonts w:hint="eastAsia" w:ascii="黑体" w:hAnsi="黑体" w:eastAsia="黑体" w:cs="黑体"/>
              <w:bCs/>
              <w:sz w:val="28"/>
              <w:szCs w:val="28"/>
            </w:rPr>
            <w:fldChar w:fldCharType="begin"/>
          </w:r>
          <w:r>
            <w:rPr>
              <w:rFonts w:hint="eastAsia" w:ascii="黑体" w:hAnsi="黑体" w:eastAsia="黑体" w:cs="黑体"/>
              <w:bCs/>
              <w:sz w:val="28"/>
              <w:szCs w:val="28"/>
            </w:rPr>
            <w:instrText xml:space="preserve"> PAGEREF _Toc12622 \h </w:instrText>
          </w:r>
          <w:r>
            <w:rPr>
              <w:rFonts w:hint="eastAsia" w:ascii="黑体" w:hAnsi="黑体" w:eastAsia="黑体" w:cs="黑体"/>
              <w:bCs/>
              <w:sz w:val="28"/>
              <w:szCs w:val="28"/>
            </w:rPr>
            <w:fldChar w:fldCharType="separate"/>
          </w:r>
          <w:r>
            <w:rPr>
              <w:rFonts w:hint="eastAsia" w:ascii="黑体" w:hAnsi="黑体" w:eastAsia="黑体" w:cs="黑体"/>
              <w:bCs/>
              <w:sz w:val="28"/>
              <w:szCs w:val="28"/>
            </w:rPr>
            <w:t>- 9 -</w:t>
          </w:r>
          <w:r>
            <w:rPr>
              <w:rFonts w:hint="eastAsia" w:ascii="黑体" w:hAnsi="黑体" w:eastAsia="黑体" w:cs="黑体"/>
              <w:bCs/>
              <w:sz w:val="28"/>
              <w:szCs w:val="28"/>
            </w:rPr>
            <w:fldChar w:fldCharType="end"/>
          </w:r>
          <w:r>
            <w:rPr>
              <w:rFonts w:hint="eastAsia" w:ascii="黑体" w:hAnsi="黑体" w:eastAsia="黑体" w:cs="黑体"/>
              <w:bCs/>
              <w:sz w:val="28"/>
              <w:szCs w:val="28"/>
            </w:rPr>
            <w:fldChar w:fldCharType="end"/>
          </w:r>
        </w:p>
        <w:p>
          <w:pPr>
            <w:pStyle w:val="14"/>
            <w:tabs>
              <w:tab w:val="right" w:leader="dot" w:pos="8306"/>
              <w:tab w:val="clear" w:pos="8296"/>
            </w:tabs>
            <w:rPr>
              <w:rFonts w:hint="eastAsia" w:ascii="黑体" w:hAnsi="黑体" w:eastAsia="黑体" w:cs="黑体"/>
              <w:bCs/>
              <w:sz w:val="28"/>
              <w:szCs w:val="28"/>
            </w:rPr>
          </w:pPr>
          <w:r>
            <w:rPr>
              <w:rFonts w:hint="eastAsia" w:ascii="黑体" w:hAnsi="黑体" w:eastAsia="黑体" w:cs="黑体"/>
              <w:bCs/>
              <w:sz w:val="28"/>
              <w:szCs w:val="28"/>
            </w:rPr>
            <w:fldChar w:fldCharType="begin"/>
          </w:r>
          <w:r>
            <w:rPr>
              <w:rFonts w:hint="eastAsia" w:ascii="黑体" w:hAnsi="黑体" w:eastAsia="黑体" w:cs="黑体"/>
              <w:bCs/>
              <w:sz w:val="28"/>
              <w:szCs w:val="28"/>
            </w:rPr>
            <w:instrText xml:space="preserve"> HYPERLINK \l _Toc3121 </w:instrText>
          </w:r>
          <w:r>
            <w:rPr>
              <w:rFonts w:hint="eastAsia" w:ascii="黑体" w:hAnsi="黑体" w:eastAsia="黑体" w:cs="黑体"/>
              <w:bCs/>
              <w:sz w:val="28"/>
              <w:szCs w:val="28"/>
            </w:rPr>
            <w:fldChar w:fldCharType="separate"/>
          </w:r>
          <w:r>
            <w:rPr>
              <w:rFonts w:hint="eastAsia" w:ascii="黑体" w:hAnsi="黑体" w:eastAsia="黑体" w:cs="黑体"/>
              <w:bCs/>
              <w:sz w:val="28"/>
              <w:szCs w:val="28"/>
            </w:rPr>
            <w:t>七、财政拨款“三公”经费支出决算情况说明</w:t>
          </w:r>
          <w:r>
            <w:rPr>
              <w:rFonts w:hint="eastAsia" w:ascii="黑体" w:hAnsi="黑体" w:eastAsia="黑体" w:cs="黑体"/>
              <w:bCs/>
              <w:sz w:val="28"/>
              <w:szCs w:val="28"/>
            </w:rPr>
            <w:tab/>
          </w:r>
          <w:r>
            <w:rPr>
              <w:rFonts w:hint="eastAsia" w:ascii="黑体" w:hAnsi="黑体" w:eastAsia="黑体" w:cs="黑体"/>
              <w:bCs/>
              <w:sz w:val="28"/>
              <w:szCs w:val="28"/>
            </w:rPr>
            <w:fldChar w:fldCharType="begin"/>
          </w:r>
          <w:r>
            <w:rPr>
              <w:rFonts w:hint="eastAsia" w:ascii="黑体" w:hAnsi="黑体" w:eastAsia="黑体" w:cs="黑体"/>
              <w:bCs/>
              <w:sz w:val="28"/>
              <w:szCs w:val="28"/>
            </w:rPr>
            <w:instrText xml:space="preserve"> PAGEREF _Toc3121 \h </w:instrText>
          </w:r>
          <w:r>
            <w:rPr>
              <w:rFonts w:hint="eastAsia" w:ascii="黑体" w:hAnsi="黑体" w:eastAsia="黑体" w:cs="黑体"/>
              <w:bCs/>
              <w:sz w:val="28"/>
              <w:szCs w:val="28"/>
            </w:rPr>
            <w:fldChar w:fldCharType="separate"/>
          </w:r>
          <w:r>
            <w:rPr>
              <w:rFonts w:hint="eastAsia" w:ascii="黑体" w:hAnsi="黑体" w:eastAsia="黑体" w:cs="黑体"/>
              <w:bCs/>
              <w:sz w:val="28"/>
              <w:szCs w:val="28"/>
            </w:rPr>
            <w:t>- 9 -</w:t>
          </w:r>
          <w:r>
            <w:rPr>
              <w:rFonts w:hint="eastAsia" w:ascii="黑体" w:hAnsi="黑体" w:eastAsia="黑体" w:cs="黑体"/>
              <w:bCs/>
              <w:sz w:val="28"/>
              <w:szCs w:val="28"/>
            </w:rPr>
            <w:fldChar w:fldCharType="end"/>
          </w:r>
          <w:r>
            <w:rPr>
              <w:rFonts w:hint="eastAsia" w:ascii="黑体" w:hAnsi="黑体" w:eastAsia="黑体" w:cs="黑体"/>
              <w:bCs/>
              <w:sz w:val="28"/>
              <w:szCs w:val="28"/>
            </w:rPr>
            <w:fldChar w:fldCharType="end"/>
          </w:r>
        </w:p>
        <w:p>
          <w:pPr>
            <w:pStyle w:val="14"/>
            <w:tabs>
              <w:tab w:val="right" w:leader="dot" w:pos="8306"/>
              <w:tab w:val="clear" w:pos="8296"/>
            </w:tabs>
            <w:rPr>
              <w:rFonts w:hint="eastAsia" w:ascii="黑体" w:hAnsi="黑体" w:eastAsia="黑体" w:cs="黑体"/>
              <w:bCs/>
              <w:sz w:val="28"/>
              <w:szCs w:val="28"/>
            </w:rPr>
          </w:pPr>
          <w:r>
            <w:rPr>
              <w:rFonts w:hint="eastAsia" w:ascii="黑体" w:hAnsi="黑体" w:eastAsia="黑体" w:cs="黑体"/>
              <w:bCs/>
              <w:sz w:val="28"/>
              <w:szCs w:val="28"/>
            </w:rPr>
            <w:fldChar w:fldCharType="begin"/>
          </w:r>
          <w:r>
            <w:rPr>
              <w:rFonts w:hint="eastAsia" w:ascii="黑体" w:hAnsi="黑体" w:eastAsia="黑体" w:cs="黑体"/>
              <w:bCs/>
              <w:sz w:val="28"/>
              <w:szCs w:val="28"/>
            </w:rPr>
            <w:instrText xml:space="preserve"> HYPERLINK \l _Toc23203 </w:instrText>
          </w:r>
          <w:r>
            <w:rPr>
              <w:rFonts w:hint="eastAsia" w:ascii="黑体" w:hAnsi="黑体" w:eastAsia="黑体" w:cs="黑体"/>
              <w:bCs/>
              <w:sz w:val="28"/>
              <w:szCs w:val="28"/>
            </w:rPr>
            <w:fldChar w:fldCharType="separate"/>
          </w:r>
          <w:r>
            <w:rPr>
              <w:rFonts w:hint="eastAsia" w:ascii="黑体" w:hAnsi="黑体" w:eastAsia="黑体" w:cs="黑体"/>
              <w:bCs/>
              <w:sz w:val="28"/>
              <w:szCs w:val="28"/>
            </w:rPr>
            <w:t>八、政府性基金预算支出决算情况说明</w:t>
          </w:r>
          <w:r>
            <w:rPr>
              <w:rFonts w:hint="eastAsia" w:ascii="黑体" w:hAnsi="黑体" w:eastAsia="黑体" w:cs="黑体"/>
              <w:bCs/>
              <w:sz w:val="28"/>
              <w:szCs w:val="28"/>
            </w:rPr>
            <w:tab/>
          </w:r>
          <w:r>
            <w:rPr>
              <w:rFonts w:hint="eastAsia" w:ascii="黑体" w:hAnsi="黑体" w:eastAsia="黑体" w:cs="黑体"/>
              <w:bCs/>
              <w:sz w:val="28"/>
              <w:szCs w:val="28"/>
            </w:rPr>
            <w:fldChar w:fldCharType="begin"/>
          </w:r>
          <w:r>
            <w:rPr>
              <w:rFonts w:hint="eastAsia" w:ascii="黑体" w:hAnsi="黑体" w:eastAsia="黑体" w:cs="黑体"/>
              <w:bCs/>
              <w:sz w:val="28"/>
              <w:szCs w:val="28"/>
            </w:rPr>
            <w:instrText xml:space="preserve"> PAGEREF _Toc23203 \h </w:instrText>
          </w:r>
          <w:r>
            <w:rPr>
              <w:rFonts w:hint="eastAsia" w:ascii="黑体" w:hAnsi="黑体" w:eastAsia="黑体" w:cs="黑体"/>
              <w:bCs/>
              <w:sz w:val="28"/>
              <w:szCs w:val="28"/>
            </w:rPr>
            <w:fldChar w:fldCharType="separate"/>
          </w:r>
          <w:r>
            <w:rPr>
              <w:rFonts w:hint="eastAsia" w:ascii="黑体" w:hAnsi="黑体" w:eastAsia="黑体" w:cs="黑体"/>
              <w:bCs/>
              <w:sz w:val="28"/>
              <w:szCs w:val="28"/>
            </w:rPr>
            <w:t>- 11 -</w:t>
          </w:r>
          <w:r>
            <w:rPr>
              <w:rFonts w:hint="eastAsia" w:ascii="黑体" w:hAnsi="黑体" w:eastAsia="黑体" w:cs="黑体"/>
              <w:bCs/>
              <w:sz w:val="28"/>
              <w:szCs w:val="28"/>
            </w:rPr>
            <w:fldChar w:fldCharType="end"/>
          </w:r>
          <w:r>
            <w:rPr>
              <w:rFonts w:hint="eastAsia" w:ascii="黑体" w:hAnsi="黑体" w:eastAsia="黑体" w:cs="黑体"/>
              <w:bCs/>
              <w:sz w:val="28"/>
              <w:szCs w:val="28"/>
            </w:rPr>
            <w:fldChar w:fldCharType="end"/>
          </w:r>
        </w:p>
        <w:p>
          <w:pPr>
            <w:pStyle w:val="14"/>
            <w:tabs>
              <w:tab w:val="right" w:leader="dot" w:pos="8306"/>
              <w:tab w:val="clear" w:pos="8296"/>
            </w:tabs>
            <w:rPr>
              <w:rFonts w:hint="eastAsia" w:ascii="黑体" w:hAnsi="黑体" w:eastAsia="黑体" w:cs="黑体"/>
              <w:bCs/>
              <w:sz w:val="28"/>
              <w:szCs w:val="28"/>
            </w:rPr>
          </w:pPr>
          <w:r>
            <w:rPr>
              <w:rFonts w:hint="eastAsia" w:ascii="黑体" w:hAnsi="黑体" w:eastAsia="黑体" w:cs="黑体"/>
              <w:bCs/>
              <w:sz w:val="28"/>
              <w:szCs w:val="28"/>
            </w:rPr>
            <w:fldChar w:fldCharType="begin"/>
          </w:r>
          <w:r>
            <w:rPr>
              <w:rFonts w:hint="eastAsia" w:ascii="黑体" w:hAnsi="黑体" w:eastAsia="黑体" w:cs="黑体"/>
              <w:bCs/>
              <w:sz w:val="28"/>
              <w:szCs w:val="28"/>
            </w:rPr>
            <w:instrText xml:space="preserve"> HYPERLINK \l _Toc14890 </w:instrText>
          </w:r>
          <w:r>
            <w:rPr>
              <w:rFonts w:hint="eastAsia" w:ascii="黑体" w:hAnsi="黑体" w:eastAsia="黑体" w:cs="黑体"/>
              <w:bCs/>
              <w:sz w:val="28"/>
              <w:szCs w:val="28"/>
            </w:rPr>
            <w:fldChar w:fldCharType="separate"/>
          </w:r>
          <w:r>
            <w:rPr>
              <w:rFonts w:hint="eastAsia" w:ascii="黑体" w:hAnsi="黑体" w:eastAsia="黑体" w:cs="黑体"/>
              <w:bCs/>
              <w:sz w:val="28"/>
              <w:szCs w:val="28"/>
            </w:rPr>
            <w:t>九、国有资本经营预算支出决算情况说明</w:t>
          </w:r>
          <w:r>
            <w:rPr>
              <w:rFonts w:hint="eastAsia" w:ascii="黑体" w:hAnsi="黑体" w:eastAsia="黑体" w:cs="黑体"/>
              <w:bCs/>
              <w:sz w:val="28"/>
              <w:szCs w:val="28"/>
            </w:rPr>
            <w:tab/>
          </w:r>
          <w:r>
            <w:rPr>
              <w:rFonts w:hint="eastAsia" w:ascii="黑体" w:hAnsi="黑体" w:eastAsia="黑体" w:cs="黑体"/>
              <w:bCs/>
              <w:sz w:val="28"/>
              <w:szCs w:val="28"/>
            </w:rPr>
            <w:fldChar w:fldCharType="begin"/>
          </w:r>
          <w:r>
            <w:rPr>
              <w:rFonts w:hint="eastAsia" w:ascii="黑体" w:hAnsi="黑体" w:eastAsia="黑体" w:cs="黑体"/>
              <w:bCs/>
              <w:sz w:val="28"/>
              <w:szCs w:val="28"/>
            </w:rPr>
            <w:instrText xml:space="preserve"> PAGEREF _Toc14890 \h </w:instrText>
          </w:r>
          <w:r>
            <w:rPr>
              <w:rFonts w:hint="eastAsia" w:ascii="黑体" w:hAnsi="黑体" w:eastAsia="黑体" w:cs="黑体"/>
              <w:bCs/>
              <w:sz w:val="28"/>
              <w:szCs w:val="28"/>
            </w:rPr>
            <w:fldChar w:fldCharType="separate"/>
          </w:r>
          <w:r>
            <w:rPr>
              <w:rFonts w:hint="eastAsia" w:ascii="黑体" w:hAnsi="黑体" w:eastAsia="黑体" w:cs="黑体"/>
              <w:bCs/>
              <w:sz w:val="28"/>
              <w:szCs w:val="28"/>
            </w:rPr>
            <w:t>- 11 -</w:t>
          </w:r>
          <w:r>
            <w:rPr>
              <w:rFonts w:hint="eastAsia" w:ascii="黑体" w:hAnsi="黑体" w:eastAsia="黑体" w:cs="黑体"/>
              <w:bCs/>
              <w:sz w:val="28"/>
              <w:szCs w:val="28"/>
            </w:rPr>
            <w:fldChar w:fldCharType="end"/>
          </w:r>
          <w:r>
            <w:rPr>
              <w:rFonts w:hint="eastAsia" w:ascii="黑体" w:hAnsi="黑体" w:eastAsia="黑体" w:cs="黑体"/>
              <w:bCs/>
              <w:sz w:val="28"/>
              <w:szCs w:val="28"/>
            </w:rPr>
            <w:fldChar w:fldCharType="end"/>
          </w:r>
        </w:p>
        <w:p>
          <w:pPr>
            <w:pStyle w:val="14"/>
            <w:tabs>
              <w:tab w:val="right" w:leader="dot" w:pos="8306"/>
              <w:tab w:val="clear" w:pos="8296"/>
            </w:tabs>
          </w:pPr>
          <w:r>
            <w:rPr>
              <w:rFonts w:hint="eastAsia" w:ascii="黑体" w:hAnsi="黑体" w:eastAsia="黑体" w:cs="黑体"/>
              <w:bCs/>
              <w:sz w:val="28"/>
              <w:szCs w:val="28"/>
            </w:rPr>
            <w:fldChar w:fldCharType="begin"/>
          </w:r>
          <w:r>
            <w:rPr>
              <w:rFonts w:hint="eastAsia" w:ascii="黑体" w:hAnsi="黑体" w:eastAsia="黑体" w:cs="黑体"/>
              <w:bCs/>
              <w:sz w:val="28"/>
              <w:szCs w:val="28"/>
            </w:rPr>
            <w:instrText xml:space="preserve"> HYPERLINK \l _Toc17012 </w:instrText>
          </w:r>
          <w:r>
            <w:rPr>
              <w:rFonts w:hint="eastAsia" w:ascii="黑体" w:hAnsi="黑体" w:eastAsia="黑体" w:cs="黑体"/>
              <w:bCs/>
              <w:sz w:val="28"/>
              <w:szCs w:val="28"/>
            </w:rPr>
            <w:fldChar w:fldCharType="separate"/>
          </w:r>
          <w:r>
            <w:rPr>
              <w:rFonts w:hint="eastAsia" w:ascii="黑体" w:hAnsi="黑体" w:eastAsia="黑体" w:cs="黑体"/>
              <w:bCs/>
              <w:sz w:val="28"/>
              <w:szCs w:val="28"/>
            </w:rPr>
            <w:t>十、其他重要事项的情况说明</w:t>
          </w:r>
          <w:r>
            <w:rPr>
              <w:rFonts w:hint="eastAsia" w:ascii="黑体" w:hAnsi="黑体" w:eastAsia="黑体" w:cs="黑体"/>
              <w:bCs/>
              <w:sz w:val="28"/>
              <w:szCs w:val="28"/>
            </w:rPr>
            <w:tab/>
          </w:r>
          <w:r>
            <w:rPr>
              <w:rFonts w:hint="eastAsia" w:ascii="黑体" w:hAnsi="黑体" w:eastAsia="黑体" w:cs="黑体"/>
              <w:bCs/>
              <w:sz w:val="28"/>
              <w:szCs w:val="28"/>
            </w:rPr>
            <w:fldChar w:fldCharType="begin"/>
          </w:r>
          <w:r>
            <w:rPr>
              <w:rFonts w:hint="eastAsia" w:ascii="黑体" w:hAnsi="黑体" w:eastAsia="黑体" w:cs="黑体"/>
              <w:bCs/>
              <w:sz w:val="28"/>
              <w:szCs w:val="28"/>
            </w:rPr>
            <w:instrText xml:space="preserve"> PAGEREF _Toc17012 \h </w:instrText>
          </w:r>
          <w:r>
            <w:rPr>
              <w:rFonts w:hint="eastAsia" w:ascii="黑体" w:hAnsi="黑体" w:eastAsia="黑体" w:cs="黑体"/>
              <w:bCs/>
              <w:sz w:val="28"/>
              <w:szCs w:val="28"/>
            </w:rPr>
            <w:fldChar w:fldCharType="separate"/>
          </w:r>
          <w:r>
            <w:rPr>
              <w:rFonts w:hint="eastAsia" w:ascii="黑体" w:hAnsi="黑体" w:eastAsia="黑体" w:cs="黑体"/>
              <w:bCs/>
              <w:sz w:val="28"/>
              <w:szCs w:val="28"/>
            </w:rPr>
            <w:t>- 11 -</w:t>
          </w:r>
          <w:r>
            <w:rPr>
              <w:rFonts w:hint="eastAsia" w:ascii="黑体" w:hAnsi="黑体" w:eastAsia="黑体" w:cs="黑体"/>
              <w:bCs/>
              <w:sz w:val="28"/>
              <w:szCs w:val="28"/>
            </w:rPr>
            <w:fldChar w:fldCharType="end"/>
          </w:r>
          <w:r>
            <w:rPr>
              <w:rFonts w:hint="eastAsia" w:ascii="黑体" w:hAnsi="黑体" w:eastAsia="黑体" w:cs="黑体"/>
              <w:bCs/>
              <w:sz w:val="28"/>
              <w:szCs w:val="28"/>
            </w:rPr>
            <w:fldChar w:fldCharType="end"/>
          </w:r>
        </w:p>
        <w:p>
          <w:pPr>
            <w:pStyle w:val="12"/>
            <w:tabs>
              <w:tab w:val="right" w:leader="dot" w:pos="8306"/>
              <w:tab w:val="clear" w:pos="8296"/>
            </w:tabs>
            <w:rPr>
              <w:rFonts w:hint="eastAsia" w:ascii="Times New Roman" w:hAnsi="Times New Roman" w:eastAsia="方正小标宋简体" w:cs="方正小标宋简体"/>
              <w:b w:val="0"/>
              <w:bCs/>
              <w:kern w:val="44"/>
              <w:sz w:val="28"/>
              <w:szCs w:val="28"/>
              <w:lang w:val="en-US" w:eastAsia="zh-CN" w:bidi="ar-SA"/>
            </w:rPr>
          </w:pPr>
          <w:r>
            <w:rPr>
              <w:rFonts w:hint="eastAsia" w:ascii="Times New Roman" w:hAnsi="Times New Roman" w:eastAsia="方正小标宋简体" w:cs="方正小标宋简体"/>
              <w:b w:val="0"/>
              <w:bCs/>
              <w:kern w:val="44"/>
              <w:sz w:val="28"/>
              <w:szCs w:val="28"/>
              <w:lang w:val="en-US" w:eastAsia="zh-CN" w:bidi="ar-SA"/>
            </w:rPr>
            <w:fldChar w:fldCharType="begin"/>
          </w:r>
          <w:r>
            <w:rPr>
              <w:rFonts w:hint="eastAsia" w:ascii="Times New Roman" w:hAnsi="Times New Roman" w:eastAsia="方正小标宋简体" w:cs="方正小标宋简体"/>
              <w:b w:val="0"/>
              <w:bCs/>
              <w:kern w:val="44"/>
              <w:sz w:val="28"/>
              <w:szCs w:val="28"/>
              <w:lang w:val="en-US" w:eastAsia="zh-CN" w:bidi="ar-SA"/>
            </w:rPr>
            <w:instrText xml:space="preserve"> HYPERLINK \l _Toc24234 </w:instrText>
          </w:r>
          <w:r>
            <w:rPr>
              <w:rFonts w:hint="eastAsia" w:ascii="Times New Roman" w:hAnsi="Times New Roman" w:eastAsia="方正小标宋简体" w:cs="方正小标宋简体"/>
              <w:b w:val="0"/>
              <w:bCs/>
              <w:kern w:val="44"/>
              <w:sz w:val="28"/>
              <w:szCs w:val="28"/>
              <w:lang w:val="en-US" w:eastAsia="zh-CN" w:bidi="ar-SA"/>
            </w:rPr>
            <w:fldChar w:fldCharType="separate"/>
          </w:r>
          <w:r>
            <w:rPr>
              <w:rFonts w:hint="eastAsia" w:ascii="Times New Roman" w:hAnsi="Times New Roman" w:eastAsia="方正小标宋简体" w:cs="方正小标宋简体"/>
              <w:b w:val="0"/>
              <w:bCs/>
              <w:kern w:val="44"/>
              <w:sz w:val="28"/>
              <w:szCs w:val="28"/>
              <w:lang w:val="en-US" w:eastAsia="zh-CN" w:bidi="ar-SA"/>
            </w:rPr>
            <w:t>第三部分  名词解释</w:t>
          </w:r>
          <w:r>
            <w:rPr>
              <w:rFonts w:hint="eastAsia" w:ascii="Times New Roman" w:hAnsi="Times New Roman" w:eastAsia="方正小标宋简体" w:cs="方正小标宋简体"/>
              <w:b w:val="0"/>
              <w:bCs/>
              <w:kern w:val="44"/>
              <w:sz w:val="28"/>
              <w:szCs w:val="28"/>
              <w:lang w:val="en-US" w:eastAsia="zh-CN" w:bidi="ar-SA"/>
            </w:rPr>
            <w:tab/>
          </w:r>
          <w:r>
            <w:rPr>
              <w:rFonts w:hint="eastAsia" w:ascii="Times New Roman" w:hAnsi="Times New Roman" w:eastAsia="方正小标宋简体" w:cs="方正小标宋简体"/>
              <w:b w:val="0"/>
              <w:bCs/>
              <w:kern w:val="44"/>
              <w:sz w:val="28"/>
              <w:szCs w:val="28"/>
              <w:lang w:val="en-US" w:eastAsia="zh-CN" w:bidi="ar-SA"/>
            </w:rPr>
            <w:fldChar w:fldCharType="begin"/>
          </w:r>
          <w:r>
            <w:rPr>
              <w:rFonts w:hint="eastAsia" w:ascii="Times New Roman" w:hAnsi="Times New Roman" w:eastAsia="方正小标宋简体" w:cs="方正小标宋简体"/>
              <w:b w:val="0"/>
              <w:bCs/>
              <w:kern w:val="44"/>
              <w:sz w:val="28"/>
              <w:szCs w:val="28"/>
              <w:lang w:val="en-US" w:eastAsia="zh-CN" w:bidi="ar-SA"/>
            </w:rPr>
            <w:instrText xml:space="preserve"> PAGEREF _Toc24234 \h </w:instrText>
          </w:r>
          <w:r>
            <w:rPr>
              <w:rFonts w:hint="eastAsia" w:ascii="Times New Roman" w:hAnsi="Times New Roman" w:eastAsia="方正小标宋简体" w:cs="方正小标宋简体"/>
              <w:b w:val="0"/>
              <w:bCs/>
              <w:kern w:val="44"/>
              <w:sz w:val="28"/>
              <w:szCs w:val="28"/>
              <w:lang w:val="en-US" w:eastAsia="zh-CN" w:bidi="ar-SA"/>
            </w:rPr>
            <w:fldChar w:fldCharType="separate"/>
          </w:r>
          <w:r>
            <w:rPr>
              <w:rFonts w:hint="eastAsia" w:ascii="Times New Roman" w:hAnsi="Times New Roman" w:eastAsia="方正小标宋简体" w:cs="方正小标宋简体"/>
              <w:b w:val="0"/>
              <w:bCs/>
              <w:kern w:val="44"/>
              <w:sz w:val="28"/>
              <w:szCs w:val="28"/>
              <w:lang w:val="en-US" w:eastAsia="zh-CN" w:bidi="ar-SA"/>
            </w:rPr>
            <w:t>- 13 -</w:t>
          </w:r>
          <w:r>
            <w:rPr>
              <w:rFonts w:hint="eastAsia" w:ascii="Times New Roman" w:hAnsi="Times New Roman" w:eastAsia="方正小标宋简体" w:cs="方正小标宋简体"/>
              <w:b w:val="0"/>
              <w:bCs/>
              <w:kern w:val="44"/>
              <w:sz w:val="28"/>
              <w:szCs w:val="28"/>
              <w:lang w:val="en-US" w:eastAsia="zh-CN" w:bidi="ar-SA"/>
            </w:rPr>
            <w:fldChar w:fldCharType="end"/>
          </w:r>
          <w:r>
            <w:rPr>
              <w:rFonts w:hint="eastAsia" w:ascii="Times New Roman" w:hAnsi="Times New Roman" w:eastAsia="方正小标宋简体" w:cs="方正小标宋简体"/>
              <w:b w:val="0"/>
              <w:bCs/>
              <w:kern w:val="44"/>
              <w:sz w:val="28"/>
              <w:szCs w:val="28"/>
              <w:lang w:val="en-US" w:eastAsia="zh-CN" w:bidi="ar-SA"/>
            </w:rPr>
            <w:fldChar w:fldCharType="end"/>
          </w:r>
        </w:p>
        <w:p>
          <w:pPr>
            <w:pStyle w:val="12"/>
            <w:tabs>
              <w:tab w:val="right" w:leader="dot" w:pos="8306"/>
              <w:tab w:val="clear" w:pos="8296"/>
            </w:tabs>
            <w:rPr>
              <w:rFonts w:hint="eastAsia" w:ascii="Times New Roman" w:hAnsi="Times New Roman" w:eastAsia="方正小标宋简体" w:cs="方正小标宋简体"/>
              <w:b w:val="0"/>
              <w:bCs/>
              <w:kern w:val="44"/>
              <w:sz w:val="28"/>
              <w:szCs w:val="28"/>
              <w:lang w:val="en-US" w:eastAsia="zh-CN" w:bidi="ar-SA"/>
            </w:rPr>
          </w:pPr>
          <w:r>
            <w:rPr>
              <w:rFonts w:hint="eastAsia" w:ascii="Times New Roman" w:hAnsi="Times New Roman" w:eastAsia="方正小标宋简体" w:cs="方正小标宋简体"/>
              <w:b w:val="0"/>
              <w:bCs/>
              <w:kern w:val="44"/>
              <w:sz w:val="28"/>
              <w:szCs w:val="28"/>
              <w:lang w:val="en-US" w:eastAsia="zh-CN" w:bidi="ar-SA"/>
            </w:rPr>
            <w:fldChar w:fldCharType="begin"/>
          </w:r>
          <w:r>
            <w:rPr>
              <w:rFonts w:hint="eastAsia" w:ascii="Times New Roman" w:hAnsi="Times New Roman" w:eastAsia="方正小标宋简体" w:cs="方正小标宋简体"/>
              <w:b w:val="0"/>
              <w:bCs/>
              <w:kern w:val="44"/>
              <w:sz w:val="28"/>
              <w:szCs w:val="28"/>
              <w:lang w:val="en-US" w:eastAsia="zh-CN" w:bidi="ar-SA"/>
            </w:rPr>
            <w:instrText xml:space="preserve"> HYPERLINK \l _Toc11707 </w:instrText>
          </w:r>
          <w:r>
            <w:rPr>
              <w:rFonts w:hint="eastAsia" w:ascii="Times New Roman" w:hAnsi="Times New Roman" w:eastAsia="方正小标宋简体" w:cs="方正小标宋简体"/>
              <w:b w:val="0"/>
              <w:bCs/>
              <w:kern w:val="44"/>
              <w:sz w:val="28"/>
              <w:szCs w:val="28"/>
              <w:lang w:val="en-US" w:eastAsia="zh-CN" w:bidi="ar-SA"/>
            </w:rPr>
            <w:fldChar w:fldCharType="separate"/>
          </w:r>
          <w:r>
            <w:rPr>
              <w:rFonts w:hint="eastAsia" w:ascii="Times New Roman" w:hAnsi="Times New Roman" w:eastAsia="方正小标宋简体" w:cs="方正小标宋简体"/>
              <w:b w:val="0"/>
              <w:bCs/>
              <w:kern w:val="44"/>
              <w:sz w:val="28"/>
              <w:szCs w:val="28"/>
              <w:lang w:val="en-US" w:eastAsia="zh-CN" w:bidi="ar-SA"/>
            </w:rPr>
            <w:t>第四部分  附件</w:t>
          </w:r>
          <w:r>
            <w:rPr>
              <w:rFonts w:hint="eastAsia" w:ascii="Times New Roman" w:hAnsi="Times New Roman" w:eastAsia="方正小标宋简体" w:cs="方正小标宋简体"/>
              <w:b w:val="0"/>
              <w:bCs/>
              <w:kern w:val="44"/>
              <w:sz w:val="28"/>
              <w:szCs w:val="28"/>
              <w:lang w:val="en-US" w:eastAsia="zh-CN" w:bidi="ar-SA"/>
            </w:rPr>
            <w:tab/>
          </w:r>
          <w:r>
            <w:rPr>
              <w:rFonts w:hint="eastAsia" w:ascii="Times New Roman" w:hAnsi="Times New Roman" w:eastAsia="方正小标宋简体" w:cs="方正小标宋简体"/>
              <w:b w:val="0"/>
              <w:bCs/>
              <w:kern w:val="44"/>
              <w:sz w:val="28"/>
              <w:szCs w:val="28"/>
              <w:lang w:val="en-US" w:eastAsia="zh-CN" w:bidi="ar-SA"/>
            </w:rPr>
            <w:fldChar w:fldCharType="begin"/>
          </w:r>
          <w:r>
            <w:rPr>
              <w:rFonts w:hint="eastAsia" w:ascii="Times New Roman" w:hAnsi="Times New Roman" w:eastAsia="方正小标宋简体" w:cs="方正小标宋简体"/>
              <w:b w:val="0"/>
              <w:bCs/>
              <w:kern w:val="44"/>
              <w:sz w:val="28"/>
              <w:szCs w:val="28"/>
              <w:lang w:val="en-US" w:eastAsia="zh-CN" w:bidi="ar-SA"/>
            </w:rPr>
            <w:instrText xml:space="preserve"> PAGEREF _Toc11707 \h </w:instrText>
          </w:r>
          <w:r>
            <w:rPr>
              <w:rFonts w:hint="eastAsia" w:ascii="Times New Roman" w:hAnsi="Times New Roman" w:eastAsia="方正小标宋简体" w:cs="方正小标宋简体"/>
              <w:b w:val="0"/>
              <w:bCs/>
              <w:kern w:val="44"/>
              <w:sz w:val="28"/>
              <w:szCs w:val="28"/>
              <w:lang w:val="en-US" w:eastAsia="zh-CN" w:bidi="ar-SA"/>
            </w:rPr>
            <w:fldChar w:fldCharType="separate"/>
          </w:r>
          <w:r>
            <w:rPr>
              <w:rFonts w:hint="eastAsia" w:ascii="Times New Roman" w:hAnsi="Times New Roman" w:eastAsia="方正小标宋简体" w:cs="方正小标宋简体"/>
              <w:b w:val="0"/>
              <w:bCs/>
              <w:kern w:val="44"/>
              <w:sz w:val="28"/>
              <w:szCs w:val="28"/>
              <w:lang w:val="en-US" w:eastAsia="zh-CN" w:bidi="ar-SA"/>
            </w:rPr>
            <w:t>- 15 -</w:t>
          </w:r>
          <w:r>
            <w:rPr>
              <w:rFonts w:hint="eastAsia" w:ascii="Times New Roman" w:hAnsi="Times New Roman" w:eastAsia="方正小标宋简体" w:cs="方正小标宋简体"/>
              <w:b w:val="0"/>
              <w:bCs/>
              <w:kern w:val="44"/>
              <w:sz w:val="28"/>
              <w:szCs w:val="28"/>
              <w:lang w:val="en-US" w:eastAsia="zh-CN" w:bidi="ar-SA"/>
            </w:rPr>
            <w:fldChar w:fldCharType="end"/>
          </w:r>
          <w:r>
            <w:rPr>
              <w:rFonts w:hint="eastAsia" w:ascii="Times New Roman" w:hAnsi="Times New Roman" w:eastAsia="方正小标宋简体" w:cs="方正小标宋简体"/>
              <w:b w:val="0"/>
              <w:bCs/>
              <w:kern w:val="44"/>
              <w:sz w:val="28"/>
              <w:szCs w:val="28"/>
              <w:lang w:val="en-US" w:eastAsia="zh-CN" w:bidi="ar-SA"/>
            </w:rPr>
            <w:fldChar w:fldCharType="end"/>
          </w:r>
        </w:p>
        <w:p>
          <w:pPr>
            <w:pStyle w:val="12"/>
            <w:tabs>
              <w:tab w:val="right" w:leader="dot" w:pos="8306"/>
              <w:tab w:val="clear" w:pos="8296"/>
            </w:tabs>
            <w:rPr>
              <w:rFonts w:hint="eastAsia" w:ascii="黑体" w:hAnsi="黑体" w:eastAsia="黑体" w:cs="黑体"/>
              <w:bCs/>
              <w:szCs w:val="32"/>
            </w:rPr>
          </w:pPr>
          <w:r>
            <w:rPr>
              <w:rFonts w:hint="eastAsia" w:ascii="Times New Roman" w:hAnsi="Times New Roman" w:eastAsia="方正小标宋简体" w:cs="方正小标宋简体"/>
              <w:b w:val="0"/>
              <w:bCs/>
              <w:kern w:val="44"/>
              <w:sz w:val="28"/>
              <w:szCs w:val="28"/>
              <w:lang w:val="en-US" w:eastAsia="zh-CN" w:bidi="ar-SA"/>
            </w:rPr>
            <w:fldChar w:fldCharType="begin"/>
          </w:r>
          <w:r>
            <w:rPr>
              <w:rFonts w:hint="eastAsia" w:ascii="Times New Roman" w:hAnsi="Times New Roman" w:eastAsia="方正小标宋简体" w:cs="方正小标宋简体"/>
              <w:b w:val="0"/>
              <w:bCs/>
              <w:kern w:val="44"/>
              <w:sz w:val="28"/>
              <w:szCs w:val="28"/>
              <w:lang w:val="en-US" w:eastAsia="zh-CN" w:bidi="ar-SA"/>
            </w:rPr>
            <w:instrText xml:space="preserve"> HYPERLINK \l _Toc27363 </w:instrText>
          </w:r>
          <w:r>
            <w:rPr>
              <w:rFonts w:hint="eastAsia" w:ascii="Times New Roman" w:hAnsi="Times New Roman" w:eastAsia="方正小标宋简体" w:cs="方正小标宋简体"/>
              <w:b w:val="0"/>
              <w:bCs/>
              <w:kern w:val="44"/>
              <w:sz w:val="28"/>
              <w:szCs w:val="28"/>
              <w:lang w:val="en-US" w:eastAsia="zh-CN" w:bidi="ar-SA"/>
            </w:rPr>
            <w:fldChar w:fldCharType="separate"/>
          </w:r>
          <w:r>
            <w:rPr>
              <w:rFonts w:hint="eastAsia" w:ascii="Times New Roman" w:hAnsi="Times New Roman" w:eastAsia="方正小标宋简体" w:cs="方正小标宋简体"/>
              <w:b w:val="0"/>
              <w:bCs/>
              <w:kern w:val="44"/>
              <w:sz w:val="28"/>
              <w:szCs w:val="28"/>
              <w:lang w:val="en-US" w:eastAsia="zh-CN" w:bidi="ar-SA"/>
            </w:rPr>
            <w:t>第五部分 附表</w:t>
          </w:r>
          <w:r>
            <w:rPr>
              <w:rFonts w:hint="eastAsia" w:ascii="Times New Roman" w:hAnsi="Times New Roman" w:eastAsia="方正小标宋简体" w:cs="方正小标宋简体"/>
              <w:b w:val="0"/>
              <w:bCs/>
              <w:kern w:val="44"/>
              <w:sz w:val="28"/>
              <w:szCs w:val="28"/>
              <w:lang w:val="en-US" w:eastAsia="zh-CN" w:bidi="ar-SA"/>
            </w:rPr>
            <w:tab/>
          </w:r>
          <w:r>
            <w:rPr>
              <w:rFonts w:hint="eastAsia" w:ascii="Times New Roman" w:hAnsi="Times New Roman" w:eastAsia="方正小标宋简体" w:cs="方正小标宋简体"/>
              <w:b w:val="0"/>
              <w:bCs/>
              <w:kern w:val="44"/>
              <w:sz w:val="28"/>
              <w:szCs w:val="28"/>
              <w:lang w:val="en-US" w:eastAsia="zh-CN" w:bidi="ar-SA"/>
            </w:rPr>
            <w:fldChar w:fldCharType="begin"/>
          </w:r>
          <w:r>
            <w:rPr>
              <w:rFonts w:hint="eastAsia" w:ascii="Times New Roman" w:hAnsi="Times New Roman" w:eastAsia="方正小标宋简体" w:cs="方正小标宋简体"/>
              <w:b w:val="0"/>
              <w:bCs/>
              <w:kern w:val="44"/>
              <w:sz w:val="28"/>
              <w:szCs w:val="28"/>
              <w:lang w:val="en-US" w:eastAsia="zh-CN" w:bidi="ar-SA"/>
            </w:rPr>
            <w:instrText xml:space="preserve"> PAGEREF _Toc27363 \h </w:instrText>
          </w:r>
          <w:r>
            <w:rPr>
              <w:rFonts w:hint="eastAsia" w:ascii="Times New Roman" w:hAnsi="Times New Roman" w:eastAsia="方正小标宋简体" w:cs="方正小标宋简体"/>
              <w:b w:val="0"/>
              <w:bCs/>
              <w:kern w:val="44"/>
              <w:sz w:val="28"/>
              <w:szCs w:val="28"/>
              <w:lang w:val="en-US" w:eastAsia="zh-CN" w:bidi="ar-SA"/>
            </w:rPr>
            <w:fldChar w:fldCharType="separate"/>
          </w:r>
          <w:r>
            <w:rPr>
              <w:rFonts w:hint="eastAsia" w:ascii="Times New Roman" w:hAnsi="Times New Roman" w:eastAsia="方正小标宋简体" w:cs="方正小标宋简体"/>
              <w:b w:val="0"/>
              <w:bCs/>
              <w:kern w:val="44"/>
              <w:sz w:val="28"/>
              <w:szCs w:val="28"/>
              <w:lang w:val="en-US" w:eastAsia="zh-CN" w:bidi="ar-SA"/>
            </w:rPr>
            <w:t>- 20 -</w:t>
          </w:r>
          <w:r>
            <w:rPr>
              <w:rFonts w:hint="eastAsia" w:ascii="Times New Roman" w:hAnsi="Times New Roman" w:eastAsia="方正小标宋简体" w:cs="方正小标宋简体"/>
              <w:b w:val="0"/>
              <w:bCs/>
              <w:kern w:val="44"/>
              <w:sz w:val="28"/>
              <w:szCs w:val="28"/>
              <w:lang w:val="en-US" w:eastAsia="zh-CN" w:bidi="ar-SA"/>
            </w:rPr>
            <w:fldChar w:fldCharType="end"/>
          </w:r>
          <w:r>
            <w:rPr>
              <w:rFonts w:hint="eastAsia" w:ascii="Times New Roman" w:hAnsi="Times New Roman" w:eastAsia="方正小标宋简体" w:cs="方正小标宋简体"/>
              <w:b w:val="0"/>
              <w:bCs/>
              <w:kern w:val="44"/>
              <w:sz w:val="28"/>
              <w:szCs w:val="28"/>
              <w:lang w:val="en-US" w:eastAsia="zh-CN" w:bidi="ar-SA"/>
            </w:rPr>
            <w:fldChar w:fldCharType="end"/>
          </w:r>
        </w:p>
        <w:p>
          <w:pPr>
            <w:pStyle w:val="14"/>
            <w:tabs>
              <w:tab w:val="right" w:leader="dot" w:pos="8306"/>
              <w:tab w:val="clear" w:pos="8296"/>
            </w:tabs>
            <w:rPr>
              <w:rFonts w:hint="eastAsia" w:ascii="黑体" w:hAnsi="黑体" w:eastAsia="黑体" w:cs="黑体"/>
              <w:bCs/>
              <w:sz w:val="28"/>
              <w:szCs w:val="28"/>
            </w:rPr>
          </w:pPr>
          <w:r>
            <w:rPr>
              <w:rFonts w:hint="eastAsia" w:ascii="黑体" w:hAnsi="黑体" w:eastAsia="黑体" w:cs="黑体"/>
              <w:bCs/>
              <w:sz w:val="28"/>
              <w:szCs w:val="28"/>
            </w:rPr>
            <w:fldChar w:fldCharType="begin"/>
          </w:r>
          <w:r>
            <w:rPr>
              <w:rFonts w:hint="eastAsia" w:ascii="黑体" w:hAnsi="黑体" w:eastAsia="黑体" w:cs="黑体"/>
              <w:bCs/>
              <w:sz w:val="28"/>
              <w:szCs w:val="28"/>
            </w:rPr>
            <w:instrText xml:space="preserve"> HYPERLINK \l _Toc14128 </w:instrText>
          </w:r>
          <w:r>
            <w:rPr>
              <w:rFonts w:hint="eastAsia" w:ascii="黑体" w:hAnsi="黑体" w:eastAsia="黑体" w:cs="黑体"/>
              <w:bCs/>
              <w:sz w:val="28"/>
              <w:szCs w:val="28"/>
            </w:rPr>
            <w:fldChar w:fldCharType="separate"/>
          </w:r>
          <w:r>
            <w:rPr>
              <w:rFonts w:hint="eastAsia" w:ascii="黑体" w:hAnsi="黑体" w:eastAsia="黑体" w:cs="黑体"/>
              <w:bCs/>
              <w:sz w:val="28"/>
              <w:szCs w:val="28"/>
            </w:rPr>
            <w:t>一、收入支出决算总表</w:t>
          </w:r>
          <w:r>
            <w:rPr>
              <w:rFonts w:hint="eastAsia" w:ascii="黑体" w:hAnsi="黑体" w:eastAsia="黑体" w:cs="黑体"/>
              <w:bCs/>
              <w:sz w:val="28"/>
              <w:szCs w:val="28"/>
            </w:rPr>
            <w:tab/>
          </w:r>
          <w:r>
            <w:rPr>
              <w:rFonts w:hint="eastAsia" w:ascii="黑体" w:hAnsi="黑体" w:eastAsia="黑体" w:cs="黑体"/>
              <w:bCs/>
              <w:sz w:val="28"/>
              <w:szCs w:val="28"/>
            </w:rPr>
            <w:fldChar w:fldCharType="begin"/>
          </w:r>
          <w:r>
            <w:rPr>
              <w:rFonts w:hint="eastAsia" w:ascii="黑体" w:hAnsi="黑体" w:eastAsia="黑体" w:cs="黑体"/>
              <w:bCs/>
              <w:sz w:val="28"/>
              <w:szCs w:val="28"/>
            </w:rPr>
            <w:instrText xml:space="preserve"> PAGEREF _Toc14128 \h </w:instrText>
          </w:r>
          <w:r>
            <w:rPr>
              <w:rFonts w:hint="eastAsia" w:ascii="黑体" w:hAnsi="黑体" w:eastAsia="黑体" w:cs="黑体"/>
              <w:bCs/>
              <w:sz w:val="28"/>
              <w:szCs w:val="28"/>
            </w:rPr>
            <w:fldChar w:fldCharType="separate"/>
          </w:r>
          <w:r>
            <w:rPr>
              <w:rFonts w:hint="eastAsia" w:ascii="黑体" w:hAnsi="黑体" w:eastAsia="黑体" w:cs="黑体"/>
              <w:bCs/>
              <w:sz w:val="28"/>
              <w:szCs w:val="28"/>
            </w:rPr>
            <w:t>- 20 -</w:t>
          </w:r>
          <w:r>
            <w:rPr>
              <w:rFonts w:hint="eastAsia" w:ascii="黑体" w:hAnsi="黑体" w:eastAsia="黑体" w:cs="黑体"/>
              <w:bCs/>
              <w:sz w:val="28"/>
              <w:szCs w:val="28"/>
            </w:rPr>
            <w:fldChar w:fldCharType="end"/>
          </w:r>
          <w:r>
            <w:rPr>
              <w:rFonts w:hint="eastAsia" w:ascii="黑体" w:hAnsi="黑体" w:eastAsia="黑体" w:cs="黑体"/>
              <w:bCs/>
              <w:sz w:val="28"/>
              <w:szCs w:val="28"/>
            </w:rPr>
            <w:fldChar w:fldCharType="end"/>
          </w:r>
        </w:p>
        <w:p>
          <w:pPr>
            <w:pStyle w:val="14"/>
            <w:tabs>
              <w:tab w:val="right" w:leader="dot" w:pos="8306"/>
              <w:tab w:val="clear" w:pos="8296"/>
            </w:tabs>
            <w:rPr>
              <w:rFonts w:hint="eastAsia" w:ascii="黑体" w:hAnsi="黑体" w:eastAsia="黑体" w:cs="黑体"/>
              <w:bCs/>
              <w:sz w:val="28"/>
              <w:szCs w:val="28"/>
            </w:rPr>
          </w:pPr>
          <w:r>
            <w:rPr>
              <w:rFonts w:hint="eastAsia" w:ascii="黑体" w:hAnsi="黑体" w:eastAsia="黑体" w:cs="黑体"/>
              <w:bCs/>
              <w:sz w:val="28"/>
              <w:szCs w:val="28"/>
            </w:rPr>
            <w:fldChar w:fldCharType="begin"/>
          </w:r>
          <w:r>
            <w:rPr>
              <w:rFonts w:hint="eastAsia" w:ascii="黑体" w:hAnsi="黑体" w:eastAsia="黑体" w:cs="黑体"/>
              <w:bCs/>
              <w:sz w:val="28"/>
              <w:szCs w:val="28"/>
            </w:rPr>
            <w:instrText xml:space="preserve"> HYPERLINK \l _Toc9008 </w:instrText>
          </w:r>
          <w:r>
            <w:rPr>
              <w:rFonts w:hint="eastAsia" w:ascii="黑体" w:hAnsi="黑体" w:eastAsia="黑体" w:cs="黑体"/>
              <w:bCs/>
              <w:sz w:val="28"/>
              <w:szCs w:val="28"/>
            </w:rPr>
            <w:fldChar w:fldCharType="separate"/>
          </w:r>
          <w:r>
            <w:rPr>
              <w:rFonts w:hint="eastAsia" w:ascii="黑体" w:hAnsi="黑体" w:eastAsia="黑体" w:cs="黑体"/>
              <w:bCs/>
              <w:sz w:val="28"/>
              <w:szCs w:val="28"/>
            </w:rPr>
            <w:t>二、收入决算表</w:t>
          </w:r>
          <w:r>
            <w:rPr>
              <w:rFonts w:hint="eastAsia" w:ascii="黑体" w:hAnsi="黑体" w:eastAsia="黑体" w:cs="黑体"/>
              <w:bCs/>
              <w:sz w:val="28"/>
              <w:szCs w:val="28"/>
            </w:rPr>
            <w:tab/>
          </w:r>
          <w:r>
            <w:rPr>
              <w:rFonts w:hint="eastAsia" w:ascii="黑体" w:hAnsi="黑体" w:eastAsia="黑体" w:cs="黑体"/>
              <w:bCs/>
              <w:sz w:val="28"/>
              <w:szCs w:val="28"/>
            </w:rPr>
            <w:fldChar w:fldCharType="begin"/>
          </w:r>
          <w:r>
            <w:rPr>
              <w:rFonts w:hint="eastAsia" w:ascii="黑体" w:hAnsi="黑体" w:eastAsia="黑体" w:cs="黑体"/>
              <w:bCs/>
              <w:sz w:val="28"/>
              <w:szCs w:val="28"/>
            </w:rPr>
            <w:instrText xml:space="preserve"> PAGEREF _Toc9008 \h </w:instrText>
          </w:r>
          <w:r>
            <w:rPr>
              <w:rFonts w:hint="eastAsia" w:ascii="黑体" w:hAnsi="黑体" w:eastAsia="黑体" w:cs="黑体"/>
              <w:bCs/>
              <w:sz w:val="28"/>
              <w:szCs w:val="28"/>
            </w:rPr>
            <w:fldChar w:fldCharType="separate"/>
          </w:r>
          <w:r>
            <w:rPr>
              <w:rFonts w:hint="eastAsia" w:ascii="黑体" w:hAnsi="黑体" w:eastAsia="黑体" w:cs="黑体"/>
              <w:bCs/>
              <w:sz w:val="28"/>
              <w:szCs w:val="28"/>
            </w:rPr>
            <w:t>- 20 -</w:t>
          </w:r>
          <w:r>
            <w:rPr>
              <w:rFonts w:hint="eastAsia" w:ascii="黑体" w:hAnsi="黑体" w:eastAsia="黑体" w:cs="黑体"/>
              <w:bCs/>
              <w:sz w:val="28"/>
              <w:szCs w:val="28"/>
            </w:rPr>
            <w:fldChar w:fldCharType="end"/>
          </w:r>
          <w:r>
            <w:rPr>
              <w:rFonts w:hint="eastAsia" w:ascii="黑体" w:hAnsi="黑体" w:eastAsia="黑体" w:cs="黑体"/>
              <w:bCs/>
              <w:sz w:val="28"/>
              <w:szCs w:val="28"/>
            </w:rPr>
            <w:fldChar w:fldCharType="end"/>
          </w:r>
        </w:p>
        <w:p>
          <w:pPr>
            <w:pStyle w:val="14"/>
            <w:tabs>
              <w:tab w:val="right" w:leader="dot" w:pos="8306"/>
              <w:tab w:val="clear" w:pos="8296"/>
            </w:tabs>
            <w:rPr>
              <w:rFonts w:hint="eastAsia" w:ascii="黑体" w:hAnsi="黑体" w:eastAsia="黑体" w:cs="黑体"/>
              <w:bCs/>
              <w:sz w:val="28"/>
              <w:szCs w:val="28"/>
            </w:rPr>
          </w:pPr>
          <w:r>
            <w:rPr>
              <w:rFonts w:hint="eastAsia" w:ascii="黑体" w:hAnsi="黑体" w:eastAsia="黑体" w:cs="黑体"/>
              <w:bCs/>
              <w:sz w:val="28"/>
              <w:szCs w:val="28"/>
            </w:rPr>
            <w:fldChar w:fldCharType="begin"/>
          </w:r>
          <w:r>
            <w:rPr>
              <w:rFonts w:hint="eastAsia" w:ascii="黑体" w:hAnsi="黑体" w:eastAsia="黑体" w:cs="黑体"/>
              <w:bCs/>
              <w:sz w:val="28"/>
              <w:szCs w:val="28"/>
            </w:rPr>
            <w:instrText xml:space="preserve"> HYPERLINK \l _Toc4521 </w:instrText>
          </w:r>
          <w:r>
            <w:rPr>
              <w:rFonts w:hint="eastAsia" w:ascii="黑体" w:hAnsi="黑体" w:eastAsia="黑体" w:cs="黑体"/>
              <w:bCs/>
              <w:sz w:val="28"/>
              <w:szCs w:val="28"/>
            </w:rPr>
            <w:fldChar w:fldCharType="separate"/>
          </w:r>
          <w:r>
            <w:rPr>
              <w:rFonts w:hint="eastAsia" w:ascii="黑体" w:hAnsi="黑体" w:eastAsia="黑体" w:cs="黑体"/>
              <w:bCs/>
              <w:sz w:val="28"/>
              <w:szCs w:val="28"/>
            </w:rPr>
            <w:t>三、支出决算表</w:t>
          </w:r>
          <w:r>
            <w:rPr>
              <w:rFonts w:hint="eastAsia" w:ascii="黑体" w:hAnsi="黑体" w:eastAsia="黑体" w:cs="黑体"/>
              <w:bCs/>
              <w:sz w:val="28"/>
              <w:szCs w:val="28"/>
            </w:rPr>
            <w:tab/>
          </w:r>
          <w:r>
            <w:rPr>
              <w:rFonts w:hint="eastAsia" w:ascii="黑体" w:hAnsi="黑体" w:eastAsia="黑体" w:cs="黑体"/>
              <w:bCs/>
              <w:sz w:val="28"/>
              <w:szCs w:val="28"/>
            </w:rPr>
            <w:fldChar w:fldCharType="begin"/>
          </w:r>
          <w:r>
            <w:rPr>
              <w:rFonts w:hint="eastAsia" w:ascii="黑体" w:hAnsi="黑体" w:eastAsia="黑体" w:cs="黑体"/>
              <w:bCs/>
              <w:sz w:val="28"/>
              <w:szCs w:val="28"/>
            </w:rPr>
            <w:instrText xml:space="preserve"> PAGEREF _Toc4521 \h </w:instrText>
          </w:r>
          <w:r>
            <w:rPr>
              <w:rFonts w:hint="eastAsia" w:ascii="黑体" w:hAnsi="黑体" w:eastAsia="黑体" w:cs="黑体"/>
              <w:bCs/>
              <w:sz w:val="28"/>
              <w:szCs w:val="28"/>
            </w:rPr>
            <w:fldChar w:fldCharType="separate"/>
          </w:r>
          <w:r>
            <w:rPr>
              <w:rFonts w:hint="eastAsia" w:ascii="黑体" w:hAnsi="黑体" w:eastAsia="黑体" w:cs="黑体"/>
              <w:bCs/>
              <w:sz w:val="28"/>
              <w:szCs w:val="28"/>
            </w:rPr>
            <w:t>- 20 -</w:t>
          </w:r>
          <w:r>
            <w:rPr>
              <w:rFonts w:hint="eastAsia" w:ascii="黑体" w:hAnsi="黑体" w:eastAsia="黑体" w:cs="黑体"/>
              <w:bCs/>
              <w:sz w:val="28"/>
              <w:szCs w:val="28"/>
            </w:rPr>
            <w:fldChar w:fldCharType="end"/>
          </w:r>
          <w:r>
            <w:rPr>
              <w:rFonts w:hint="eastAsia" w:ascii="黑体" w:hAnsi="黑体" w:eastAsia="黑体" w:cs="黑体"/>
              <w:bCs/>
              <w:sz w:val="28"/>
              <w:szCs w:val="28"/>
            </w:rPr>
            <w:fldChar w:fldCharType="end"/>
          </w:r>
        </w:p>
        <w:p>
          <w:pPr>
            <w:pStyle w:val="14"/>
            <w:tabs>
              <w:tab w:val="right" w:leader="dot" w:pos="8306"/>
              <w:tab w:val="clear" w:pos="8296"/>
            </w:tabs>
            <w:rPr>
              <w:rFonts w:hint="eastAsia" w:ascii="黑体" w:hAnsi="黑体" w:eastAsia="黑体" w:cs="黑体"/>
              <w:bCs/>
              <w:sz w:val="28"/>
              <w:szCs w:val="28"/>
            </w:rPr>
          </w:pPr>
          <w:r>
            <w:rPr>
              <w:rFonts w:hint="eastAsia" w:ascii="黑体" w:hAnsi="黑体" w:eastAsia="黑体" w:cs="黑体"/>
              <w:bCs/>
              <w:sz w:val="28"/>
              <w:szCs w:val="28"/>
            </w:rPr>
            <w:fldChar w:fldCharType="begin"/>
          </w:r>
          <w:r>
            <w:rPr>
              <w:rFonts w:hint="eastAsia" w:ascii="黑体" w:hAnsi="黑体" w:eastAsia="黑体" w:cs="黑体"/>
              <w:bCs/>
              <w:sz w:val="28"/>
              <w:szCs w:val="28"/>
            </w:rPr>
            <w:instrText xml:space="preserve"> HYPERLINK \l _Toc32579 </w:instrText>
          </w:r>
          <w:r>
            <w:rPr>
              <w:rFonts w:hint="eastAsia" w:ascii="黑体" w:hAnsi="黑体" w:eastAsia="黑体" w:cs="黑体"/>
              <w:bCs/>
              <w:sz w:val="28"/>
              <w:szCs w:val="28"/>
            </w:rPr>
            <w:fldChar w:fldCharType="separate"/>
          </w:r>
          <w:r>
            <w:rPr>
              <w:rFonts w:hint="eastAsia" w:ascii="黑体" w:hAnsi="黑体" w:eastAsia="黑体" w:cs="黑体"/>
              <w:bCs/>
              <w:sz w:val="28"/>
              <w:szCs w:val="28"/>
            </w:rPr>
            <w:t>四、财政拨款收入支出决算总表</w:t>
          </w:r>
          <w:r>
            <w:rPr>
              <w:rFonts w:hint="eastAsia" w:ascii="黑体" w:hAnsi="黑体" w:eastAsia="黑体" w:cs="黑体"/>
              <w:bCs/>
              <w:sz w:val="28"/>
              <w:szCs w:val="28"/>
            </w:rPr>
            <w:tab/>
          </w:r>
          <w:r>
            <w:rPr>
              <w:rFonts w:hint="eastAsia" w:ascii="黑体" w:hAnsi="黑体" w:eastAsia="黑体" w:cs="黑体"/>
              <w:bCs/>
              <w:sz w:val="28"/>
              <w:szCs w:val="28"/>
            </w:rPr>
            <w:fldChar w:fldCharType="begin"/>
          </w:r>
          <w:r>
            <w:rPr>
              <w:rFonts w:hint="eastAsia" w:ascii="黑体" w:hAnsi="黑体" w:eastAsia="黑体" w:cs="黑体"/>
              <w:bCs/>
              <w:sz w:val="28"/>
              <w:szCs w:val="28"/>
            </w:rPr>
            <w:instrText xml:space="preserve"> PAGEREF _Toc32579 \h </w:instrText>
          </w:r>
          <w:r>
            <w:rPr>
              <w:rFonts w:hint="eastAsia" w:ascii="黑体" w:hAnsi="黑体" w:eastAsia="黑体" w:cs="黑体"/>
              <w:bCs/>
              <w:sz w:val="28"/>
              <w:szCs w:val="28"/>
            </w:rPr>
            <w:fldChar w:fldCharType="separate"/>
          </w:r>
          <w:r>
            <w:rPr>
              <w:rFonts w:hint="eastAsia" w:ascii="黑体" w:hAnsi="黑体" w:eastAsia="黑体" w:cs="黑体"/>
              <w:bCs/>
              <w:sz w:val="28"/>
              <w:szCs w:val="28"/>
            </w:rPr>
            <w:t>- 20 -</w:t>
          </w:r>
          <w:r>
            <w:rPr>
              <w:rFonts w:hint="eastAsia" w:ascii="黑体" w:hAnsi="黑体" w:eastAsia="黑体" w:cs="黑体"/>
              <w:bCs/>
              <w:sz w:val="28"/>
              <w:szCs w:val="28"/>
            </w:rPr>
            <w:fldChar w:fldCharType="end"/>
          </w:r>
          <w:r>
            <w:rPr>
              <w:rFonts w:hint="eastAsia" w:ascii="黑体" w:hAnsi="黑体" w:eastAsia="黑体" w:cs="黑体"/>
              <w:bCs/>
              <w:sz w:val="28"/>
              <w:szCs w:val="28"/>
            </w:rPr>
            <w:fldChar w:fldCharType="end"/>
          </w:r>
        </w:p>
        <w:p>
          <w:pPr>
            <w:pStyle w:val="14"/>
            <w:tabs>
              <w:tab w:val="right" w:leader="dot" w:pos="8306"/>
              <w:tab w:val="clear" w:pos="8296"/>
            </w:tabs>
            <w:rPr>
              <w:rFonts w:hint="eastAsia" w:ascii="黑体" w:hAnsi="黑体" w:eastAsia="黑体" w:cs="黑体"/>
              <w:bCs/>
              <w:sz w:val="28"/>
              <w:szCs w:val="28"/>
            </w:rPr>
          </w:pPr>
          <w:r>
            <w:rPr>
              <w:rFonts w:hint="eastAsia" w:ascii="黑体" w:hAnsi="黑体" w:eastAsia="黑体" w:cs="黑体"/>
              <w:bCs/>
              <w:sz w:val="28"/>
              <w:szCs w:val="28"/>
            </w:rPr>
            <w:fldChar w:fldCharType="begin"/>
          </w:r>
          <w:r>
            <w:rPr>
              <w:rFonts w:hint="eastAsia" w:ascii="黑体" w:hAnsi="黑体" w:eastAsia="黑体" w:cs="黑体"/>
              <w:bCs/>
              <w:sz w:val="28"/>
              <w:szCs w:val="28"/>
            </w:rPr>
            <w:instrText xml:space="preserve"> HYPERLINK \l _Toc23065 </w:instrText>
          </w:r>
          <w:r>
            <w:rPr>
              <w:rFonts w:hint="eastAsia" w:ascii="黑体" w:hAnsi="黑体" w:eastAsia="黑体" w:cs="黑体"/>
              <w:bCs/>
              <w:sz w:val="28"/>
              <w:szCs w:val="28"/>
            </w:rPr>
            <w:fldChar w:fldCharType="separate"/>
          </w:r>
          <w:r>
            <w:rPr>
              <w:rFonts w:hint="eastAsia" w:ascii="黑体" w:hAnsi="黑体" w:eastAsia="黑体" w:cs="黑体"/>
              <w:bCs/>
              <w:sz w:val="28"/>
              <w:szCs w:val="28"/>
            </w:rPr>
            <w:t>五、财政拨款支出决算明细表</w:t>
          </w:r>
          <w:r>
            <w:rPr>
              <w:rFonts w:hint="eastAsia" w:ascii="黑体" w:hAnsi="黑体" w:eastAsia="黑体" w:cs="黑体"/>
              <w:bCs/>
              <w:sz w:val="28"/>
              <w:szCs w:val="28"/>
            </w:rPr>
            <w:tab/>
          </w:r>
          <w:r>
            <w:rPr>
              <w:rFonts w:hint="eastAsia" w:ascii="黑体" w:hAnsi="黑体" w:eastAsia="黑体" w:cs="黑体"/>
              <w:bCs/>
              <w:sz w:val="28"/>
              <w:szCs w:val="28"/>
            </w:rPr>
            <w:fldChar w:fldCharType="begin"/>
          </w:r>
          <w:r>
            <w:rPr>
              <w:rFonts w:hint="eastAsia" w:ascii="黑体" w:hAnsi="黑体" w:eastAsia="黑体" w:cs="黑体"/>
              <w:bCs/>
              <w:sz w:val="28"/>
              <w:szCs w:val="28"/>
            </w:rPr>
            <w:instrText xml:space="preserve"> PAGEREF _Toc23065 \h </w:instrText>
          </w:r>
          <w:r>
            <w:rPr>
              <w:rFonts w:hint="eastAsia" w:ascii="黑体" w:hAnsi="黑体" w:eastAsia="黑体" w:cs="黑体"/>
              <w:bCs/>
              <w:sz w:val="28"/>
              <w:szCs w:val="28"/>
            </w:rPr>
            <w:fldChar w:fldCharType="separate"/>
          </w:r>
          <w:r>
            <w:rPr>
              <w:rFonts w:hint="eastAsia" w:ascii="黑体" w:hAnsi="黑体" w:eastAsia="黑体" w:cs="黑体"/>
              <w:bCs/>
              <w:sz w:val="28"/>
              <w:szCs w:val="28"/>
            </w:rPr>
            <w:t>- 20 -</w:t>
          </w:r>
          <w:r>
            <w:rPr>
              <w:rFonts w:hint="eastAsia" w:ascii="黑体" w:hAnsi="黑体" w:eastAsia="黑体" w:cs="黑体"/>
              <w:bCs/>
              <w:sz w:val="28"/>
              <w:szCs w:val="28"/>
            </w:rPr>
            <w:fldChar w:fldCharType="end"/>
          </w:r>
          <w:r>
            <w:rPr>
              <w:rFonts w:hint="eastAsia" w:ascii="黑体" w:hAnsi="黑体" w:eastAsia="黑体" w:cs="黑体"/>
              <w:bCs/>
              <w:sz w:val="28"/>
              <w:szCs w:val="28"/>
            </w:rPr>
            <w:fldChar w:fldCharType="end"/>
          </w:r>
        </w:p>
        <w:p>
          <w:pPr>
            <w:pStyle w:val="14"/>
            <w:tabs>
              <w:tab w:val="right" w:leader="dot" w:pos="8306"/>
              <w:tab w:val="clear" w:pos="8296"/>
            </w:tabs>
            <w:rPr>
              <w:rFonts w:hint="eastAsia" w:ascii="黑体" w:hAnsi="黑体" w:eastAsia="黑体" w:cs="黑体"/>
              <w:bCs/>
              <w:sz w:val="28"/>
              <w:szCs w:val="28"/>
            </w:rPr>
          </w:pPr>
          <w:r>
            <w:rPr>
              <w:rFonts w:hint="eastAsia" w:ascii="黑体" w:hAnsi="黑体" w:eastAsia="黑体" w:cs="黑体"/>
              <w:bCs/>
              <w:sz w:val="28"/>
              <w:szCs w:val="28"/>
            </w:rPr>
            <w:fldChar w:fldCharType="begin"/>
          </w:r>
          <w:r>
            <w:rPr>
              <w:rFonts w:hint="eastAsia" w:ascii="黑体" w:hAnsi="黑体" w:eastAsia="黑体" w:cs="黑体"/>
              <w:bCs/>
              <w:sz w:val="28"/>
              <w:szCs w:val="28"/>
            </w:rPr>
            <w:instrText xml:space="preserve"> HYPERLINK \l _Toc12952 </w:instrText>
          </w:r>
          <w:r>
            <w:rPr>
              <w:rFonts w:hint="eastAsia" w:ascii="黑体" w:hAnsi="黑体" w:eastAsia="黑体" w:cs="黑体"/>
              <w:bCs/>
              <w:sz w:val="28"/>
              <w:szCs w:val="28"/>
            </w:rPr>
            <w:fldChar w:fldCharType="separate"/>
          </w:r>
          <w:r>
            <w:rPr>
              <w:rFonts w:hint="eastAsia" w:ascii="黑体" w:hAnsi="黑体" w:eastAsia="黑体" w:cs="黑体"/>
              <w:bCs/>
              <w:sz w:val="28"/>
              <w:szCs w:val="28"/>
            </w:rPr>
            <w:t>六、一般公共预算财政拨款支出决算表</w:t>
          </w:r>
          <w:r>
            <w:rPr>
              <w:rFonts w:hint="eastAsia" w:ascii="黑体" w:hAnsi="黑体" w:eastAsia="黑体" w:cs="黑体"/>
              <w:bCs/>
              <w:sz w:val="28"/>
              <w:szCs w:val="28"/>
            </w:rPr>
            <w:tab/>
          </w:r>
          <w:r>
            <w:rPr>
              <w:rFonts w:hint="eastAsia" w:ascii="黑体" w:hAnsi="黑体" w:eastAsia="黑体" w:cs="黑体"/>
              <w:bCs/>
              <w:sz w:val="28"/>
              <w:szCs w:val="28"/>
            </w:rPr>
            <w:fldChar w:fldCharType="begin"/>
          </w:r>
          <w:r>
            <w:rPr>
              <w:rFonts w:hint="eastAsia" w:ascii="黑体" w:hAnsi="黑体" w:eastAsia="黑体" w:cs="黑体"/>
              <w:bCs/>
              <w:sz w:val="28"/>
              <w:szCs w:val="28"/>
            </w:rPr>
            <w:instrText xml:space="preserve"> PAGEREF _Toc12952 \h </w:instrText>
          </w:r>
          <w:r>
            <w:rPr>
              <w:rFonts w:hint="eastAsia" w:ascii="黑体" w:hAnsi="黑体" w:eastAsia="黑体" w:cs="黑体"/>
              <w:bCs/>
              <w:sz w:val="28"/>
              <w:szCs w:val="28"/>
            </w:rPr>
            <w:fldChar w:fldCharType="separate"/>
          </w:r>
          <w:r>
            <w:rPr>
              <w:rFonts w:hint="eastAsia" w:ascii="黑体" w:hAnsi="黑体" w:eastAsia="黑体" w:cs="黑体"/>
              <w:bCs/>
              <w:sz w:val="28"/>
              <w:szCs w:val="28"/>
            </w:rPr>
            <w:t>- 20 -</w:t>
          </w:r>
          <w:r>
            <w:rPr>
              <w:rFonts w:hint="eastAsia" w:ascii="黑体" w:hAnsi="黑体" w:eastAsia="黑体" w:cs="黑体"/>
              <w:bCs/>
              <w:sz w:val="28"/>
              <w:szCs w:val="28"/>
            </w:rPr>
            <w:fldChar w:fldCharType="end"/>
          </w:r>
          <w:r>
            <w:rPr>
              <w:rFonts w:hint="eastAsia" w:ascii="黑体" w:hAnsi="黑体" w:eastAsia="黑体" w:cs="黑体"/>
              <w:bCs/>
              <w:sz w:val="28"/>
              <w:szCs w:val="28"/>
            </w:rPr>
            <w:fldChar w:fldCharType="end"/>
          </w:r>
        </w:p>
        <w:p>
          <w:pPr>
            <w:pStyle w:val="14"/>
            <w:tabs>
              <w:tab w:val="right" w:leader="dot" w:pos="8306"/>
              <w:tab w:val="clear" w:pos="8296"/>
            </w:tabs>
            <w:rPr>
              <w:rFonts w:hint="eastAsia" w:ascii="黑体" w:hAnsi="黑体" w:eastAsia="黑体" w:cs="黑体"/>
              <w:bCs/>
              <w:sz w:val="28"/>
              <w:szCs w:val="28"/>
            </w:rPr>
          </w:pPr>
          <w:r>
            <w:rPr>
              <w:rFonts w:hint="eastAsia" w:ascii="黑体" w:hAnsi="黑体" w:eastAsia="黑体" w:cs="黑体"/>
              <w:bCs/>
              <w:sz w:val="28"/>
              <w:szCs w:val="28"/>
            </w:rPr>
            <w:fldChar w:fldCharType="begin"/>
          </w:r>
          <w:r>
            <w:rPr>
              <w:rFonts w:hint="eastAsia" w:ascii="黑体" w:hAnsi="黑体" w:eastAsia="黑体" w:cs="黑体"/>
              <w:bCs/>
              <w:sz w:val="28"/>
              <w:szCs w:val="28"/>
            </w:rPr>
            <w:instrText xml:space="preserve"> HYPERLINK \l _Toc12867 </w:instrText>
          </w:r>
          <w:r>
            <w:rPr>
              <w:rFonts w:hint="eastAsia" w:ascii="黑体" w:hAnsi="黑体" w:eastAsia="黑体" w:cs="黑体"/>
              <w:bCs/>
              <w:sz w:val="28"/>
              <w:szCs w:val="28"/>
            </w:rPr>
            <w:fldChar w:fldCharType="separate"/>
          </w:r>
          <w:r>
            <w:rPr>
              <w:rFonts w:hint="eastAsia" w:ascii="黑体" w:hAnsi="黑体" w:eastAsia="黑体" w:cs="黑体"/>
              <w:bCs/>
              <w:sz w:val="28"/>
              <w:szCs w:val="28"/>
            </w:rPr>
            <w:t>七、一般公共预算财政拨款支出决算明细表</w:t>
          </w:r>
          <w:r>
            <w:rPr>
              <w:rFonts w:hint="eastAsia" w:ascii="黑体" w:hAnsi="黑体" w:eastAsia="黑体" w:cs="黑体"/>
              <w:bCs/>
              <w:sz w:val="28"/>
              <w:szCs w:val="28"/>
            </w:rPr>
            <w:tab/>
          </w:r>
          <w:r>
            <w:rPr>
              <w:rFonts w:hint="eastAsia" w:ascii="黑体" w:hAnsi="黑体" w:eastAsia="黑体" w:cs="黑体"/>
              <w:bCs/>
              <w:sz w:val="28"/>
              <w:szCs w:val="28"/>
            </w:rPr>
            <w:fldChar w:fldCharType="begin"/>
          </w:r>
          <w:r>
            <w:rPr>
              <w:rFonts w:hint="eastAsia" w:ascii="黑体" w:hAnsi="黑体" w:eastAsia="黑体" w:cs="黑体"/>
              <w:bCs/>
              <w:sz w:val="28"/>
              <w:szCs w:val="28"/>
            </w:rPr>
            <w:instrText xml:space="preserve"> PAGEREF _Toc12867 \h </w:instrText>
          </w:r>
          <w:r>
            <w:rPr>
              <w:rFonts w:hint="eastAsia" w:ascii="黑体" w:hAnsi="黑体" w:eastAsia="黑体" w:cs="黑体"/>
              <w:bCs/>
              <w:sz w:val="28"/>
              <w:szCs w:val="28"/>
            </w:rPr>
            <w:fldChar w:fldCharType="separate"/>
          </w:r>
          <w:r>
            <w:rPr>
              <w:rFonts w:hint="eastAsia" w:ascii="黑体" w:hAnsi="黑体" w:eastAsia="黑体" w:cs="黑体"/>
              <w:bCs/>
              <w:sz w:val="28"/>
              <w:szCs w:val="28"/>
            </w:rPr>
            <w:t>- 20 -</w:t>
          </w:r>
          <w:r>
            <w:rPr>
              <w:rFonts w:hint="eastAsia" w:ascii="黑体" w:hAnsi="黑体" w:eastAsia="黑体" w:cs="黑体"/>
              <w:bCs/>
              <w:sz w:val="28"/>
              <w:szCs w:val="28"/>
            </w:rPr>
            <w:fldChar w:fldCharType="end"/>
          </w:r>
          <w:r>
            <w:rPr>
              <w:rFonts w:hint="eastAsia" w:ascii="黑体" w:hAnsi="黑体" w:eastAsia="黑体" w:cs="黑体"/>
              <w:bCs/>
              <w:sz w:val="28"/>
              <w:szCs w:val="28"/>
            </w:rPr>
            <w:fldChar w:fldCharType="end"/>
          </w:r>
        </w:p>
        <w:p>
          <w:pPr>
            <w:pStyle w:val="14"/>
            <w:tabs>
              <w:tab w:val="right" w:leader="dot" w:pos="8306"/>
              <w:tab w:val="clear" w:pos="8296"/>
            </w:tabs>
            <w:rPr>
              <w:rFonts w:hint="eastAsia" w:ascii="黑体" w:hAnsi="黑体" w:eastAsia="黑体" w:cs="黑体"/>
              <w:bCs/>
              <w:sz w:val="28"/>
              <w:szCs w:val="28"/>
            </w:rPr>
          </w:pPr>
          <w:r>
            <w:rPr>
              <w:rFonts w:hint="eastAsia" w:ascii="黑体" w:hAnsi="黑体" w:eastAsia="黑体" w:cs="黑体"/>
              <w:bCs/>
              <w:sz w:val="28"/>
              <w:szCs w:val="28"/>
            </w:rPr>
            <w:fldChar w:fldCharType="begin"/>
          </w:r>
          <w:r>
            <w:rPr>
              <w:rFonts w:hint="eastAsia" w:ascii="黑体" w:hAnsi="黑体" w:eastAsia="黑体" w:cs="黑体"/>
              <w:bCs/>
              <w:sz w:val="28"/>
              <w:szCs w:val="28"/>
            </w:rPr>
            <w:instrText xml:space="preserve"> HYPERLINK \l _Toc2880 </w:instrText>
          </w:r>
          <w:r>
            <w:rPr>
              <w:rFonts w:hint="eastAsia" w:ascii="黑体" w:hAnsi="黑体" w:eastAsia="黑体" w:cs="黑体"/>
              <w:bCs/>
              <w:sz w:val="28"/>
              <w:szCs w:val="28"/>
            </w:rPr>
            <w:fldChar w:fldCharType="separate"/>
          </w:r>
          <w:r>
            <w:rPr>
              <w:rFonts w:hint="eastAsia" w:ascii="黑体" w:hAnsi="黑体" w:eastAsia="黑体" w:cs="黑体"/>
              <w:bCs/>
              <w:sz w:val="28"/>
              <w:szCs w:val="28"/>
            </w:rPr>
            <w:t>八、一般公共预算财政拨款基本支出决算表</w:t>
          </w:r>
          <w:r>
            <w:rPr>
              <w:rFonts w:hint="eastAsia" w:ascii="黑体" w:hAnsi="黑体" w:eastAsia="黑体" w:cs="黑体"/>
              <w:bCs/>
              <w:sz w:val="28"/>
              <w:szCs w:val="28"/>
            </w:rPr>
            <w:tab/>
          </w:r>
          <w:r>
            <w:rPr>
              <w:rFonts w:hint="eastAsia" w:ascii="黑体" w:hAnsi="黑体" w:eastAsia="黑体" w:cs="黑体"/>
              <w:bCs/>
              <w:sz w:val="28"/>
              <w:szCs w:val="28"/>
            </w:rPr>
            <w:fldChar w:fldCharType="begin"/>
          </w:r>
          <w:r>
            <w:rPr>
              <w:rFonts w:hint="eastAsia" w:ascii="黑体" w:hAnsi="黑体" w:eastAsia="黑体" w:cs="黑体"/>
              <w:bCs/>
              <w:sz w:val="28"/>
              <w:szCs w:val="28"/>
            </w:rPr>
            <w:instrText xml:space="preserve"> PAGEREF _Toc2880 \h </w:instrText>
          </w:r>
          <w:r>
            <w:rPr>
              <w:rFonts w:hint="eastAsia" w:ascii="黑体" w:hAnsi="黑体" w:eastAsia="黑体" w:cs="黑体"/>
              <w:bCs/>
              <w:sz w:val="28"/>
              <w:szCs w:val="28"/>
            </w:rPr>
            <w:fldChar w:fldCharType="separate"/>
          </w:r>
          <w:r>
            <w:rPr>
              <w:rFonts w:hint="eastAsia" w:ascii="黑体" w:hAnsi="黑体" w:eastAsia="黑体" w:cs="黑体"/>
              <w:bCs/>
              <w:sz w:val="28"/>
              <w:szCs w:val="28"/>
            </w:rPr>
            <w:t>- 20 -</w:t>
          </w:r>
          <w:r>
            <w:rPr>
              <w:rFonts w:hint="eastAsia" w:ascii="黑体" w:hAnsi="黑体" w:eastAsia="黑体" w:cs="黑体"/>
              <w:bCs/>
              <w:sz w:val="28"/>
              <w:szCs w:val="28"/>
            </w:rPr>
            <w:fldChar w:fldCharType="end"/>
          </w:r>
          <w:r>
            <w:rPr>
              <w:rFonts w:hint="eastAsia" w:ascii="黑体" w:hAnsi="黑体" w:eastAsia="黑体" w:cs="黑体"/>
              <w:bCs/>
              <w:sz w:val="28"/>
              <w:szCs w:val="28"/>
            </w:rPr>
            <w:fldChar w:fldCharType="end"/>
          </w:r>
        </w:p>
        <w:p>
          <w:pPr>
            <w:pStyle w:val="14"/>
            <w:tabs>
              <w:tab w:val="right" w:leader="dot" w:pos="8306"/>
              <w:tab w:val="clear" w:pos="8296"/>
            </w:tabs>
            <w:rPr>
              <w:rFonts w:hint="eastAsia" w:ascii="黑体" w:hAnsi="黑体" w:eastAsia="黑体" w:cs="黑体"/>
              <w:bCs/>
              <w:sz w:val="28"/>
              <w:szCs w:val="28"/>
            </w:rPr>
          </w:pPr>
          <w:r>
            <w:rPr>
              <w:rFonts w:hint="eastAsia" w:ascii="黑体" w:hAnsi="黑体" w:eastAsia="黑体" w:cs="黑体"/>
              <w:bCs/>
              <w:sz w:val="28"/>
              <w:szCs w:val="28"/>
            </w:rPr>
            <w:fldChar w:fldCharType="begin"/>
          </w:r>
          <w:r>
            <w:rPr>
              <w:rFonts w:hint="eastAsia" w:ascii="黑体" w:hAnsi="黑体" w:eastAsia="黑体" w:cs="黑体"/>
              <w:bCs/>
              <w:sz w:val="28"/>
              <w:szCs w:val="28"/>
            </w:rPr>
            <w:instrText xml:space="preserve"> HYPERLINK \l _Toc24062 </w:instrText>
          </w:r>
          <w:r>
            <w:rPr>
              <w:rFonts w:hint="eastAsia" w:ascii="黑体" w:hAnsi="黑体" w:eastAsia="黑体" w:cs="黑体"/>
              <w:bCs/>
              <w:sz w:val="28"/>
              <w:szCs w:val="28"/>
            </w:rPr>
            <w:fldChar w:fldCharType="separate"/>
          </w:r>
          <w:r>
            <w:rPr>
              <w:rFonts w:hint="eastAsia" w:ascii="黑体" w:hAnsi="黑体" w:eastAsia="黑体" w:cs="黑体"/>
              <w:bCs/>
              <w:sz w:val="28"/>
              <w:szCs w:val="28"/>
            </w:rPr>
            <w:t>九、一般公共预算财政拨款项目支出决算表</w:t>
          </w:r>
          <w:r>
            <w:rPr>
              <w:rFonts w:hint="eastAsia" w:ascii="黑体" w:hAnsi="黑体" w:eastAsia="黑体" w:cs="黑体"/>
              <w:bCs/>
              <w:sz w:val="28"/>
              <w:szCs w:val="28"/>
            </w:rPr>
            <w:tab/>
          </w:r>
          <w:r>
            <w:rPr>
              <w:rFonts w:hint="eastAsia" w:ascii="黑体" w:hAnsi="黑体" w:eastAsia="黑体" w:cs="黑体"/>
              <w:bCs/>
              <w:sz w:val="28"/>
              <w:szCs w:val="28"/>
            </w:rPr>
            <w:fldChar w:fldCharType="begin"/>
          </w:r>
          <w:r>
            <w:rPr>
              <w:rFonts w:hint="eastAsia" w:ascii="黑体" w:hAnsi="黑体" w:eastAsia="黑体" w:cs="黑体"/>
              <w:bCs/>
              <w:sz w:val="28"/>
              <w:szCs w:val="28"/>
            </w:rPr>
            <w:instrText xml:space="preserve"> PAGEREF _Toc24062 \h </w:instrText>
          </w:r>
          <w:r>
            <w:rPr>
              <w:rFonts w:hint="eastAsia" w:ascii="黑体" w:hAnsi="黑体" w:eastAsia="黑体" w:cs="黑体"/>
              <w:bCs/>
              <w:sz w:val="28"/>
              <w:szCs w:val="28"/>
            </w:rPr>
            <w:fldChar w:fldCharType="separate"/>
          </w:r>
          <w:r>
            <w:rPr>
              <w:rFonts w:hint="eastAsia" w:ascii="黑体" w:hAnsi="黑体" w:eastAsia="黑体" w:cs="黑体"/>
              <w:bCs/>
              <w:sz w:val="28"/>
              <w:szCs w:val="28"/>
            </w:rPr>
            <w:t>- 20 -</w:t>
          </w:r>
          <w:r>
            <w:rPr>
              <w:rFonts w:hint="eastAsia" w:ascii="黑体" w:hAnsi="黑体" w:eastAsia="黑体" w:cs="黑体"/>
              <w:bCs/>
              <w:sz w:val="28"/>
              <w:szCs w:val="28"/>
            </w:rPr>
            <w:fldChar w:fldCharType="end"/>
          </w:r>
          <w:r>
            <w:rPr>
              <w:rFonts w:hint="eastAsia" w:ascii="黑体" w:hAnsi="黑体" w:eastAsia="黑体" w:cs="黑体"/>
              <w:bCs/>
              <w:sz w:val="28"/>
              <w:szCs w:val="28"/>
            </w:rPr>
            <w:fldChar w:fldCharType="end"/>
          </w:r>
        </w:p>
        <w:p>
          <w:pPr>
            <w:pStyle w:val="14"/>
            <w:tabs>
              <w:tab w:val="right" w:leader="dot" w:pos="8306"/>
              <w:tab w:val="clear" w:pos="8296"/>
            </w:tabs>
            <w:rPr>
              <w:rFonts w:hint="eastAsia" w:ascii="黑体" w:hAnsi="黑体" w:eastAsia="黑体" w:cs="黑体"/>
              <w:bCs/>
              <w:sz w:val="28"/>
              <w:szCs w:val="28"/>
            </w:rPr>
          </w:pPr>
          <w:r>
            <w:rPr>
              <w:rFonts w:hint="eastAsia" w:ascii="黑体" w:hAnsi="黑体" w:eastAsia="黑体" w:cs="黑体"/>
              <w:bCs/>
              <w:sz w:val="28"/>
              <w:szCs w:val="28"/>
            </w:rPr>
            <w:fldChar w:fldCharType="begin"/>
          </w:r>
          <w:r>
            <w:rPr>
              <w:rFonts w:hint="eastAsia" w:ascii="黑体" w:hAnsi="黑体" w:eastAsia="黑体" w:cs="黑体"/>
              <w:bCs/>
              <w:sz w:val="28"/>
              <w:szCs w:val="28"/>
            </w:rPr>
            <w:instrText xml:space="preserve"> HYPERLINK \l _Toc23439 </w:instrText>
          </w:r>
          <w:r>
            <w:rPr>
              <w:rFonts w:hint="eastAsia" w:ascii="黑体" w:hAnsi="黑体" w:eastAsia="黑体" w:cs="黑体"/>
              <w:bCs/>
              <w:sz w:val="28"/>
              <w:szCs w:val="28"/>
            </w:rPr>
            <w:fldChar w:fldCharType="separate"/>
          </w:r>
          <w:r>
            <w:rPr>
              <w:rFonts w:hint="eastAsia" w:ascii="黑体" w:hAnsi="黑体" w:eastAsia="黑体" w:cs="黑体"/>
              <w:bCs/>
              <w:sz w:val="28"/>
              <w:szCs w:val="28"/>
            </w:rPr>
            <w:t>十、政府性基金预算财政拨款收入支出决算表</w:t>
          </w:r>
          <w:r>
            <w:rPr>
              <w:rFonts w:hint="eastAsia" w:ascii="黑体" w:hAnsi="黑体" w:eastAsia="黑体" w:cs="黑体"/>
              <w:bCs/>
              <w:sz w:val="28"/>
              <w:szCs w:val="28"/>
            </w:rPr>
            <w:tab/>
          </w:r>
          <w:r>
            <w:rPr>
              <w:rFonts w:hint="eastAsia" w:ascii="黑体" w:hAnsi="黑体" w:eastAsia="黑体" w:cs="黑体"/>
              <w:bCs/>
              <w:sz w:val="28"/>
              <w:szCs w:val="28"/>
            </w:rPr>
            <w:fldChar w:fldCharType="begin"/>
          </w:r>
          <w:r>
            <w:rPr>
              <w:rFonts w:hint="eastAsia" w:ascii="黑体" w:hAnsi="黑体" w:eastAsia="黑体" w:cs="黑体"/>
              <w:bCs/>
              <w:sz w:val="28"/>
              <w:szCs w:val="28"/>
            </w:rPr>
            <w:instrText xml:space="preserve"> PAGEREF _Toc23439 \h </w:instrText>
          </w:r>
          <w:r>
            <w:rPr>
              <w:rFonts w:hint="eastAsia" w:ascii="黑体" w:hAnsi="黑体" w:eastAsia="黑体" w:cs="黑体"/>
              <w:bCs/>
              <w:sz w:val="28"/>
              <w:szCs w:val="28"/>
            </w:rPr>
            <w:fldChar w:fldCharType="separate"/>
          </w:r>
          <w:r>
            <w:rPr>
              <w:rFonts w:hint="eastAsia" w:ascii="黑体" w:hAnsi="黑体" w:eastAsia="黑体" w:cs="黑体"/>
              <w:bCs/>
              <w:sz w:val="28"/>
              <w:szCs w:val="28"/>
            </w:rPr>
            <w:t>- 20 -</w:t>
          </w:r>
          <w:r>
            <w:rPr>
              <w:rFonts w:hint="eastAsia" w:ascii="黑体" w:hAnsi="黑体" w:eastAsia="黑体" w:cs="黑体"/>
              <w:bCs/>
              <w:sz w:val="28"/>
              <w:szCs w:val="28"/>
            </w:rPr>
            <w:fldChar w:fldCharType="end"/>
          </w:r>
          <w:r>
            <w:rPr>
              <w:rFonts w:hint="eastAsia" w:ascii="黑体" w:hAnsi="黑体" w:eastAsia="黑体" w:cs="黑体"/>
              <w:bCs/>
              <w:sz w:val="28"/>
              <w:szCs w:val="28"/>
            </w:rPr>
            <w:fldChar w:fldCharType="end"/>
          </w:r>
        </w:p>
        <w:p>
          <w:pPr>
            <w:pStyle w:val="14"/>
            <w:tabs>
              <w:tab w:val="right" w:leader="dot" w:pos="8306"/>
              <w:tab w:val="clear" w:pos="8296"/>
            </w:tabs>
            <w:rPr>
              <w:rFonts w:hint="eastAsia" w:ascii="黑体" w:hAnsi="黑体" w:eastAsia="黑体" w:cs="黑体"/>
              <w:bCs/>
              <w:sz w:val="28"/>
              <w:szCs w:val="28"/>
            </w:rPr>
          </w:pPr>
          <w:r>
            <w:rPr>
              <w:rFonts w:hint="eastAsia" w:ascii="黑体" w:hAnsi="黑体" w:eastAsia="黑体" w:cs="黑体"/>
              <w:bCs/>
              <w:sz w:val="28"/>
              <w:szCs w:val="28"/>
            </w:rPr>
            <w:fldChar w:fldCharType="begin"/>
          </w:r>
          <w:r>
            <w:rPr>
              <w:rFonts w:hint="eastAsia" w:ascii="黑体" w:hAnsi="黑体" w:eastAsia="黑体" w:cs="黑体"/>
              <w:bCs/>
              <w:sz w:val="28"/>
              <w:szCs w:val="28"/>
            </w:rPr>
            <w:instrText xml:space="preserve"> HYPERLINK \l _Toc5291 </w:instrText>
          </w:r>
          <w:r>
            <w:rPr>
              <w:rFonts w:hint="eastAsia" w:ascii="黑体" w:hAnsi="黑体" w:eastAsia="黑体" w:cs="黑体"/>
              <w:bCs/>
              <w:sz w:val="28"/>
              <w:szCs w:val="28"/>
            </w:rPr>
            <w:fldChar w:fldCharType="separate"/>
          </w:r>
          <w:r>
            <w:rPr>
              <w:rFonts w:hint="eastAsia" w:ascii="黑体" w:hAnsi="黑体" w:eastAsia="黑体" w:cs="黑体"/>
              <w:bCs/>
              <w:sz w:val="28"/>
              <w:szCs w:val="28"/>
            </w:rPr>
            <w:t>十一、国有资本经营预算财政拨款收入支出决算表</w:t>
          </w:r>
          <w:r>
            <w:rPr>
              <w:rFonts w:hint="eastAsia" w:ascii="黑体" w:hAnsi="黑体" w:eastAsia="黑体" w:cs="黑体"/>
              <w:bCs/>
              <w:sz w:val="28"/>
              <w:szCs w:val="28"/>
            </w:rPr>
            <w:tab/>
          </w:r>
          <w:r>
            <w:rPr>
              <w:rFonts w:hint="eastAsia" w:ascii="黑体" w:hAnsi="黑体" w:eastAsia="黑体" w:cs="黑体"/>
              <w:bCs/>
              <w:sz w:val="28"/>
              <w:szCs w:val="28"/>
            </w:rPr>
            <w:fldChar w:fldCharType="begin"/>
          </w:r>
          <w:r>
            <w:rPr>
              <w:rFonts w:hint="eastAsia" w:ascii="黑体" w:hAnsi="黑体" w:eastAsia="黑体" w:cs="黑体"/>
              <w:bCs/>
              <w:sz w:val="28"/>
              <w:szCs w:val="28"/>
            </w:rPr>
            <w:instrText xml:space="preserve"> PAGEREF _Toc5291 \h </w:instrText>
          </w:r>
          <w:r>
            <w:rPr>
              <w:rFonts w:hint="eastAsia" w:ascii="黑体" w:hAnsi="黑体" w:eastAsia="黑体" w:cs="黑体"/>
              <w:bCs/>
              <w:sz w:val="28"/>
              <w:szCs w:val="28"/>
            </w:rPr>
            <w:fldChar w:fldCharType="separate"/>
          </w:r>
          <w:r>
            <w:rPr>
              <w:rFonts w:hint="eastAsia" w:ascii="黑体" w:hAnsi="黑体" w:eastAsia="黑体" w:cs="黑体"/>
              <w:bCs/>
              <w:sz w:val="28"/>
              <w:szCs w:val="28"/>
            </w:rPr>
            <w:t>- 20 -</w:t>
          </w:r>
          <w:r>
            <w:rPr>
              <w:rFonts w:hint="eastAsia" w:ascii="黑体" w:hAnsi="黑体" w:eastAsia="黑体" w:cs="黑体"/>
              <w:bCs/>
              <w:sz w:val="28"/>
              <w:szCs w:val="28"/>
            </w:rPr>
            <w:fldChar w:fldCharType="end"/>
          </w:r>
          <w:r>
            <w:rPr>
              <w:rFonts w:hint="eastAsia" w:ascii="黑体" w:hAnsi="黑体" w:eastAsia="黑体" w:cs="黑体"/>
              <w:bCs/>
              <w:sz w:val="28"/>
              <w:szCs w:val="28"/>
            </w:rPr>
            <w:fldChar w:fldCharType="end"/>
          </w:r>
        </w:p>
        <w:p>
          <w:pPr>
            <w:pStyle w:val="14"/>
            <w:tabs>
              <w:tab w:val="right" w:leader="dot" w:pos="8306"/>
              <w:tab w:val="clear" w:pos="8296"/>
            </w:tabs>
            <w:rPr>
              <w:rFonts w:hint="eastAsia" w:ascii="黑体" w:hAnsi="黑体" w:eastAsia="黑体" w:cs="黑体"/>
              <w:bCs/>
              <w:sz w:val="28"/>
              <w:szCs w:val="28"/>
            </w:rPr>
          </w:pPr>
          <w:r>
            <w:rPr>
              <w:rFonts w:hint="eastAsia" w:ascii="黑体" w:hAnsi="黑体" w:eastAsia="黑体" w:cs="黑体"/>
              <w:bCs/>
              <w:sz w:val="28"/>
              <w:szCs w:val="28"/>
            </w:rPr>
            <w:fldChar w:fldCharType="begin"/>
          </w:r>
          <w:r>
            <w:rPr>
              <w:rFonts w:hint="eastAsia" w:ascii="黑体" w:hAnsi="黑体" w:eastAsia="黑体" w:cs="黑体"/>
              <w:bCs/>
              <w:sz w:val="28"/>
              <w:szCs w:val="28"/>
            </w:rPr>
            <w:instrText xml:space="preserve"> HYPERLINK \l _Toc23131 </w:instrText>
          </w:r>
          <w:r>
            <w:rPr>
              <w:rFonts w:hint="eastAsia" w:ascii="黑体" w:hAnsi="黑体" w:eastAsia="黑体" w:cs="黑体"/>
              <w:bCs/>
              <w:sz w:val="28"/>
              <w:szCs w:val="28"/>
            </w:rPr>
            <w:fldChar w:fldCharType="separate"/>
          </w:r>
          <w:r>
            <w:rPr>
              <w:rFonts w:hint="eastAsia" w:ascii="黑体" w:hAnsi="黑体" w:eastAsia="黑体" w:cs="黑体"/>
              <w:bCs/>
              <w:sz w:val="28"/>
              <w:szCs w:val="28"/>
            </w:rPr>
            <w:t>十二、国有资本经营预算财政拨款支出决算表</w:t>
          </w:r>
          <w:r>
            <w:rPr>
              <w:rFonts w:hint="eastAsia" w:ascii="黑体" w:hAnsi="黑体" w:eastAsia="黑体" w:cs="黑体"/>
              <w:bCs/>
              <w:sz w:val="28"/>
              <w:szCs w:val="28"/>
            </w:rPr>
            <w:tab/>
          </w:r>
          <w:r>
            <w:rPr>
              <w:rFonts w:hint="eastAsia" w:ascii="黑体" w:hAnsi="黑体" w:eastAsia="黑体" w:cs="黑体"/>
              <w:bCs/>
              <w:sz w:val="28"/>
              <w:szCs w:val="28"/>
            </w:rPr>
            <w:fldChar w:fldCharType="begin"/>
          </w:r>
          <w:r>
            <w:rPr>
              <w:rFonts w:hint="eastAsia" w:ascii="黑体" w:hAnsi="黑体" w:eastAsia="黑体" w:cs="黑体"/>
              <w:bCs/>
              <w:sz w:val="28"/>
              <w:szCs w:val="28"/>
            </w:rPr>
            <w:instrText xml:space="preserve"> PAGEREF _Toc23131 \h </w:instrText>
          </w:r>
          <w:r>
            <w:rPr>
              <w:rFonts w:hint="eastAsia" w:ascii="黑体" w:hAnsi="黑体" w:eastAsia="黑体" w:cs="黑体"/>
              <w:bCs/>
              <w:sz w:val="28"/>
              <w:szCs w:val="28"/>
            </w:rPr>
            <w:fldChar w:fldCharType="separate"/>
          </w:r>
          <w:r>
            <w:rPr>
              <w:rFonts w:hint="eastAsia" w:ascii="黑体" w:hAnsi="黑体" w:eastAsia="黑体" w:cs="黑体"/>
              <w:bCs/>
              <w:sz w:val="28"/>
              <w:szCs w:val="28"/>
            </w:rPr>
            <w:t>- 20 -</w:t>
          </w:r>
          <w:r>
            <w:rPr>
              <w:rFonts w:hint="eastAsia" w:ascii="黑体" w:hAnsi="黑体" w:eastAsia="黑体" w:cs="黑体"/>
              <w:bCs/>
              <w:sz w:val="28"/>
              <w:szCs w:val="28"/>
            </w:rPr>
            <w:fldChar w:fldCharType="end"/>
          </w:r>
          <w:r>
            <w:rPr>
              <w:rFonts w:hint="eastAsia" w:ascii="黑体" w:hAnsi="黑体" w:eastAsia="黑体" w:cs="黑体"/>
              <w:bCs/>
              <w:sz w:val="28"/>
              <w:szCs w:val="28"/>
            </w:rPr>
            <w:fldChar w:fldCharType="end"/>
          </w:r>
        </w:p>
        <w:p>
          <w:pPr>
            <w:pStyle w:val="14"/>
            <w:tabs>
              <w:tab w:val="right" w:leader="dot" w:pos="8306"/>
              <w:tab w:val="clear" w:pos="8296"/>
            </w:tabs>
            <w:rPr>
              <w:rFonts w:hint="eastAsia" w:ascii="仿宋" w:hAnsi="仿宋" w:eastAsia="仿宋" w:cs="仿宋"/>
              <w:bCs/>
              <w:sz w:val="28"/>
              <w:szCs w:val="28"/>
            </w:rPr>
          </w:pPr>
          <w:r>
            <w:rPr>
              <w:rFonts w:hint="eastAsia" w:ascii="黑体" w:hAnsi="黑体" w:eastAsia="黑体" w:cs="黑体"/>
              <w:bCs/>
              <w:sz w:val="28"/>
              <w:szCs w:val="28"/>
            </w:rPr>
            <w:fldChar w:fldCharType="begin"/>
          </w:r>
          <w:r>
            <w:rPr>
              <w:rFonts w:hint="eastAsia" w:ascii="黑体" w:hAnsi="黑体" w:eastAsia="黑体" w:cs="黑体"/>
              <w:bCs/>
              <w:sz w:val="28"/>
              <w:szCs w:val="28"/>
            </w:rPr>
            <w:instrText xml:space="preserve"> HYPERLINK \l _Toc25328 </w:instrText>
          </w:r>
          <w:r>
            <w:rPr>
              <w:rFonts w:hint="eastAsia" w:ascii="黑体" w:hAnsi="黑体" w:eastAsia="黑体" w:cs="黑体"/>
              <w:bCs/>
              <w:sz w:val="28"/>
              <w:szCs w:val="28"/>
            </w:rPr>
            <w:fldChar w:fldCharType="separate"/>
          </w:r>
          <w:r>
            <w:rPr>
              <w:rFonts w:hint="eastAsia" w:ascii="黑体" w:hAnsi="黑体" w:eastAsia="黑体" w:cs="黑体"/>
              <w:bCs/>
              <w:sz w:val="28"/>
              <w:szCs w:val="28"/>
            </w:rPr>
            <w:t>十三、财政拨款“三公”经费支出决算表</w:t>
          </w:r>
          <w:r>
            <w:rPr>
              <w:rFonts w:hint="eastAsia" w:ascii="黑体" w:hAnsi="黑体" w:eastAsia="黑体" w:cs="黑体"/>
              <w:bCs/>
              <w:sz w:val="28"/>
              <w:szCs w:val="28"/>
            </w:rPr>
            <w:tab/>
          </w:r>
          <w:r>
            <w:rPr>
              <w:rFonts w:hint="eastAsia" w:ascii="黑体" w:hAnsi="黑体" w:eastAsia="黑体" w:cs="黑体"/>
              <w:bCs/>
              <w:sz w:val="28"/>
              <w:szCs w:val="28"/>
            </w:rPr>
            <w:fldChar w:fldCharType="begin"/>
          </w:r>
          <w:r>
            <w:rPr>
              <w:rFonts w:hint="eastAsia" w:ascii="黑体" w:hAnsi="黑体" w:eastAsia="黑体" w:cs="黑体"/>
              <w:bCs/>
              <w:sz w:val="28"/>
              <w:szCs w:val="28"/>
            </w:rPr>
            <w:instrText xml:space="preserve"> PAGEREF _Toc25328 \h </w:instrText>
          </w:r>
          <w:r>
            <w:rPr>
              <w:rFonts w:hint="eastAsia" w:ascii="黑体" w:hAnsi="黑体" w:eastAsia="黑体" w:cs="黑体"/>
              <w:bCs/>
              <w:sz w:val="28"/>
              <w:szCs w:val="28"/>
            </w:rPr>
            <w:fldChar w:fldCharType="separate"/>
          </w:r>
          <w:r>
            <w:rPr>
              <w:rFonts w:hint="eastAsia" w:ascii="黑体" w:hAnsi="黑体" w:eastAsia="黑体" w:cs="黑体"/>
              <w:bCs/>
              <w:sz w:val="28"/>
              <w:szCs w:val="28"/>
            </w:rPr>
            <w:t>- 20 -</w:t>
          </w:r>
          <w:r>
            <w:rPr>
              <w:rFonts w:hint="eastAsia" w:ascii="黑体" w:hAnsi="黑体" w:eastAsia="黑体" w:cs="黑体"/>
              <w:bCs/>
              <w:sz w:val="28"/>
              <w:szCs w:val="28"/>
            </w:rPr>
            <w:fldChar w:fldCharType="end"/>
          </w:r>
          <w:r>
            <w:rPr>
              <w:rFonts w:hint="eastAsia" w:ascii="黑体" w:hAnsi="黑体" w:eastAsia="黑体" w:cs="黑体"/>
              <w:bCs/>
              <w:sz w:val="28"/>
              <w:szCs w:val="28"/>
            </w:rPr>
            <w:fldChar w:fldCharType="end"/>
          </w:r>
        </w:p>
        <w:p>
          <w:pPr>
            <w:pStyle w:val="14"/>
            <w:adjustRightInd w:val="0"/>
            <w:snapToGrid w:val="0"/>
            <w:spacing w:line="560" w:lineRule="exact"/>
            <w:ind w:left="0" w:leftChars="0" w:firstLine="420" w:firstLineChars="200"/>
            <w:jc w:val="left"/>
            <w:rPr>
              <w:rFonts w:ascii="Times New Roman" w:hAnsi="Times New Roman" w:eastAsia="仿宋_GB2312" w:cs="仿宋_GB2312"/>
              <w:bCs/>
              <w:kern w:val="2"/>
              <w:sz w:val="21"/>
              <w:szCs w:val="32"/>
              <w:lang w:val="en-US" w:eastAsia="zh-CN" w:bidi="ar-SA"/>
            </w:rPr>
          </w:pPr>
          <w:r>
            <w:rPr>
              <w:rFonts w:eastAsia="仿宋_GB2312" w:cs="仿宋_GB2312"/>
              <w:bCs/>
              <w:szCs w:val="32"/>
            </w:rPr>
            <w:fldChar w:fldCharType="end"/>
          </w:r>
        </w:p>
      </w:sdtContent>
    </w:sdt>
    <w:p/>
    <w:p>
      <w:pPr>
        <w:widowControl/>
        <w:spacing w:line="560" w:lineRule="exact"/>
        <w:jc w:val="left"/>
        <w:rPr>
          <w:rFonts w:eastAsia="仿宋_GB2312" w:cs="仿宋_GB2312"/>
          <w:bCs/>
          <w:kern w:val="44"/>
          <w:sz w:val="32"/>
          <w:szCs w:val="32"/>
        </w:rPr>
      </w:pPr>
      <w:bookmarkStart w:id="6" w:name="_Toc15377196"/>
      <w:bookmarkStart w:id="7" w:name="_Toc15396599"/>
      <w:r>
        <w:rPr>
          <w:rFonts w:hint="eastAsia" w:eastAsia="仿宋_GB2312" w:cs="仿宋_GB2312"/>
          <w:b/>
          <w:sz w:val="32"/>
          <w:szCs w:val="32"/>
        </w:rPr>
        <w:br w:type="page"/>
      </w:r>
    </w:p>
    <w:p>
      <w:pPr>
        <w:pStyle w:val="3"/>
        <w:jc w:val="center"/>
        <w:rPr>
          <w:rFonts w:hint="eastAsia" w:eastAsia="方正小标宋简体" w:cs="方正小标宋简体"/>
          <w:b w:val="0"/>
        </w:rPr>
      </w:pPr>
      <w:bookmarkStart w:id="8" w:name="_Toc27661"/>
      <w:r>
        <w:rPr>
          <w:rFonts w:hint="eastAsia" w:eastAsia="方正小标宋简体" w:cs="方正小标宋简体"/>
          <w:b w:val="0"/>
        </w:rPr>
        <w:t xml:space="preserve">第一部分  </w:t>
      </w:r>
      <w:r>
        <w:rPr>
          <w:rFonts w:hint="eastAsia" w:eastAsia="方正小标宋简体" w:cs="方正小标宋简体"/>
          <w:b w:val="0"/>
          <w:lang w:val="en-US" w:eastAsia="zh-CN"/>
        </w:rPr>
        <w:t>单位</w:t>
      </w:r>
      <w:r>
        <w:rPr>
          <w:rFonts w:hint="eastAsia" w:eastAsia="方正小标宋简体" w:cs="方正小标宋简体"/>
          <w:b w:val="0"/>
        </w:rPr>
        <w:t>概况</w:t>
      </w:r>
      <w:bookmarkEnd w:id="6"/>
      <w:bookmarkEnd w:id="7"/>
      <w:bookmarkEnd w:id="8"/>
    </w:p>
    <w:p>
      <w:pPr>
        <w:widowControl/>
        <w:jc w:val="left"/>
        <w:rPr>
          <w:rFonts w:eastAsia="黑体"/>
          <w:sz w:val="32"/>
          <w:szCs w:val="32"/>
        </w:rPr>
      </w:pPr>
    </w:p>
    <w:p>
      <w:pPr>
        <w:pStyle w:val="4"/>
        <w:rPr>
          <w:rFonts w:hint="eastAsia" w:ascii="Times New Roman" w:hAnsi="Times New Roman" w:eastAsia="黑体"/>
          <w:b w:val="0"/>
        </w:rPr>
      </w:pPr>
      <w:bookmarkStart w:id="9" w:name="_Toc12558"/>
      <w:r>
        <w:rPr>
          <w:rFonts w:hint="eastAsia" w:ascii="Times New Roman" w:hAnsi="Times New Roman" w:eastAsia="黑体"/>
          <w:b w:val="0"/>
          <w:lang w:val="en-US" w:eastAsia="zh-CN"/>
        </w:rPr>
        <w:t>一、主要</w:t>
      </w:r>
      <w:r>
        <w:rPr>
          <w:rFonts w:hint="eastAsia" w:ascii="Times New Roman" w:hAnsi="Times New Roman" w:eastAsia="黑体"/>
          <w:b w:val="0"/>
        </w:rPr>
        <w:t>职责</w:t>
      </w:r>
      <w:bookmarkEnd w:id="9"/>
    </w:p>
    <w:p>
      <w:pPr>
        <w:snapToGrid w:val="0"/>
        <w:spacing w:line="52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 w:eastAsia="仿宋_GB2312"/>
          <w:sz w:val="32"/>
          <w:szCs w:val="32"/>
          <w:highlight w:val="none"/>
          <w:lang w:val="en-US" w:eastAsia="zh-CN"/>
        </w:rPr>
        <w:t>坚持以习近平新时代中国特色社会主义思想为指导，全面贯彻习近平总书记对四川工作，阿坝工作系列重要指示精神，认真落实省委十一届、州委十一届历次全会精神和《阿坝州“十四五”综合交通运输发展规划》总体要求。展望2035年，交通强州目标全面实现，“一枢纽、二网络、三样板、四体系”全面建成，实现普通国省道100%达二级以上标准，普通省道100%达三级及以上标准，形成“四向通道、全域拓展”开放新格局。</w:t>
      </w:r>
    </w:p>
    <w:p>
      <w:pPr>
        <w:pStyle w:val="4"/>
        <w:rPr>
          <w:rStyle w:val="29"/>
          <w:rFonts w:ascii="Times New Roman" w:hAnsi="Times New Roman"/>
          <w:b w:val="0"/>
          <w:bCs w:val="0"/>
        </w:rPr>
      </w:pPr>
      <w:bookmarkStart w:id="10" w:name="_Toc15396601"/>
      <w:bookmarkStart w:id="11" w:name="_Toc15377200"/>
      <w:bookmarkStart w:id="12" w:name="_Toc3661"/>
      <w:r>
        <w:rPr>
          <w:rFonts w:hint="eastAsia" w:ascii="Times New Roman" w:hAnsi="Times New Roman" w:eastAsia="黑体"/>
          <w:b w:val="0"/>
        </w:rPr>
        <w:t>二、机</w:t>
      </w:r>
      <w:r>
        <w:rPr>
          <w:rStyle w:val="29"/>
          <w:rFonts w:hint="eastAsia" w:ascii="Times New Roman" w:hAnsi="Times New Roman" w:eastAsia="黑体"/>
          <w:b w:val="0"/>
          <w:bCs w:val="0"/>
        </w:rPr>
        <w:t>构设置</w:t>
      </w:r>
      <w:bookmarkEnd w:id="10"/>
      <w:bookmarkEnd w:id="11"/>
      <w:bookmarkEnd w:id="12"/>
    </w:p>
    <w:p>
      <w:pPr>
        <w:snapToGrid w:val="0"/>
        <w:spacing w:line="520" w:lineRule="exact"/>
        <w:ind w:firstLine="640" w:firstLineChars="200"/>
        <w:rPr>
          <w:rFonts w:hint="default" w:ascii="仿宋_GB2312" w:hAnsi="仿宋" w:eastAsia="仿宋_GB2312"/>
          <w:sz w:val="32"/>
          <w:szCs w:val="32"/>
          <w:highlight w:val="none"/>
          <w:lang w:val="en-US" w:eastAsia="zh-CN"/>
        </w:rPr>
      </w:pPr>
      <w:r>
        <w:rPr>
          <w:rFonts w:hint="eastAsia" w:ascii="仿宋_GB2312" w:hAnsi="仿宋" w:eastAsia="仿宋_GB2312"/>
          <w:sz w:val="32"/>
          <w:szCs w:val="32"/>
          <w:highlight w:val="none"/>
          <w:lang w:val="en-US" w:eastAsia="zh-CN"/>
        </w:rPr>
        <w:t>马尔康公路管理分局前身是马尔康养路段，成立于   1962年11月17，于1994年 9月 更名为马尔康公路管理分局。由阿坝州公路局直接管理。分局下设党委办公室、行政办公室、劳动人事股、工程股、机料股、安全股、财务股等7个股室。辖6个养护站和1个应急保通中心（四大坝养护站、王家寨养护站、色尔米养护站、梭磨养护站、卓克基养护站、32K养护站、松岗应急保通中心）。</w:t>
      </w:r>
    </w:p>
    <w:p>
      <w:pPr>
        <w:pStyle w:val="2"/>
        <w:adjustRightInd w:val="0"/>
        <w:snapToGrid w:val="0"/>
        <w:spacing w:before="93" w:line="600" w:lineRule="exact"/>
        <w:ind w:firstLine="640" w:firstLineChars="200"/>
        <w:rPr>
          <w:rFonts w:ascii="Times New Roman" w:cs="仿宋_GB2312"/>
          <w:sz w:val="32"/>
          <w:szCs w:val="32"/>
        </w:rPr>
      </w:pPr>
    </w:p>
    <w:p>
      <w:pPr>
        <w:widowControl/>
        <w:jc w:val="left"/>
        <w:rPr>
          <w:rFonts w:eastAsia="仿宋"/>
          <w:kern w:val="0"/>
          <w:sz w:val="32"/>
          <w:szCs w:val="32"/>
        </w:rPr>
      </w:pPr>
      <w:r>
        <w:rPr>
          <w:rFonts w:eastAsia="仿宋"/>
          <w:sz w:val="32"/>
          <w:szCs w:val="32"/>
        </w:rPr>
        <w:br w:type="page"/>
      </w:r>
    </w:p>
    <w:p>
      <w:pPr>
        <w:pStyle w:val="3"/>
        <w:jc w:val="center"/>
        <w:rPr>
          <w:rFonts w:hint="eastAsia" w:ascii="黑体" w:hAnsi="黑体" w:eastAsia="黑体" w:cs="黑体"/>
          <w:b w:val="0"/>
        </w:rPr>
      </w:pPr>
      <w:bookmarkStart w:id="13" w:name="_Toc15377204"/>
      <w:bookmarkStart w:id="14" w:name="_Toc15396602"/>
      <w:bookmarkStart w:id="15" w:name="_Toc5056"/>
      <w:r>
        <w:rPr>
          <w:rFonts w:hint="eastAsia" w:eastAsia="方正小标宋简体" w:cs="方正小标宋简体"/>
          <w:b w:val="0"/>
        </w:rPr>
        <w:t xml:space="preserve">第二部分  </w:t>
      </w:r>
      <w:r>
        <w:rPr>
          <w:rFonts w:hint="eastAsia" w:eastAsia="方正小标宋简体" w:cs="方正小标宋简体"/>
          <w:b w:val="0"/>
          <w:lang w:val="en-US" w:eastAsia="zh-CN"/>
        </w:rPr>
        <w:t>2024</w:t>
      </w:r>
      <w:r>
        <w:rPr>
          <w:rFonts w:hint="eastAsia" w:eastAsia="方正小标宋简体" w:cs="方正小标宋简体"/>
          <w:b w:val="0"/>
        </w:rPr>
        <w:t>年度</w:t>
      </w:r>
      <w:r>
        <w:rPr>
          <w:rFonts w:hint="eastAsia" w:eastAsia="方正小标宋简体" w:cs="方正小标宋简体"/>
          <w:b w:val="0"/>
          <w:lang w:val="en-US" w:eastAsia="zh-CN"/>
        </w:rPr>
        <w:t>单位</w:t>
      </w:r>
      <w:r>
        <w:rPr>
          <w:rFonts w:hint="eastAsia" w:eastAsia="方正小标宋简体" w:cs="方正小标宋简体"/>
          <w:b w:val="0"/>
        </w:rPr>
        <w:t>决算情况说明</w:t>
      </w:r>
      <w:bookmarkEnd w:id="13"/>
      <w:bookmarkEnd w:id="14"/>
      <w:bookmarkEnd w:id="15"/>
    </w:p>
    <w:p/>
    <w:p>
      <w:pPr>
        <w:pStyle w:val="27"/>
        <w:spacing w:line="600" w:lineRule="exact"/>
        <w:ind w:firstLine="640"/>
        <w:outlineLvl w:val="1"/>
        <w:rPr>
          <w:rStyle w:val="29"/>
          <w:rFonts w:ascii="Times New Roman" w:hAnsi="Times New Roman" w:eastAsia="黑体"/>
          <w:b w:val="0"/>
        </w:rPr>
      </w:pPr>
      <w:bookmarkStart w:id="16" w:name="_Toc1539"/>
      <w:bookmarkStart w:id="17" w:name="_Toc15396603"/>
      <w:bookmarkStart w:id="18" w:name="_Toc15377205"/>
      <w:r>
        <w:rPr>
          <w:rFonts w:hint="eastAsia" w:eastAsia="黑体"/>
          <w:sz w:val="32"/>
          <w:szCs w:val="32"/>
        </w:rPr>
        <w:t>一、收</w:t>
      </w:r>
      <w:r>
        <w:rPr>
          <w:rStyle w:val="29"/>
          <w:rFonts w:hint="eastAsia" w:ascii="Times New Roman" w:hAnsi="Times New Roman" w:eastAsia="黑体"/>
          <w:b w:val="0"/>
        </w:rPr>
        <w:t>入支出决算总体情况说明</w:t>
      </w:r>
      <w:bookmarkEnd w:id="16"/>
      <w:bookmarkEnd w:id="17"/>
      <w:bookmarkEnd w:id="18"/>
    </w:p>
    <w:p>
      <w:pPr>
        <w:pStyle w:val="2"/>
        <w:adjustRightInd w:val="0"/>
        <w:snapToGrid w:val="0"/>
        <w:spacing w:before="93" w:line="600" w:lineRule="exact"/>
        <w:ind w:firstLine="640" w:firstLineChars="200"/>
        <w:rPr>
          <w:rFonts w:hint="eastAsia" w:ascii="仿宋_GB2312" w:hAnsi="仿宋_GB2312" w:eastAsia="仿宋_GB2312" w:cs="仿宋_GB2312"/>
          <w:kern w:val="2"/>
          <w:sz w:val="32"/>
          <w:szCs w:val="32"/>
          <w:lang w:val="en-US" w:eastAsia="zh-CN" w:bidi="ar-SA"/>
        </w:rPr>
      </w:pPr>
      <w:r>
        <w:rPr>
          <w:rFonts w:hint="eastAsia" w:ascii="Times New Roman" w:hAnsi="Times New Roman" w:eastAsia="仿宋_GB2312" w:cs="仿宋_GB2312"/>
          <w:kern w:val="2"/>
          <w:sz w:val="32"/>
          <w:szCs w:val="32"/>
          <w:lang w:val="en-US" w:eastAsia="zh-CN" w:bidi="ar-SA"/>
        </w:rPr>
        <w:t>2024</w:t>
      </w:r>
      <w:r>
        <w:rPr>
          <w:rFonts w:hint="eastAsia" w:ascii="仿宋_GB2312" w:hAnsi="仿宋_GB2312" w:eastAsia="仿宋_GB2312" w:cs="仿宋_GB2312"/>
          <w:sz w:val="32"/>
          <w:szCs w:val="32"/>
        </w:rPr>
        <w:t>年度收入、支出总计均为</w:t>
      </w:r>
      <w:r>
        <w:rPr>
          <w:rFonts w:hint="eastAsia" w:ascii="Times New Roman" w:cs="仿宋_GB2312"/>
          <w:kern w:val="2"/>
          <w:sz w:val="32"/>
          <w:szCs w:val="32"/>
          <w:lang w:val="en-US" w:eastAsia="zh-CN" w:bidi="ar-SA"/>
        </w:rPr>
        <w:t>3,151.31</w:t>
      </w:r>
      <w:r>
        <w:rPr>
          <w:rFonts w:hint="eastAsia" w:ascii="仿宋_GB2312" w:hAnsi="仿宋_GB2312" w:eastAsia="仿宋_GB2312" w:cs="仿宋_GB2312"/>
          <w:sz w:val="32"/>
          <w:szCs w:val="32"/>
        </w:rPr>
        <w:t>万元。与</w:t>
      </w:r>
      <w:r>
        <w:rPr>
          <w:rFonts w:hint="eastAsia" w:ascii="Times New Roman" w:hAnsi="Times New Roman" w:eastAsia="仿宋_GB2312" w:cs="仿宋_GB2312"/>
          <w:kern w:val="2"/>
          <w:sz w:val="32"/>
          <w:szCs w:val="32"/>
          <w:lang w:val="en-US" w:eastAsia="zh-CN" w:bidi="ar-SA"/>
        </w:rPr>
        <w:t>2023</w:t>
      </w:r>
      <w:r>
        <w:rPr>
          <w:rFonts w:hint="eastAsia" w:ascii="仿宋_GB2312" w:hAnsi="仿宋_GB2312" w:eastAsia="仿宋_GB2312" w:cs="仿宋_GB2312"/>
          <w:sz w:val="32"/>
          <w:szCs w:val="32"/>
        </w:rPr>
        <w:t>年度相比，收入、支出总计各减少</w:t>
      </w:r>
      <w:r>
        <w:rPr>
          <w:rFonts w:hint="eastAsia" w:ascii="Times New Roman" w:hAnsi="Times New Roman" w:eastAsia="仿宋_GB2312" w:cs="仿宋_GB2312"/>
          <w:kern w:val="2"/>
          <w:sz w:val="32"/>
          <w:szCs w:val="32"/>
          <w:lang w:val="en-US" w:eastAsia="zh-CN" w:bidi="ar-SA"/>
        </w:rPr>
        <w:t>188.59</w:t>
      </w:r>
      <w:r>
        <w:rPr>
          <w:rFonts w:hint="eastAsia" w:ascii="仿宋_GB2312" w:hAnsi="仿宋_GB2312" w:eastAsia="仿宋_GB2312" w:cs="仿宋_GB2312"/>
          <w:sz w:val="32"/>
          <w:szCs w:val="32"/>
        </w:rPr>
        <w:t>万元，下降</w:t>
      </w:r>
      <w:r>
        <w:rPr>
          <w:rFonts w:hint="eastAsia" w:ascii="Times New Roman" w:cs="仿宋_GB2312"/>
          <w:kern w:val="2"/>
          <w:sz w:val="32"/>
          <w:szCs w:val="32"/>
          <w:lang w:val="en-US" w:eastAsia="zh-CN" w:bidi="ar-SA"/>
        </w:rPr>
        <w:t>5.6</w:t>
      </w:r>
      <w:r>
        <w:rPr>
          <w:rFonts w:hint="eastAsia" w:ascii="Times New Roman" w:hAnsi="Times New Roman" w:eastAsia="仿宋_GB2312" w:cs="仿宋_GB2312"/>
          <w:kern w:val="2"/>
          <w:sz w:val="32"/>
          <w:szCs w:val="32"/>
          <w:lang w:val="en-US" w:eastAsia="zh-CN" w:bidi="ar-SA"/>
        </w:rPr>
        <w:t>%</w:t>
      </w:r>
      <w:r>
        <w:rPr>
          <w:rFonts w:hint="eastAsia" w:ascii="仿宋_GB2312" w:hAnsi="仿宋_GB2312" w:eastAsia="仿宋_GB2312" w:cs="仿宋_GB2312"/>
          <w:sz w:val="32"/>
          <w:szCs w:val="32"/>
        </w:rPr>
        <w:t>。主</w:t>
      </w:r>
      <w:r>
        <w:rPr>
          <w:rFonts w:hint="eastAsia" w:ascii="仿宋_GB2312" w:hAnsi="仿宋_GB2312" w:eastAsia="仿宋_GB2312" w:cs="仿宋_GB2312"/>
          <w:kern w:val="2"/>
          <w:sz w:val="32"/>
          <w:szCs w:val="32"/>
          <w:lang w:val="en-US" w:eastAsia="zh-CN" w:bidi="ar-SA"/>
        </w:rPr>
        <w:t>要变动原因是本年度较上年度人员减少,经费减少。</w:t>
      </w:r>
    </w:p>
    <w:p>
      <w:pPr>
        <w:pStyle w:val="7"/>
        <w:jc w:val="center"/>
        <w:rPr>
          <w:rFonts w:hint="eastAsia" w:eastAsia="仿宋_GB2312" w:cs="仿宋_GB2312"/>
          <w:sz w:val="32"/>
          <w:szCs w:val="32"/>
        </w:rPr>
      </w:pPr>
      <w:r>
        <w:drawing>
          <wp:anchor distT="0" distB="0" distL="114300" distR="114300" simplePos="0" relativeHeight="251663360" behindDoc="1" locked="0" layoutInCell="1" allowOverlap="1">
            <wp:simplePos x="0" y="0"/>
            <wp:positionH relativeFrom="column">
              <wp:posOffset>675640</wp:posOffset>
            </wp:positionH>
            <wp:positionV relativeFrom="paragraph">
              <wp:posOffset>48260</wp:posOffset>
            </wp:positionV>
            <wp:extent cx="4196715" cy="2792095"/>
            <wp:effectExtent l="4445" t="4445" r="8890" b="22860"/>
            <wp:wrapTight wrapText="bothSides">
              <wp:wrapPolygon>
                <wp:start x="-23" y="-34"/>
                <wp:lineTo x="-23" y="21482"/>
                <wp:lineTo x="21548" y="21482"/>
                <wp:lineTo x="21548" y="-34"/>
                <wp:lineTo x="-23" y="-34"/>
              </wp:wrapPolygon>
            </wp:wrapTight>
            <wp:docPr id="44154"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anchor>
        </w:drawing>
      </w:r>
    </w:p>
    <w:p>
      <w:pPr>
        <w:ind w:firstLine="640" w:firstLineChars="200"/>
        <w:jc w:val="center"/>
      </w:pPr>
      <w:r>
        <w:rPr>
          <w:rFonts w:hint="eastAsia" w:eastAsia="仿宋_GB2312" w:cs="仿宋_GB2312"/>
          <w:sz w:val="32"/>
          <w:szCs w:val="32"/>
        </w:rPr>
        <w:t>（图1：收入、支出决算总计变动情况图）</w:t>
      </w:r>
    </w:p>
    <w:p>
      <w:pPr>
        <w:pStyle w:val="27"/>
        <w:spacing w:line="600" w:lineRule="exact"/>
        <w:ind w:firstLine="640"/>
        <w:outlineLvl w:val="1"/>
        <w:rPr>
          <w:rFonts w:eastAsia="黑体"/>
          <w:sz w:val="32"/>
          <w:szCs w:val="32"/>
        </w:rPr>
      </w:pPr>
      <w:bookmarkStart w:id="19" w:name="_Toc15396604"/>
      <w:bookmarkStart w:id="20" w:name="_Toc22737"/>
      <w:bookmarkStart w:id="21" w:name="_Toc15377206"/>
      <w:r>
        <w:rPr>
          <w:rFonts w:hint="eastAsia" w:eastAsia="黑体"/>
          <w:sz w:val="32"/>
          <w:szCs w:val="32"/>
        </w:rPr>
        <w:t>二、收入决算情况说明</w:t>
      </w:r>
      <w:bookmarkEnd w:id="19"/>
      <w:bookmarkEnd w:id="20"/>
      <w:bookmarkEnd w:id="21"/>
    </w:p>
    <w:p>
      <w:pPr>
        <w:pStyle w:val="2"/>
        <w:adjustRightInd w:val="0"/>
        <w:snapToGrid w:val="0"/>
        <w:spacing w:before="93" w:line="600" w:lineRule="exact"/>
        <w:ind w:firstLine="640" w:firstLineChars="200"/>
        <w:rPr>
          <w:rFonts w:hint="eastAsia" w:ascii="仿宋_GB2312" w:hAnsi="仿宋_GB2312" w:eastAsia="仿宋_GB2312" w:cs="仿宋_GB2312"/>
          <w:sz w:val="32"/>
          <w:szCs w:val="32"/>
          <w:lang w:eastAsia="zh-CN"/>
        </w:rPr>
      </w:pPr>
      <w:r>
        <w:rPr>
          <w:rFonts w:hint="eastAsia" w:ascii="Times New Roman" w:hAnsi="Times New Roman" w:eastAsia="仿宋_GB2312" w:cs="仿宋_GB2312"/>
          <w:kern w:val="2"/>
          <w:sz w:val="32"/>
          <w:szCs w:val="32"/>
          <w:lang w:val="en-US" w:eastAsia="zh-CN" w:bidi="ar-SA"/>
        </w:rPr>
        <w:t>2024</w:t>
      </w:r>
      <w:r>
        <w:rPr>
          <w:rFonts w:hint="eastAsia" w:ascii="仿宋_GB2312" w:hAnsi="仿宋_GB2312" w:eastAsia="仿宋_GB2312" w:cs="仿宋_GB2312"/>
          <w:sz w:val="32"/>
          <w:szCs w:val="32"/>
        </w:rPr>
        <w:t>年度本年收入合计</w:t>
      </w:r>
      <w:r>
        <w:rPr>
          <w:rFonts w:hint="eastAsia" w:ascii="Times New Roman" w:cs="仿宋_GB2312"/>
          <w:kern w:val="2"/>
          <w:sz w:val="32"/>
          <w:szCs w:val="32"/>
          <w:lang w:val="en-US" w:eastAsia="zh-CN" w:bidi="ar-SA"/>
        </w:rPr>
        <w:t>3,151.31</w:t>
      </w:r>
      <w:r>
        <w:rPr>
          <w:rFonts w:hint="eastAsia" w:ascii="仿宋_GB2312" w:hAnsi="仿宋_GB2312" w:eastAsia="仿宋_GB2312" w:cs="仿宋_GB2312"/>
          <w:sz w:val="32"/>
          <w:szCs w:val="32"/>
        </w:rPr>
        <w:t>万元，其中：一般公共预算财政拨款收入</w:t>
      </w:r>
      <w:r>
        <w:rPr>
          <w:rFonts w:hint="eastAsia" w:ascii="Times New Roman" w:cs="仿宋_GB2312"/>
          <w:kern w:val="2"/>
          <w:sz w:val="32"/>
          <w:szCs w:val="32"/>
          <w:lang w:val="en-US" w:eastAsia="zh-CN" w:bidi="ar-SA"/>
        </w:rPr>
        <w:t>3,151.31</w:t>
      </w:r>
      <w:r>
        <w:rPr>
          <w:rFonts w:hint="eastAsia" w:ascii="仿宋_GB2312" w:hAnsi="仿宋_GB2312" w:eastAsia="仿宋_GB2312" w:cs="仿宋_GB2312"/>
          <w:sz w:val="32"/>
          <w:szCs w:val="32"/>
        </w:rPr>
        <w:t>万元，占</w:t>
      </w:r>
      <w:r>
        <w:rPr>
          <w:rFonts w:hint="eastAsia" w:ascii="Times New Roman" w:hAnsi="Times New Roman" w:eastAsia="仿宋_GB2312" w:cs="仿宋_GB2312"/>
          <w:kern w:val="2"/>
          <w:sz w:val="32"/>
          <w:szCs w:val="32"/>
          <w:lang w:val="en-US" w:eastAsia="zh-CN" w:bidi="ar-SA"/>
        </w:rPr>
        <w:t>100%</w:t>
      </w:r>
      <w:r>
        <w:rPr>
          <w:rFonts w:hint="eastAsia" w:ascii="仿宋_GB2312" w:hAnsi="仿宋_GB2312" w:eastAsia="仿宋_GB2312" w:cs="仿宋_GB2312"/>
          <w:sz w:val="32"/>
          <w:szCs w:val="32"/>
          <w:lang w:eastAsia="zh-CN"/>
        </w:rPr>
        <w:t>。</w:t>
      </w:r>
    </w:p>
    <w:p>
      <w:pPr>
        <w:ind w:firstLine="800" w:firstLineChars="250"/>
        <w:rPr>
          <w:rFonts w:hint="eastAsia" w:eastAsia="仿宋_GB2312" w:cs="仿宋_GB2312"/>
          <w:sz w:val="32"/>
          <w:szCs w:val="32"/>
        </w:rPr>
      </w:pPr>
    </w:p>
    <w:p>
      <w:pPr>
        <w:pStyle w:val="7"/>
        <w:ind w:left="0" w:leftChars="0" w:firstLine="0" w:firstLineChars="0"/>
        <w:rPr>
          <w:rFonts w:hint="eastAsia" w:eastAsia="仿宋_GB2312" w:cs="仿宋_GB2312"/>
          <w:sz w:val="32"/>
          <w:szCs w:val="32"/>
        </w:rPr>
      </w:pPr>
    </w:p>
    <w:p>
      <w:pPr>
        <w:pStyle w:val="7"/>
        <w:jc w:val="center"/>
        <w:rPr>
          <w:rFonts w:hint="eastAsia" w:eastAsia="仿宋_GB2312" w:cs="仿宋_GB2312"/>
          <w:sz w:val="32"/>
          <w:szCs w:val="32"/>
        </w:rPr>
      </w:pPr>
    </w:p>
    <w:p>
      <w:pPr>
        <w:ind w:firstLine="800" w:firstLineChars="250"/>
        <w:jc w:val="center"/>
        <w:rPr>
          <w:rFonts w:hint="eastAsia" w:eastAsia="仿宋_GB2312" w:cs="仿宋_GB2312"/>
          <w:sz w:val="32"/>
          <w:szCs w:val="32"/>
        </w:rPr>
      </w:pPr>
    </w:p>
    <w:p>
      <w:pPr>
        <w:ind w:firstLine="525" w:firstLineChars="250"/>
        <w:jc w:val="center"/>
        <w:rPr>
          <w:rFonts w:hint="eastAsia" w:eastAsia="仿宋_GB2312" w:cs="仿宋_GB2312"/>
          <w:sz w:val="32"/>
          <w:szCs w:val="32"/>
        </w:rPr>
      </w:pPr>
      <w:r>
        <w:drawing>
          <wp:anchor distT="0" distB="0" distL="114300" distR="114300" simplePos="0" relativeHeight="251664384" behindDoc="1" locked="0" layoutInCell="1" allowOverlap="1">
            <wp:simplePos x="0" y="0"/>
            <wp:positionH relativeFrom="column">
              <wp:posOffset>688340</wp:posOffset>
            </wp:positionH>
            <wp:positionV relativeFrom="paragraph">
              <wp:posOffset>119380</wp:posOffset>
            </wp:positionV>
            <wp:extent cx="4114165" cy="3000375"/>
            <wp:effectExtent l="4445" t="5080" r="15240" b="4445"/>
            <wp:wrapTight wrapText="bothSides">
              <wp:wrapPolygon>
                <wp:start x="-23" y="-37"/>
                <wp:lineTo x="-23" y="21495"/>
                <wp:lineTo x="21480" y="21495"/>
                <wp:lineTo x="21480" y="-37"/>
                <wp:lineTo x="-23" y="-37"/>
              </wp:wrapPolygon>
            </wp:wrapTight>
            <wp:docPr id="44158" name="图表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anchor>
        </w:drawing>
      </w:r>
    </w:p>
    <w:p>
      <w:pPr>
        <w:ind w:firstLine="800" w:firstLineChars="250"/>
        <w:jc w:val="center"/>
        <w:rPr>
          <w:rFonts w:hint="eastAsia" w:eastAsia="仿宋_GB2312" w:cs="仿宋_GB2312"/>
          <w:sz w:val="32"/>
          <w:szCs w:val="32"/>
        </w:rPr>
      </w:pPr>
    </w:p>
    <w:p>
      <w:pPr>
        <w:ind w:firstLine="800" w:firstLineChars="250"/>
        <w:jc w:val="center"/>
        <w:rPr>
          <w:rFonts w:hint="eastAsia" w:eastAsia="仿宋_GB2312" w:cs="仿宋_GB2312"/>
          <w:sz w:val="32"/>
          <w:szCs w:val="32"/>
        </w:rPr>
      </w:pPr>
    </w:p>
    <w:p>
      <w:pPr>
        <w:ind w:firstLine="800" w:firstLineChars="250"/>
        <w:jc w:val="center"/>
        <w:rPr>
          <w:rFonts w:hint="eastAsia" w:eastAsia="仿宋_GB2312" w:cs="仿宋_GB2312"/>
          <w:sz w:val="32"/>
          <w:szCs w:val="32"/>
        </w:rPr>
      </w:pPr>
    </w:p>
    <w:p>
      <w:pPr>
        <w:ind w:firstLine="800" w:firstLineChars="250"/>
        <w:jc w:val="center"/>
        <w:rPr>
          <w:rFonts w:eastAsia="仿宋_GB2312" w:cs="仿宋_GB2312"/>
          <w:sz w:val="32"/>
          <w:szCs w:val="32"/>
        </w:rPr>
      </w:pPr>
      <w:r>
        <w:rPr>
          <w:rFonts w:hint="eastAsia" w:eastAsia="仿宋_GB2312" w:cs="仿宋_GB2312"/>
          <w:sz w:val="32"/>
          <w:szCs w:val="32"/>
        </w:rPr>
        <w:t>（图2：收入决算结构图）</w:t>
      </w:r>
    </w:p>
    <w:p>
      <w:pPr>
        <w:pStyle w:val="27"/>
        <w:spacing w:line="600" w:lineRule="exact"/>
        <w:ind w:firstLine="640"/>
        <w:outlineLvl w:val="1"/>
        <w:rPr>
          <w:rStyle w:val="29"/>
          <w:rFonts w:ascii="Times New Roman" w:hAnsi="Times New Roman" w:eastAsia="黑体"/>
          <w:b w:val="0"/>
        </w:rPr>
      </w:pPr>
      <w:bookmarkStart w:id="22" w:name="_Toc15377207"/>
      <w:bookmarkStart w:id="23" w:name="_Toc15396605"/>
      <w:bookmarkStart w:id="24" w:name="_Toc3923"/>
      <w:r>
        <w:rPr>
          <w:rFonts w:hint="eastAsia" w:eastAsia="黑体"/>
          <w:sz w:val="32"/>
          <w:szCs w:val="32"/>
        </w:rPr>
        <w:t>三、支</w:t>
      </w:r>
      <w:r>
        <w:rPr>
          <w:rStyle w:val="29"/>
          <w:rFonts w:hint="eastAsia" w:ascii="Times New Roman" w:hAnsi="Times New Roman" w:eastAsia="黑体"/>
          <w:b w:val="0"/>
        </w:rPr>
        <w:t>出决算情况说明</w:t>
      </w:r>
      <w:bookmarkEnd w:id="22"/>
      <w:bookmarkEnd w:id="23"/>
      <w:bookmarkEnd w:id="24"/>
    </w:p>
    <w:p>
      <w:pPr>
        <w:pStyle w:val="2"/>
        <w:adjustRightInd w:val="0"/>
        <w:snapToGrid w:val="0"/>
        <w:spacing w:before="93" w:line="600" w:lineRule="exact"/>
        <w:ind w:firstLine="640" w:firstLineChars="200"/>
        <w:rPr>
          <w:rFonts w:hint="eastAsia" w:ascii="仿宋_GB2312" w:hAnsi="仿宋_GB2312" w:eastAsia="仿宋_GB2312" w:cs="仿宋_GB2312"/>
          <w:sz w:val="32"/>
          <w:szCs w:val="32"/>
        </w:rPr>
      </w:pPr>
      <w:r>
        <w:rPr>
          <w:rFonts w:hint="eastAsia" w:ascii="Times New Roman" w:hAnsi="Times New Roman" w:eastAsia="仿宋_GB2312" w:cs="仿宋_GB2312"/>
          <w:kern w:val="2"/>
          <w:sz w:val="32"/>
          <w:szCs w:val="32"/>
          <w:lang w:val="en-US" w:eastAsia="zh-CN" w:bidi="ar-SA"/>
        </w:rPr>
        <w:t>2024</w:t>
      </w:r>
      <w:r>
        <w:rPr>
          <w:rFonts w:hint="eastAsia" w:ascii="仿宋_GB2312" w:hAnsi="仿宋_GB2312" w:eastAsia="仿宋_GB2312" w:cs="仿宋_GB2312"/>
          <w:sz w:val="32"/>
          <w:szCs w:val="32"/>
        </w:rPr>
        <w:t>年度本年支出合计</w:t>
      </w:r>
      <w:r>
        <w:rPr>
          <w:rFonts w:hint="eastAsia" w:ascii="Times New Roman" w:cs="仿宋_GB2312"/>
          <w:kern w:val="2"/>
          <w:sz w:val="32"/>
          <w:szCs w:val="32"/>
          <w:lang w:val="en-US" w:eastAsia="zh-CN" w:bidi="ar-SA"/>
        </w:rPr>
        <w:t>3,151.31</w:t>
      </w:r>
      <w:r>
        <w:rPr>
          <w:rFonts w:hint="eastAsia" w:ascii="仿宋_GB2312" w:hAnsi="仿宋_GB2312" w:eastAsia="仿宋_GB2312" w:cs="仿宋_GB2312"/>
          <w:sz w:val="32"/>
          <w:szCs w:val="32"/>
        </w:rPr>
        <w:t>万元，其中：基本支出</w:t>
      </w:r>
      <w:r>
        <w:rPr>
          <w:rFonts w:hint="eastAsia" w:ascii="Times New Roman" w:cs="仿宋_GB2312"/>
          <w:kern w:val="2"/>
          <w:sz w:val="32"/>
          <w:szCs w:val="32"/>
          <w:lang w:val="en-US" w:eastAsia="zh-CN" w:bidi="ar-SA"/>
        </w:rPr>
        <w:t>2,788.49</w:t>
      </w:r>
      <w:r>
        <w:rPr>
          <w:rFonts w:hint="eastAsia" w:ascii="仿宋_GB2312" w:hAnsi="仿宋_GB2312" w:eastAsia="仿宋_GB2312" w:cs="仿宋_GB2312"/>
          <w:sz w:val="32"/>
          <w:szCs w:val="32"/>
        </w:rPr>
        <w:t>万元，占</w:t>
      </w:r>
      <w:r>
        <w:rPr>
          <w:rFonts w:hint="eastAsia" w:ascii="Times New Roman" w:cs="仿宋_GB2312"/>
          <w:kern w:val="2"/>
          <w:sz w:val="32"/>
          <w:szCs w:val="32"/>
          <w:lang w:val="en-US" w:eastAsia="zh-CN" w:bidi="ar-SA"/>
        </w:rPr>
        <w:t>88.5</w:t>
      </w:r>
      <w:r>
        <w:rPr>
          <w:rFonts w:hint="eastAsia" w:ascii="Times New Roman" w:hAnsi="Times New Roman" w:eastAsia="仿宋_GB2312" w:cs="仿宋_GB2312"/>
          <w:kern w:val="2"/>
          <w:sz w:val="32"/>
          <w:szCs w:val="32"/>
          <w:lang w:val="en-US" w:eastAsia="zh-CN" w:bidi="ar-SA"/>
        </w:rPr>
        <w:t>%</w:t>
      </w:r>
      <w:r>
        <w:rPr>
          <w:rFonts w:hint="eastAsia" w:ascii="仿宋_GB2312" w:hAnsi="仿宋_GB2312" w:eastAsia="仿宋_GB2312" w:cs="仿宋_GB2312"/>
          <w:sz w:val="32"/>
          <w:szCs w:val="32"/>
        </w:rPr>
        <w:t>；项目支出</w:t>
      </w:r>
      <w:r>
        <w:rPr>
          <w:rFonts w:hint="eastAsia" w:ascii="Times New Roman" w:cs="仿宋_GB2312"/>
          <w:kern w:val="2"/>
          <w:sz w:val="32"/>
          <w:szCs w:val="32"/>
          <w:lang w:val="en-US" w:eastAsia="zh-CN" w:bidi="ar-SA"/>
        </w:rPr>
        <w:t>362.82</w:t>
      </w:r>
      <w:r>
        <w:rPr>
          <w:rFonts w:hint="eastAsia" w:ascii="仿宋_GB2312" w:hAnsi="仿宋_GB2312" w:eastAsia="仿宋_GB2312" w:cs="仿宋_GB2312"/>
          <w:sz w:val="32"/>
          <w:szCs w:val="32"/>
        </w:rPr>
        <w:t>万元，占</w:t>
      </w:r>
      <w:r>
        <w:rPr>
          <w:rFonts w:hint="eastAsia" w:ascii="Times New Roman" w:cs="仿宋_GB2312"/>
          <w:kern w:val="2"/>
          <w:sz w:val="32"/>
          <w:szCs w:val="32"/>
          <w:lang w:val="en-US" w:eastAsia="zh-CN" w:bidi="ar-SA"/>
        </w:rPr>
        <w:t>11.5</w:t>
      </w:r>
      <w:r>
        <w:rPr>
          <w:rFonts w:hint="eastAsia" w:ascii="Times New Roman" w:hAnsi="Times New Roman" w:eastAsia="仿宋_GB2312" w:cs="仿宋_GB2312"/>
          <w:kern w:val="2"/>
          <w:sz w:val="32"/>
          <w:szCs w:val="32"/>
          <w:lang w:val="en-US" w:eastAsia="zh-CN" w:bidi="ar-SA"/>
        </w:rPr>
        <w:t>%</w:t>
      </w:r>
      <w:r>
        <w:rPr>
          <w:rFonts w:hint="eastAsia" w:ascii="仿宋_GB2312" w:hAnsi="仿宋_GB2312" w:eastAsia="仿宋_GB2312" w:cs="仿宋_GB2312"/>
          <w:sz w:val="32"/>
          <w:szCs w:val="32"/>
          <w:lang w:eastAsia="zh-CN"/>
        </w:rPr>
        <w:t>。</w:t>
      </w:r>
    </w:p>
    <w:p>
      <w:pPr>
        <w:pStyle w:val="7"/>
        <w:rPr>
          <w:rFonts w:hint="eastAsia" w:eastAsia="仿宋_GB2312" w:cs="仿宋_GB2312"/>
          <w:sz w:val="32"/>
          <w:szCs w:val="32"/>
        </w:rPr>
      </w:pPr>
      <w:r>
        <w:drawing>
          <wp:anchor distT="0" distB="0" distL="114300" distR="114300" simplePos="0" relativeHeight="251665408" behindDoc="1" locked="0" layoutInCell="1" allowOverlap="1">
            <wp:simplePos x="0" y="0"/>
            <wp:positionH relativeFrom="column">
              <wp:posOffset>494665</wp:posOffset>
            </wp:positionH>
            <wp:positionV relativeFrom="paragraph">
              <wp:posOffset>180340</wp:posOffset>
            </wp:positionV>
            <wp:extent cx="4290060" cy="2981960"/>
            <wp:effectExtent l="4445" t="4445" r="10795" b="23495"/>
            <wp:wrapTight wrapText="bothSides">
              <wp:wrapPolygon>
                <wp:start x="-22" y="-32"/>
                <wp:lineTo x="-22" y="21494"/>
                <wp:lineTo x="21558" y="21494"/>
                <wp:lineTo x="21558" y="-32"/>
                <wp:lineTo x="-22" y="-32"/>
              </wp:wrapPolygon>
            </wp:wrapTight>
            <wp:docPr id="44162"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anchor>
        </w:drawing>
      </w:r>
    </w:p>
    <w:p>
      <w:pPr>
        <w:jc w:val="center"/>
        <w:rPr>
          <w:rFonts w:hint="eastAsia" w:eastAsia="仿宋_GB2312" w:cs="仿宋_GB2312"/>
          <w:sz w:val="32"/>
          <w:szCs w:val="32"/>
        </w:rPr>
      </w:pPr>
    </w:p>
    <w:p>
      <w:pPr>
        <w:jc w:val="center"/>
        <w:rPr>
          <w:rFonts w:hint="eastAsia" w:eastAsia="仿宋_GB2312" w:cs="仿宋_GB2312"/>
          <w:sz w:val="32"/>
          <w:szCs w:val="32"/>
        </w:rPr>
      </w:pPr>
    </w:p>
    <w:p>
      <w:pPr>
        <w:jc w:val="center"/>
        <w:rPr>
          <w:rFonts w:hint="eastAsia" w:eastAsia="仿宋_GB2312" w:cs="仿宋_GB2312"/>
          <w:sz w:val="32"/>
          <w:szCs w:val="32"/>
        </w:rPr>
      </w:pPr>
    </w:p>
    <w:p>
      <w:pPr>
        <w:jc w:val="center"/>
        <w:rPr>
          <w:rFonts w:hint="eastAsia" w:eastAsia="仿宋_GB2312" w:cs="仿宋_GB2312"/>
          <w:sz w:val="32"/>
          <w:szCs w:val="32"/>
        </w:rPr>
      </w:pPr>
    </w:p>
    <w:p>
      <w:pPr>
        <w:jc w:val="center"/>
        <w:rPr>
          <w:rFonts w:hint="eastAsia" w:eastAsia="仿宋_GB2312" w:cs="仿宋_GB2312"/>
          <w:sz w:val="32"/>
          <w:szCs w:val="32"/>
        </w:rPr>
      </w:pPr>
    </w:p>
    <w:p>
      <w:pPr>
        <w:jc w:val="center"/>
        <w:rPr>
          <w:rFonts w:hint="eastAsia" w:eastAsia="仿宋_GB2312" w:cs="仿宋_GB2312"/>
          <w:sz w:val="32"/>
          <w:szCs w:val="32"/>
        </w:rPr>
      </w:pPr>
    </w:p>
    <w:p>
      <w:pPr>
        <w:jc w:val="center"/>
        <w:rPr>
          <w:rFonts w:hint="eastAsia" w:eastAsia="仿宋_GB2312" w:cs="仿宋_GB2312"/>
          <w:sz w:val="32"/>
          <w:szCs w:val="32"/>
        </w:rPr>
      </w:pPr>
    </w:p>
    <w:p>
      <w:pPr>
        <w:jc w:val="center"/>
        <w:rPr>
          <w:rFonts w:hint="eastAsia" w:eastAsia="黑体"/>
          <w:sz w:val="32"/>
          <w:szCs w:val="32"/>
        </w:rPr>
      </w:pPr>
      <w:r>
        <w:rPr>
          <w:rFonts w:hint="eastAsia" w:eastAsia="仿宋_GB2312" w:cs="仿宋_GB2312"/>
          <w:sz w:val="32"/>
          <w:szCs w:val="32"/>
        </w:rPr>
        <w:t>（图3：支出决算结构图）</w:t>
      </w:r>
      <w:bookmarkStart w:id="25" w:name="_Toc15377208"/>
      <w:bookmarkStart w:id="26" w:name="_Toc15396606"/>
    </w:p>
    <w:p>
      <w:pPr>
        <w:spacing w:line="600" w:lineRule="exact"/>
        <w:ind w:firstLine="640" w:firstLineChars="200"/>
        <w:outlineLvl w:val="1"/>
        <w:rPr>
          <w:rFonts w:hint="eastAsia" w:eastAsia="黑体"/>
          <w:sz w:val="32"/>
          <w:szCs w:val="32"/>
        </w:rPr>
      </w:pPr>
      <w:bookmarkStart w:id="27" w:name="_Toc7165"/>
    </w:p>
    <w:p>
      <w:pPr>
        <w:spacing w:line="600" w:lineRule="exact"/>
        <w:ind w:firstLine="640" w:firstLineChars="200"/>
        <w:outlineLvl w:val="1"/>
        <w:rPr>
          <w:rStyle w:val="29"/>
          <w:rFonts w:ascii="Times New Roman" w:hAnsi="Times New Roman" w:eastAsia="黑体"/>
          <w:b w:val="0"/>
        </w:rPr>
      </w:pPr>
      <w:r>
        <w:rPr>
          <w:rFonts w:hint="eastAsia" w:eastAsia="黑体"/>
          <w:sz w:val="32"/>
          <w:szCs w:val="32"/>
        </w:rPr>
        <w:t>四、财</w:t>
      </w:r>
      <w:r>
        <w:rPr>
          <w:rStyle w:val="29"/>
          <w:rFonts w:hint="eastAsia" w:ascii="Times New Roman" w:hAnsi="Times New Roman" w:eastAsia="黑体"/>
          <w:b w:val="0"/>
        </w:rPr>
        <w:t>政拨款收入支出决算总体情况说明</w:t>
      </w:r>
      <w:bookmarkEnd w:id="25"/>
      <w:bookmarkEnd w:id="26"/>
      <w:bookmarkEnd w:id="27"/>
    </w:p>
    <w:p>
      <w:pPr>
        <w:spacing w:line="600" w:lineRule="exact"/>
        <w:ind w:firstLine="640"/>
        <w:rPr>
          <w:rFonts w:hint="eastAsia" w:ascii="仿宋_GB2312" w:hAnsi="仿宋_GB2312" w:eastAsia="仿宋_GB2312" w:cs="仿宋_GB2312"/>
          <w:sz w:val="32"/>
          <w:szCs w:val="32"/>
          <w:lang w:eastAsia="zh-CN"/>
        </w:rPr>
      </w:pPr>
      <w:r>
        <w:rPr>
          <w:rFonts w:hint="eastAsia" w:eastAsia="仿宋_GB2312" w:cs="仿宋_GB2312"/>
          <w:sz w:val="32"/>
          <w:szCs w:val="32"/>
        </w:rPr>
        <w:t>2024年度财政拨款收入、支出总计均为</w:t>
      </w:r>
      <w:r>
        <w:rPr>
          <w:rFonts w:hint="eastAsia" w:ascii="Times New Roman" w:cs="仿宋_GB2312"/>
          <w:kern w:val="2"/>
          <w:sz w:val="32"/>
          <w:szCs w:val="32"/>
          <w:lang w:val="en-US" w:eastAsia="zh-CN" w:bidi="ar-SA"/>
        </w:rPr>
        <w:t>3,151.31</w:t>
      </w:r>
      <w:r>
        <w:rPr>
          <w:rFonts w:hint="eastAsia" w:eastAsia="仿宋_GB2312" w:cs="仿宋_GB2312"/>
          <w:sz w:val="32"/>
          <w:szCs w:val="32"/>
        </w:rPr>
        <w:t>万元。与2023年度相比，财政拨款收入总计、支出总计各</w:t>
      </w:r>
      <w:r>
        <w:rPr>
          <w:rFonts w:hint="eastAsia" w:ascii="仿宋_GB2312" w:hAnsi="仿宋_GB2312" w:eastAsia="仿宋_GB2312" w:cs="仿宋_GB2312"/>
          <w:sz w:val="32"/>
          <w:szCs w:val="32"/>
        </w:rPr>
        <w:t>减少</w:t>
      </w:r>
      <w:r>
        <w:rPr>
          <w:rFonts w:hint="eastAsia" w:ascii="Times New Roman" w:hAnsi="Times New Roman" w:eastAsia="仿宋_GB2312" w:cs="仿宋_GB2312"/>
          <w:kern w:val="2"/>
          <w:sz w:val="32"/>
          <w:szCs w:val="32"/>
          <w:lang w:val="en-US" w:eastAsia="zh-CN" w:bidi="ar-SA"/>
        </w:rPr>
        <w:t>188.59</w:t>
      </w:r>
      <w:r>
        <w:rPr>
          <w:rFonts w:hint="eastAsia" w:ascii="仿宋_GB2312" w:hAnsi="仿宋_GB2312" w:eastAsia="仿宋_GB2312" w:cs="仿宋_GB2312"/>
          <w:sz w:val="32"/>
          <w:szCs w:val="32"/>
        </w:rPr>
        <w:t>万元，下降</w:t>
      </w:r>
      <w:r>
        <w:rPr>
          <w:rFonts w:hint="eastAsia" w:ascii="Times New Roman" w:cs="仿宋_GB2312"/>
          <w:kern w:val="2"/>
          <w:sz w:val="32"/>
          <w:szCs w:val="32"/>
          <w:lang w:val="en-US" w:eastAsia="zh-CN" w:bidi="ar-SA"/>
        </w:rPr>
        <w:t>5.6</w:t>
      </w:r>
      <w:r>
        <w:rPr>
          <w:rFonts w:hint="eastAsia" w:ascii="Times New Roman" w:hAnsi="Times New Roman" w:eastAsia="仿宋_GB2312" w:cs="仿宋_GB2312"/>
          <w:kern w:val="2"/>
          <w:sz w:val="32"/>
          <w:szCs w:val="32"/>
          <w:lang w:val="en-US" w:eastAsia="zh-CN" w:bidi="ar-SA"/>
        </w:rPr>
        <w:t>%</w:t>
      </w:r>
      <w:r>
        <w:rPr>
          <w:rFonts w:hint="eastAsia" w:ascii="仿宋_GB2312" w:hAnsi="仿宋_GB2312" w:eastAsia="仿宋_GB2312" w:cs="仿宋_GB2312"/>
          <w:sz w:val="32"/>
          <w:szCs w:val="32"/>
        </w:rPr>
        <w:t>。主要变动原因是本年度较上年度人员减少</w:t>
      </w:r>
      <w:r>
        <w:rPr>
          <w:rFonts w:hint="eastAsia" w:ascii="仿宋_GB2312" w:hAnsi="仿宋_GB2312" w:eastAsia="仿宋_GB2312" w:cs="仿宋_GB2312"/>
          <w:sz w:val="32"/>
          <w:szCs w:val="32"/>
          <w:lang w:val="en-US" w:eastAsia="zh-CN"/>
        </w:rPr>
        <w:t>,经费</w:t>
      </w:r>
      <w:r>
        <w:rPr>
          <w:rFonts w:hint="eastAsia" w:ascii="仿宋_GB2312" w:hAnsi="仿宋_GB2312" w:eastAsia="仿宋_GB2312" w:cs="仿宋_GB2312"/>
          <w:sz w:val="32"/>
          <w:szCs w:val="32"/>
        </w:rPr>
        <w:t>减少</w:t>
      </w:r>
      <w:r>
        <w:rPr>
          <w:rFonts w:hint="eastAsia" w:ascii="仿宋_GB2312" w:hAnsi="仿宋_GB2312" w:eastAsia="仿宋_GB2312" w:cs="仿宋_GB2312"/>
          <w:sz w:val="32"/>
          <w:szCs w:val="32"/>
          <w:lang w:eastAsia="zh-CN"/>
        </w:rPr>
        <w:t>。</w:t>
      </w:r>
    </w:p>
    <w:p>
      <w:pPr>
        <w:pStyle w:val="7"/>
        <w:jc w:val="center"/>
        <w:rPr>
          <w:rFonts w:hint="eastAsia" w:eastAsia="仿宋_GB2312" w:cs="仿宋_GB2312"/>
          <w:sz w:val="32"/>
          <w:szCs w:val="32"/>
          <w:lang w:eastAsia="zh-CN"/>
        </w:rPr>
      </w:pPr>
      <w:r>
        <w:drawing>
          <wp:anchor distT="0" distB="0" distL="114300" distR="114300" simplePos="0" relativeHeight="251666432" behindDoc="1" locked="0" layoutInCell="1" allowOverlap="1">
            <wp:simplePos x="0" y="0"/>
            <wp:positionH relativeFrom="column">
              <wp:posOffset>501650</wp:posOffset>
            </wp:positionH>
            <wp:positionV relativeFrom="paragraph">
              <wp:posOffset>147320</wp:posOffset>
            </wp:positionV>
            <wp:extent cx="4465955" cy="3039110"/>
            <wp:effectExtent l="0" t="0" r="10795" b="8890"/>
            <wp:wrapTight wrapText="bothSides">
              <wp:wrapPolygon>
                <wp:start x="0" y="0"/>
                <wp:lineTo x="0" y="21528"/>
                <wp:lineTo x="21468" y="21528"/>
                <wp:lineTo x="21468" y="0"/>
                <wp:lineTo x="0" y="0"/>
              </wp:wrapPolygon>
            </wp:wrapTight>
            <wp:docPr id="44163"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anchor>
        </w:drawing>
      </w:r>
    </w:p>
    <w:p>
      <w:pPr>
        <w:spacing w:line="600" w:lineRule="exact"/>
        <w:ind w:firstLine="640" w:firstLineChars="200"/>
        <w:jc w:val="center"/>
        <w:rPr>
          <w:rFonts w:eastAsia="仿宋_GB2312" w:cs="仿宋_GB2312"/>
          <w:sz w:val="32"/>
          <w:szCs w:val="32"/>
        </w:rPr>
      </w:pPr>
      <w:r>
        <w:rPr>
          <w:rFonts w:hint="eastAsia" w:eastAsia="仿宋_GB2312" w:cs="仿宋_GB2312"/>
          <w:sz w:val="32"/>
          <w:szCs w:val="32"/>
        </w:rPr>
        <w:t>（图4：财政拨款收、支决算总计变动情况）</w:t>
      </w:r>
    </w:p>
    <w:p>
      <w:pPr>
        <w:spacing w:line="600" w:lineRule="exact"/>
        <w:ind w:firstLine="640" w:firstLineChars="200"/>
        <w:outlineLvl w:val="1"/>
        <w:rPr>
          <w:rStyle w:val="29"/>
          <w:rFonts w:ascii="Times New Roman" w:hAnsi="Times New Roman" w:eastAsia="黑体"/>
          <w:b w:val="0"/>
        </w:rPr>
      </w:pPr>
      <w:bookmarkStart w:id="28" w:name="_Toc15377209"/>
      <w:bookmarkStart w:id="29" w:name="_Toc28319"/>
      <w:bookmarkStart w:id="30" w:name="_Toc15396607"/>
      <w:r>
        <w:rPr>
          <w:rFonts w:hint="eastAsia" w:eastAsia="黑体"/>
          <w:sz w:val="32"/>
          <w:szCs w:val="32"/>
        </w:rPr>
        <w:t>五、</w:t>
      </w:r>
      <w:r>
        <w:rPr>
          <w:rFonts w:hint="eastAsia" w:eastAsia="黑体"/>
          <w:b/>
          <w:sz w:val="32"/>
          <w:szCs w:val="32"/>
        </w:rPr>
        <w:t>一</w:t>
      </w:r>
      <w:r>
        <w:rPr>
          <w:rStyle w:val="29"/>
          <w:rFonts w:hint="eastAsia" w:ascii="Times New Roman" w:hAnsi="Times New Roman" w:eastAsia="黑体"/>
          <w:b w:val="0"/>
        </w:rPr>
        <w:t>般公共预算财政拨款支出决算情况说明</w:t>
      </w:r>
      <w:bookmarkEnd w:id="28"/>
      <w:bookmarkEnd w:id="29"/>
      <w:bookmarkEnd w:id="30"/>
    </w:p>
    <w:p>
      <w:pPr>
        <w:spacing w:line="600" w:lineRule="exact"/>
        <w:ind w:firstLine="643" w:firstLineChars="200"/>
        <w:outlineLvl w:val="2"/>
        <w:rPr>
          <w:rFonts w:eastAsia="楷体_GB2312" w:cs="楷体_GB2312"/>
          <w:b/>
          <w:sz w:val="32"/>
          <w:szCs w:val="32"/>
        </w:rPr>
      </w:pPr>
      <w:bookmarkStart w:id="31" w:name="_Toc15377210"/>
      <w:r>
        <w:rPr>
          <w:rFonts w:hint="eastAsia" w:eastAsia="楷体_GB2312" w:cs="楷体_GB2312"/>
          <w:b/>
          <w:sz w:val="32"/>
          <w:szCs w:val="32"/>
        </w:rPr>
        <w:t>（一）一般公共预算财政拨款支出决算总体情况</w:t>
      </w:r>
      <w:bookmarkEnd w:id="31"/>
    </w:p>
    <w:p>
      <w:pPr>
        <w:spacing w:line="600" w:lineRule="exact"/>
        <w:ind w:firstLine="640"/>
        <w:rPr>
          <w:rFonts w:hint="eastAsia" w:ascii="仿宋_GB2312" w:hAnsi="仿宋_GB2312" w:eastAsia="仿宋_GB2312" w:cs="仿宋_GB2312"/>
          <w:sz w:val="32"/>
          <w:szCs w:val="32"/>
          <w:lang w:eastAsia="zh-CN"/>
        </w:rPr>
      </w:pPr>
      <w:r>
        <w:rPr>
          <w:rFonts w:hint="eastAsia" w:eastAsia="仿宋_GB2312" w:cs="仿宋_GB2312"/>
          <w:sz w:val="32"/>
          <w:szCs w:val="32"/>
          <w:lang w:val="en-US" w:eastAsia="zh-CN"/>
        </w:rPr>
        <w:t>2024</w:t>
      </w:r>
      <w:r>
        <w:rPr>
          <w:rFonts w:hint="eastAsia" w:ascii="仿宋_GB2312" w:hAnsi="仿宋_GB2312" w:eastAsia="仿宋_GB2312" w:cs="仿宋_GB2312"/>
          <w:sz w:val="32"/>
          <w:szCs w:val="32"/>
        </w:rPr>
        <w:t>年度一般公共预算财政拨款支出</w:t>
      </w:r>
      <w:r>
        <w:rPr>
          <w:rFonts w:hint="eastAsia" w:ascii="Times New Roman" w:cs="仿宋_GB2312"/>
          <w:kern w:val="2"/>
          <w:sz w:val="32"/>
          <w:szCs w:val="32"/>
          <w:lang w:val="en-US" w:eastAsia="zh-CN" w:bidi="ar-SA"/>
        </w:rPr>
        <w:t>3,151.31</w:t>
      </w:r>
      <w:r>
        <w:rPr>
          <w:rFonts w:hint="eastAsia" w:ascii="仿宋_GB2312" w:hAnsi="仿宋_GB2312" w:eastAsia="仿宋_GB2312" w:cs="仿宋_GB2312"/>
          <w:sz w:val="32"/>
          <w:szCs w:val="32"/>
        </w:rPr>
        <w:t>万元，占本年支出合计的</w:t>
      </w:r>
      <w:r>
        <w:rPr>
          <w:rFonts w:hint="eastAsia" w:eastAsia="仿宋_GB2312" w:cs="仿宋_GB2312"/>
          <w:sz w:val="32"/>
          <w:szCs w:val="32"/>
          <w:lang w:val="en-US" w:eastAsia="zh-CN"/>
        </w:rPr>
        <w:t>100</w:t>
      </w:r>
      <w:r>
        <w:rPr>
          <w:rFonts w:hint="eastAsia" w:eastAsia="仿宋_GB2312" w:cs="仿宋_GB2312"/>
          <w:sz w:val="32"/>
          <w:szCs w:val="32"/>
        </w:rPr>
        <w:t>%</w:t>
      </w:r>
      <w:r>
        <w:rPr>
          <w:rFonts w:hint="eastAsia" w:ascii="仿宋_GB2312" w:hAnsi="仿宋_GB2312" w:eastAsia="仿宋_GB2312" w:cs="仿宋_GB2312"/>
          <w:sz w:val="32"/>
          <w:szCs w:val="32"/>
        </w:rPr>
        <w:t>。与</w:t>
      </w:r>
      <w:r>
        <w:rPr>
          <w:rFonts w:hint="eastAsia" w:eastAsia="仿宋_GB2312" w:cs="仿宋_GB2312"/>
          <w:sz w:val="32"/>
          <w:szCs w:val="32"/>
          <w:lang w:val="en-US" w:eastAsia="zh-CN"/>
        </w:rPr>
        <w:t>2023</w:t>
      </w:r>
      <w:r>
        <w:rPr>
          <w:rFonts w:hint="eastAsia" w:ascii="仿宋_GB2312" w:hAnsi="仿宋_GB2312" w:eastAsia="仿宋_GB2312" w:cs="仿宋_GB2312"/>
          <w:sz w:val="32"/>
          <w:szCs w:val="32"/>
        </w:rPr>
        <w:t>年度相比，一般公共预算财政拨款支出减少</w:t>
      </w:r>
      <w:r>
        <w:rPr>
          <w:rFonts w:hint="eastAsia" w:ascii="Times New Roman" w:hAnsi="Times New Roman" w:eastAsia="仿宋_GB2312" w:cs="仿宋_GB2312"/>
          <w:kern w:val="2"/>
          <w:sz w:val="32"/>
          <w:szCs w:val="32"/>
          <w:lang w:val="en-US" w:eastAsia="zh-CN" w:bidi="ar-SA"/>
        </w:rPr>
        <w:t>188.59</w:t>
      </w:r>
      <w:r>
        <w:rPr>
          <w:rFonts w:hint="eastAsia" w:ascii="仿宋_GB2312" w:hAnsi="仿宋_GB2312" w:eastAsia="仿宋_GB2312" w:cs="仿宋_GB2312"/>
          <w:sz w:val="32"/>
          <w:szCs w:val="32"/>
        </w:rPr>
        <w:t>万元，下降</w:t>
      </w:r>
      <w:r>
        <w:rPr>
          <w:rFonts w:hint="eastAsia" w:ascii="Times New Roman" w:cs="仿宋_GB2312"/>
          <w:kern w:val="2"/>
          <w:sz w:val="32"/>
          <w:szCs w:val="32"/>
          <w:lang w:val="en-US" w:eastAsia="zh-CN" w:bidi="ar-SA"/>
        </w:rPr>
        <w:t>5.6</w:t>
      </w:r>
      <w:r>
        <w:rPr>
          <w:rFonts w:hint="eastAsia" w:ascii="Times New Roman" w:hAnsi="Times New Roman" w:eastAsia="仿宋_GB2312" w:cs="仿宋_GB2312"/>
          <w:kern w:val="2"/>
          <w:sz w:val="32"/>
          <w:szCs w:val="32"/>
          <w:lang w:val="en-US" w:eastAsia="zh-CN" w:bidi="ar-SA"/>
        </w:rPr>
        <w:t>%</w:t>
      </w:r>
      <w:r>
        <w:rPr>
          <w:rFonts w:hint="eastAsia" w:ascii="仿宋_GB2312" w:hAnsi="仿宋_GB2312" w:eastAsia="仿宋_GB2312" w:cs="仿宋_GB2312"/>
          <w:sz w:val="32"/>
          <w:szCs w:val="32"/>
        </w:rPr>
        <w:t>。主要变动原因是本年度较上年度人员减少</w:t>
      </w:r>
      <w:r>
        <w:rPr>
          <w:rFonts w:hint="eastAsia" w:ascii="仿宋_GB2312" w:hAnsi="仿宋_GB2312" w:eastAsia="仿宋_GB2312" w:cs="仿宋_GB2312"/>
          <w:sz w:val="32"/>
          <w:szCs w:val="32"/>
          <w:lang w:val="en-US" w:eastAsia="zh-CN"/>
        </w:rPr>
        <w:t>,经费</w:t>
      </w:r>
      <w:r>
        <w:rPr>
          <w:rFonts w:hint="eastAsia" w:ascii="仿宋_GB2312" w:hAnsi="仿宋_GB2312" w:eastAsia="仿宋_GB2312" w:cs="仿宋_GB2312"/>
          <w:sz w:val="32"/>
          <w:szCs w:val="32"/>
        </w:rPr>
        <w:t>减少</w:t>
      </w:r>
      <w:r>
        <w:rPr>
          <w:rFonts w:hint="eastAsia" w:ascii="仿宋_GB2312" w:hAnsi="仿宋_GB2312" w:eastAsia="仿宋_GB2312" w:cs="仿宋_GB2312"/>
          <w:sz w:val="32"/>
          <w:szCs w:val="32"/>
          <w:lang w:eastAsia="zh-CN"/>
        </w:rPr>
        <w:t>。</w:t>
      </w:r>
    </w:p>
    <w:p>
      <w:pPr>
        <w:spacing w:line="600" w:lineRule="exact"/>
        <w:ind w:firstLine="640"/>
        <w:rPr>
          <w:rFonts w:eastAsia="仿宋_GB2312" w:cs="仿宋_GB2312"/>
          <w:sz w:val="32"/>
          <w:szCs w:val="32"/>
        </w:rPr>
      </w:pPr>
    </w:p>
    <w:p>
      <w:pPr>
        <w:spacing w:line="600" w:lineRule="exact"/>
        <w:ind w:firstLine="640"/>
        <w:rPr>
          <w:rFonts w:hint="eastAsia" w:eastAsia="仿宋_GB2312" w:cs="仿宋_GB2312"/>
          <w:sz w:val="32"/>
          <w:szCs w:val="32"/>
        </w:rPr>
      </w:pPr>
    </w:p>
    <w:p>
      <w:pPr>
        <w:pStyle w:val="13"/>
        <w:rPr>
          <w:rFonts w:hint="eastAsia" w:eastAsia="仿宋_GB2312" w:cs="仿宋_GB2312"/>
          <w:sz w:val="32"/>
          <w:szCs w:val="32"/>
        </w:rPr>
      </w:pPr>
    </w:p>
    <w:p>
      <w:pPr>
        <w:pStyle w:val="7"/>
        <w:rPr>
          <w:rFonts w:hint="eastAsia" w:eastAsia="仿宋_GB2312" w:cs="仿宋_GB2312"/>
          <w:sz w:val="32"/>
          <w:szCs w:val="32"/>
        </w:rPr>
      </w:pPr>
      <w:r>
        <w:drawing>
          <wp:anchor distT="0" distB="0" distL="114300" distR="114300" simplePos="0" relativeHeight="251667456" behindDoc="1" locked="0" layoutInCell="1" allowOverlap="1">
            <wp:simplePos x="0" y="0"/>
            <wp:positionH relativeFrom="column">
              <wp:posOffset>459740</wp:posOffset>
            </wp:positionH>
            <wp:positionV relativeFrom="paragraph">
              <wp:posOffset>11430</wp:posOffset>
            </wp:positionV>
            <wp:extent cx="4381500" cy="2837180"/>
            <wp:effectExtent l="4445" t="4445" r="14605" b="15875"/>
            <wp:wrapTight wrapText="bothSides">
              <wp:wrapPolygon>
                <wp:start x="-22" y="-34"/>
                <wp:lineTo x="-22" y="21431"/>
                <wp:lineTo x="21578" y="21431"/>
                <wp:lineTo x="21578" y="-34"/>
                <wp:lineTo x="-22" y="-34"/>
              </wp:wrapPolygon>
            </wp:wrapTight>
            <wp:docPr id="44153"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anchor>
        </w:drawing>
      </w:r>
    </w:p>
    <w:p>
      <w:pPr>
        <w:pStyle w:val="7"/>
        <w:rPr>
          <w:rFonts w:hint="eastAsia" w:eastAsia="仿宋_GB2312" w:cs="仿宋_GB2312"/>
          <w:sz w:val="32"/>
          <w:szCs w:val="32"/>
        </w:rPr>
      </w:pPr>
    </w:p>
    <w:p>
      <w:pPr>
        <w:spacing w:line="600" w:lineRule="exact"/>
        <w:ind w:firstLine="640"/>
        <w:rPr>
          <w:rFonts w:hint="eastAsia" w:eastAsia="仿宋_GB2312" w:cs="仿宋_GB2312"/>
          <w:sz w:val="32"/>
          <w:szCs w:val="32"/>
        </w:rPr>
      </w:pPr>
    </w:p>
    <w:p>
      <w:pPr>
        <w:spacing w:line="600" w:lineRule="exact"/>
        <w:ind w:firstLine="640"/>
        <w:rPr>
          <w:rFonts w:hint="eastAsia" w:eastAsia="仿宋_GB2312" w:cs="仿宋_GB2312"/>
          <w:sz w:val="32"/>
          <w:szCs w:val="32"/>
        </w:rPr>
      </w:pPr>
    </w:p>
    <w:p>
      <w:pPr>
        <w:spacing w:line="600" w:lineRule="exact"/>
        <w:ind w:firstLine="640"/>
        <w:rPr>
          <w:rFonts w:hint="eastAsia" w:eastAsia="仿宋_GB2312" w:cs="仿宋_GB2312"/>
          <w:sz w:val="32"/>
          <w:szCs w:val="32"/>
        </w:rPr>
      </w:pPr>
    </w:p>
    <w:p>
      <w:pPr>
        <w:spacing w:line="600" w:lineRule="exact"/>
        <w:jc w:val="both"/>
        <w:rPr>
          <w:rFonts w:hint="eastAsia" w:eastAsia="仿宋_GB2312" w:cs="仿宋_GB2312"/>
          <w:sz w:val="32"/>
          <w:szCs w:val="32"/>
        </w:rPr>
      </w:pPr>
    </w:p>
    <w:p>
      <w:pPr>
        <w:spacing w:line="600" w:lineRule="exact"/>
        <w:jc w:val="both"/>
        <w:rPr>
          <w:rFonts w:hint="eastAsia" w:eastAsia="仿宋_GB2312" w:cs="仿宋_GB2312"/>
          <w:sz w:val="32"/>
          <w:szCs w:val="32"/>
        </w:rPr>
      </w:pPr>
    </w:p>
    <w:p>
      <w:pPr>
        <w:spacing w:line="600" w:lineRule="exact"/>
        <w:ind w:firstLine="640"/>
        <w:jc w:val="center"/>
        <w:rPr>
          <w:rFonts w:hint="eastAsia"/>
        </w:rPr>
      </w:pPr>
      <w:r>
        <w:rPr>
          <w:rFonts w:hint="eastAsia" w:eastAsia="仿宋_GB2312" w:cs="仿宋_GB2312"/>
          <w:sz w:val="32"/>
          <w:szCs w:val="32"/>
        </w:rPr>
        <w:t>（图5：一般公共预算财政拨款支出决算变动情况）</w:t>
      </w:r>
      <w:bookmarkStart w:id="32" w:name="_Toc15377211"/>
    </w:p>
    <w:p>
      <w:pPr>
        <w:spacing w:line="600" w:lineRule="exact"/>
        <w:ind w:firstLine="643" w:firstLineChars="200"/>
        <w:outlineLvl w:val="2"/>
        <w:rPr>
          <w:rFonts w:eastAsia="楷体_GB2312" w:cs="楷体_GB2312"/>
          <w:b/>
          <w:sz w:val="32"/>
          <w:szCs w:val="32"/>
        </w:rPr>
      </w:pPr>
      <w:r>
        <w:rPr>
          <w:rFonts w:hint="eastAsia" w:eastAsia="楷体_GB2312" w:cs="楷体_GB2312"/>
          <w:b/>
          <w:sz w:val="32"/>
          <w:szCs w:val="32"/>
        </w:rPr>
        <w:t>（二）一般公共预算财政拨款支出决算结构情况</w:t>
      </w:r>
      <w:bookmarkEnd w:id="32"/>
    </w:p>
    <w:p>
      <w:pPr>
        <w:spacing w:line="600" w:lineRule="exact"/>
        <w:ind w:firstLine="640"/>
        <w:rPr>
          <w:rFonts w:hint="eastAsia" w:eastAsia="仿宋_GB2312" w:cs="仿宋_GB2312"/>
          <w:sz w:val="32"/>
          <w:szCs w:val="32"/>
          <w:lang w:eastAsia="zh-CN"/>
        </w:rPr>
      </w:pPr>
      <w:r>
        <w:rPr>
          <w:rFonts w:hint="eastAsia" w:eastAsia="仿宋_GB2312" w:cs="仿宋_GB2312"/>
          <w:sz w:val="32"/>
          <w:szCs w:val="32"/>
        </w:rPr>
        <w:t>2024年度一般公共预算财政拨款支出</w:t>
      </w:r>
      <w:r>
        <w:rPr>
          <w:rFonts w:hint="eastAsia" w:ascii="Times New Roman" w:cs="仿宋_GB2312"/>
          <w:kern w:val="2"/>
          <w:sz w:val="32"/>
          <w:szCs w:val="32"/>
          <w:lang w:val="en-US" w:eastAsia="zh-CN" w:bidi="ar-SA"/>
        </w:rPr>
        <w:t>3,151.31</w:t>
      </w:r>
      <w:r>
        <w:rPr>
          <w:rFonts w:hint="eastAsia" w:ascii="仿宋_GB2312" w:hAnsi="仿宋_GB2312" w:eastAsia="仿宋_GB2312" w:cs="仿宋_GB2312"/>
          <w:sz w:val="32"/>
          <w:szCs w:val="32"/>
        </w:rPr>
        <w:t>万元</w:t>
      </w:r>
      <w:r>
        <w:rPr>
          <w:rFonts w:hint="eastAsia" w:eastAsia="仿宋_GB2312" w:cs="仿宋_GB2312"/>
          <w:sz w:val="32"/>
          <w:szCs w:val="32"/>
        </w:rPr>
        <w:t>，主要用于以下方面：社会保障和就业支出</w:t>
      </w:r>
      <w:r>
        <w:rPr>
          <w:rFonts w:hint="eastAsia" w:eastAsia="仿宋_GB2312" w:cs="仿宋_GB2312"/>
          <w:sz w:val="32"/>
          <w:szCs w:val="32"/>
          <w:lang w:val="en-US" w:eastAsia="zh-CN"/>
        </w:rPr>
        <w:t>305.83</w:t>
      </w:r>
      <w:r>
        <w:rPr>
          <w:rFonts w:hint="eastAsia" w:eastAsia="仿宋_GB2312" w:cs="仿宋_GB2312"/>
          <w:sz w:val="32"/>
          <w:szCs w:val="32"/>
        </w:rPr>
        <w:t>万元，占</w:t>
      </w:r>
      <w:r>
        <w:rPr>
          <w:rFonts w:hint="eastAsia" w:eastAsia="仿宋_GB2312" w:cs="仿宋_GB2312"/>
          <w:sz w:val="32"/>
          <w:szCs w:val="32"/>
          <w:lang w:val="en-US" w:eastAsia="zh-CN"/>
        </w:rPr>
        <w:t>9.7</w:t>
      </w:r>
      <w:r>
        <w:rPr>
          <w:rFonts w:hint="eastAsia" w:eastAsia="仿宋_GB2312" w:cs="仿宋_GB2312"/>
          <w:sz w:val="32"/>
          <w:szCs w:val="32"/>
        </w:rPr>
        <w:t>%；卫生健康支出</w:t>
      </w:r>
      <w:r>
        <w:rPr>
          <w:rFonts w:hint="eastAsia" w:eastAsia="仿宋_GB2312" w:cs="仿宋_GB2312"/>
          <w:sz w:val="32"/>
          <w:szCs w:val="32"/>
          <w:lang w:val="en-US" w:eastAsia="zh-CN"/>
        </w:rPr>
        <w:t>157.06</w:t>
      </w:r>
      <w:r>
        <w:rPr>
          <w:rFonts w:hint="eastAsia" w:eastAsia="仿宋_GB2312" w:cs="仿宋_GB2312"/>
          <w:sz w:val="32"/>
          <w:szCs w:val="32"/>
        </w:rPr>
        <w:t>万元，占</w:t>
      </w:r>
      <w:r>
        <w:rPr>
          <w:rFonts w:hint="eastAsia" w:eastAsia="仿宋_GB2312" w:cs="仿宋_GB2312"/>
          <w:sz w:val="32"/>
          <w:szCs w:val="32"/>
          <w:lang w:val="en-US" w:eastAsia="zh-CN"/>
        </w:rPr>
        <w:t>5</w:t>
      </w:r>
      <w:r>
        <w:rPr>
          <w:rFonts w:hint="eastAsia" w:eastAsia="仿宋_GB2312" w:cs="仿宋_GB2312"/>
          <w:sz w:val="32"/>
          <w:szCs w:val="32"/>
        </w:rPr>
        <w:t>%；交通运输支出</w:t>
      </w:r>
      <w:r>
        <w:rPr>
          <w:rFonts w:hint="eastAsia" w:eastAsia="仿宋_GB2312" w:cs="仿宋_GB2312"/>
          <w:sz w:val="32"/>
          <w:szCs w:val="32"/>
          <w:lang w:val="en-US" w:eastAsia="zh-CN"/>
        </w:rPr>
        <w:t>2,507.3万元，占79.6%；</w:t>
      </w:r>
      <w:r>
        <w:rPr>
          <w:rFonts w:hint="eastAsia" w:eastAsia="仿宋_GB2312" w:cs="仿宋_GB2312"/>
          <w:sz w:val="32"/>
          <w:szCs w:val="32"/>
        </w:rPr>
        <w:t>住房保障支出</w:t>
      </w:r>
      <w:r>
        <w:rPr>
          <w:rFonts w:hint="eastAsia" w:eastAsia="仿宋_GB2312" w:cs="仿宋_GB2312"/>
          <w:sz w:val="32"/>
          <w:szCs w:val="32"/>
          <w:lang w:val="en-US" w:eastAsia="zh-CN"/>
        </w:rPr>
        <w:t>181.12</w:t>
      </w:r>
      <w:r>
        <w:rPr>
          <w:rFonts w:hint="eastAsia" w:eastAsia="仿宋_GB2312" w:cs="仿宋_GB2312"/>
          <w:sz w:val="32"/>
          <w:szCs w:val="32"/>
        </w:rPr>
        <w:t>万元，占</w:t>
      </w:r>
      <w:r>
        <w:rPr>
          <w:rFonts w:hint="eastAsia" w:eastAsia="仿宋_GB2312" w:cs="仿宋_GB2312"/>
          <w:sz w:val="32"/>
          <w:szCs w:val="32"/>
          <w:lang w:val="en-US" w:eastAsia="zh-CN"/>
        </w:rPr>
        <w:t>5.7</w:t>
      </w:r>
      <w:r>
        <w:rPr>
          <w:rFonts w:hint="eastAsia" w:eastAsia="仿宋_GB2312" w:cs="仿宋_GB2312"/>
          <w:sz w:val="32"/>
          <w:szCs w:val="32"/>
        </w:rPr>
        <w:t>%</w:t>
      </w:r>
      <w:r>
        <w:rPr>
          <w:rFonts w:hint="eastAsia" w:eastAsia="仿宋_GB2312" w:cs="仿宋_GB2312"/>
          <w:sz w:val="32"/>
          <w:szCs w:val="32"/>
          <w:lang w:eastAsia="zh-CN"/>
        </w:rPr>
        <w:t>。</w:t>
      </w:r>
    </w:p>
    <w:p>
      <w:pPr>
        <w:spacing w:line="600" w:lineRule="exact"/>
        <w:ind w:firstLine="640"/>
        <w:rPr>
          <w:rFonts w:hint="eastAsia" w:eastAsia="仿宋_GB2312" w:cs="仿宋_GB2312"/>
          <w:sz w:val="32"/>
          <w:szCs w:val="32"/>
          <w:lang w:eastAsia="zh-CN"/>
        </w:rPr>
      </w:pPr>
      <w:r>
        <w:drawing>
          <wp:anchor distT="0" distB="0" distL="114300" distR="114300" simplePos="0" relativeHeight="251668480" behindDoc="1" locked="0" layoutInCell="1" allowOverlap="1">
            <wp:simplePos x="0" y="0"/>
            <wp:positionH relativeFrom="column">
              <wp:posOffset>432435</wp:posOffset>
            </wp:positionH>
            <wp:positionV relativeFrom="paragraph">
              <wp:posOffset>222250</wp:posOffset>
            </wp:positionV>
            <wp:extent cx="4541520" cy="3149600"/>
            <wp:effectExtent l="4445" t="4445" r="6985" b="65405"/>
            <wp:wrapTight wrapText="bothSides">
              <wp:wrapPolygon>
                <wp:start x="-21" y="-30"/>
                <wp:lineTo x="-21" y="21526"/>
                <wp:lineTo x="21543" y="21526"/>
                <wp:lineTo x="21543" y="-30"/>
                <wp:lineTo x="-21" y="-30"/>
              </wp:wrapPolygon>
            </wp:wrapTight>
            <wp:docPr id="44164" name="图表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anchor>
        </w:drawing>
      </w:r>
    </w:p>
    <w:p>
      <w:pPr>
        <w:pStyle w:val="7"/>
        <w:jc w:val="center"/>
        <w:rPr>
          <w:rFonts w:hint="eastAsia" w:eastAsia="仿宋_GB2312" w:cs="仿宋_GB2312"/>
          <w:sz w:val="32"/>
          <w:szCs w:val="32"/>
        </w:rPr>
      </w:pPr>
    </w:p>
    <w:p>
      <w:pPr>
        <w:pStyle w:val="7"/>
        <w:jc w:val="center"/>
        <w:rPr>
          <w:rFonts w:hint="eastAsia" w:eastAsia="仿宋_GB2312" w:cs="仿宋_GB2312"/>
          <w:sz w:val="32"/>
          <w:szCs w:val="32"/>
        </w:rPr>
      </w:pPr>
    </w:p>
    <w:p>
      <w:pPr>
        <w:pStyle w:val="7"/>
        <w:jc w:val="center"/>
        <w:rPr>
          <w:rFonts w:hint="eastAsia" w:eastAsia="仿宋_GB2312" w:cs="仿宋_GB2312"/>
          <w:sz w:val="32"/>
          <w:szCs w:val="32"/>
        </w:rPr>
      </w:pPr>
    </w:p>
    <w:p>
      <w:pPr>
        <w:pStyle w:val="7"/>
        <w:jc w:val="center"/>
        <w:rPr>
          <w:rFonts w:hint="eastAsia" w:eastAsia="仿宋_GB2312" w:cs="仿宋_GB2312"/>
          <w:sz w:val="32"/>
          <w:szCs w:val="32"/>
        </w:rPr>
      </w:pPr>
    </w:p>
    <w:p>
      <w:pPr>
        <w:pStyle w:val="7"/>
        <w:jc w:val="center"/>
        <w:rPr>
          <w:rFonts w:hint="eastAsia" w:eastAsia="仿宋_GB2312" w:cs="仿宋_GB2312"/>
          <w:sz w:val="32"/>
          <w:szCs w:val="32"/>
        </w:rPr>
      </w:pPr>
    </w:p>
    <w:p>
      <w:pPr>
        <w:pStyle w:val="7"/>
        <w:jc w:val="center"/>
        <w:rPr>
          <w:rFonts w:hint="eastAsia" w:eastAsia="仿宋_GB2312" w:cs="仿宋_GB2312"/>
          <w:sz w:val="32"/>
          <w:szCs w:val="32"/>
        </w:rPr>
      </w:pPr>
    </w:p>
    <w:p>
      <w:pPr>
        <w:pStyle w:val="7"/>
        <w:ind w:left="0" w:leftChars="0" w:firstLine="0" w:firstLineChars="0"/>
        <w:jc w:val="both"/>
        <w:rPr>
          <w:rFonts w:hint="eastAsia" w:eastAsia="仿宋_GB2312" w:cs="仿宋_GB2312"/>
          <w:sz w:val="32"/>
          <w:szCs w:val="32"/>
        </w:rPr>
      </w:pPr>
    </w:p>
    <w:p>
      <w:pPr>
        <w:pStyle w:val="7"/>
        <w:jc w:val="both"/>
        <w:rPr>
          <w:rFonts w:eastAsia="仿宋_GB2312" w:cs="仿宋_GB2312"/>
          <w:sz w:val="32"/>
          <w:szCs w:val="32"/>
        </w:rPr>
      </w:pPr>
      <w:r>
        <w:rPr>
          <w:rFonts w:hint="eastAsia" w:eastAsia="仿宋_GB2312" w:cs="仿宋_GB2312"/>
          <w:sz w:val="32"/>
          <w:szCs w:val="32"/>
        </w:rPr>
        <w:t>（图6：一般公共预算财政拨款支出决算结构）</w:t>
      </w:r>
    </w:p>
    <w:p>
      <w:pPr>
        <w:spacing w:line="600" w:lineRule="exact"/>
        <w:ind w:firstLine="643" w:firstLineChars="200"/>
        <w:outlineLvl w:val="2"/>
        <w:rPr>
          <w:rFonts w:eastAsia="楷体_GB2312" w:cs="楷体_GB2312"/>
          <w:b/>
          <w:sz w:val="32"/>
          <w:szCs w:val="32"/>
        </w:rPr>
      </w:pPr>
      <w:bookmarkStart w:id="33" w:name="_Toc15377212"/>
      <w:r>
        <w:rPr>
          <w:rFonts w:hint="eastAsia" w:eastAsia="楷体_GB2312" w:cs="楷体_GB2312"/>
          <w:b/>
          <w:sz w:val="32"/>
          <w:szCs w:val="32"/>
        </w:rPr>
        <w:t>（三）一般公共预算财政拨款支出决算具体情况</w:t>
      </w:r>
      <w:bookmarkEnd w:id="33"/>
    </w:p>
    <w:p>
      <w:pPr>
        <w:spacing w:line="600" w:lineRule="exact"/>
        <w:ind w:firstLine="640"/>
        <w:rPr>
          <w:rFonts w:hint="eastAsia" w:eastAsia="仿宋_GB2312" w:cs="仿宋_GB2312"/>
          <w:sz w:val="32"/>
          <w:szCs w:val="32"/>
          <w:lang w:eastAsia="zh-CN"/>
        </w:rPr>
      </w:pPr>
      <w:bookmarkStart w:id="34" w:name="_Toc15377213"/>
      <w:bookmarkStart w:id="35" w:name="_Toc15378460"/>
      <w:bookmarkStart w:id="36" w:name="_Toc15377444"/>
      <w:r>
        <w:rPr>
          <w:rFonts w:hint="eastAsia" w:eastAsia="仿宋_GB2312" w:cs="仿宋_GB2312"/>
          <w:sz w:val="32"/>
          <w:szCs w:val="32"/>
        </w:rPr>
        <w:t>2024年度一般公共预算财政拨款支出决算数为</w:t>
      </w:r>
      <w:r>
        <w:rPr>
          <w:rFonts w:hint="eastAsia" w:ascii="Times New Roman" w:cs="仿宋_GB2312"/>
          <w:kern w:val="2"/>
          <w:sz w:val="32"/>
          <w:szCs w:val="32"/>
          <w:lang w:val="en-US" w:eastAsia="zh-CN" w:bidi="ar-SA"/>
        </w:rPr>
        <w:t>3,151.31</w:t>
      </w:r>
      <w:r>
        <w:rPr>
          <w:rFonts w:hint="eastAsia" w:eastAsia="仿宋_GB2312" w:cs="仿宋_GB2312"/>
          <w:sz w:val="32"/>
          <w:szCs w:val="32"/>
          <w:lang w:val="en-US" w:eastAsia="zh-CN"/>
        </w:rPr>
        <w:t>万元</w:t>
      </w:r>
      <w:r>
        <w:rPr>
          <w:rFonts w:hint="eastAsia" w:ascii="仿宋_GB2312" w:hAnsi="仿宋_GB2312" w:eastAsia="仿宋_GB2312" w:cs="仿宋_GB2312"/>
          <w:sz w:val="32"/>
          <w:szCs w:val="32"/>
        </w:rPr>
        <w:t>，</w:t>
      </w:r>
      <w:r>
        <w:rPr>
          <w:rFonts w:hint="eastAsia" w:eastAsia="仿宋_GB2312" w:cs="仿宋_GB2312"/>
          <w:sz w:val="32"/>
          <w:szCs w:val="32"/>
        </w:rPr>
        <w:t>完成预算</w:t>
      </w:r>
      <w:r>
        <w:rPr>
          <w:rFonts w:hint="eastAsia" w:eastAsia="仿宋_GB2312" w:cs="仿宋_GB2312"/>
          <w:sz w:val="32"/>
          <w:szCs w:val="32"/>
          <w:lang w:val="en-US" w:eastAsia="zh-CN"/>
        </w:rPr>
        <w:t>100</w:t>
      </w:r>
      <w:r>
        <w:rPr>
          <w:rFonts w:hint="eastAsia" w:eastAsia="仿宋_GB2312" w:cs="仿宋_GB2312"/>
          <w:sz w:val="32"/>
          <w:szCs w:val="32"/>
        </w:rPr>
        <w:t>%。其中：</w:t>
      </w:r>
      <w:bookmarkEnd w:id="34"/>
      <w:bookmarkEnd w:id="35"/>
      <w:bookmarkEnd w:id="36"/>
    </w:p>
    <w:p>
      <w:pPr>
        <w:numPr>
          <w:ilvl w:val="0"/>
          <w:numId w:val="0"/>
        </w:numPr>
        <w:spacing w:line="600" w:lineRule="exact"/>
        <w:ind w:firstLine="640" w:firstLineChars="0"/>
        <w:rPr>
          <w:rFonts w:hint="eastAsia" w:eastAsia="仿宋_GB2312" w:cs="仿宋_GB2312"/>
          <w:sz w:val="32"/>
          <w:szCs w:val="32"/>
          <w:lang w:eastAsia="zh-CN"/>
        </w:rPr>
      </w:pPr>
      <w:r>
        <w:rPr>
          <w:rFonts w:hint="eastAsia" w:eastAsia="仿宋_GB2312" w:cs="仿宋_GB2312"/>
          <w:kern w:val="2"/>
          <w:sz w:val="32"/>
          <w:szCs w:val="32"/>
          <w:lang w:val="en-US" w:eastAsia="zh-CN" w:bidi="ar-SA"/>
        </w:rPr>
        <w:t>1</w:t>
      </w:r>
      <w:r>
        <w:rPr>
          <w:rFonts w:hint="eastAsia" w:ascii="Times New Roman" w:hAnsi="Times New Roman" w:eastAsia="仿宋_GB2312" w:cs="仿宋_GB2312"/>
          <w:kern w:val="2"/>
          <w:sz w:val="32"/>
          <w:szCs w:val="32"/>
          <w:lang w:val="en-US" w:eastAsia="zh-CN" w:bidi="ar-SA"/>
        </w:rPr>
        <w:t>.</w:t>
      </w:r>
      <w:r>
        <w:rPr>
          <w:rFonts w:hint="eastAsia" w:eastAsia="仿宋_GB2312" w:cs="仿宋_GB2312"/>
          <w:sz w:val="32"/>
          <w:szCs w:val="32"/>
        </w:rPr>
        <w:t>社会保障和就业（类）行政事业单位养老支出（款）机关事业单位基本养老保险缴费支出（项）：支出决算为</w:t>
      </w:r>
      <w:r>
        <w:rPr>
          <w:rFonts w:hint="eastAsia" w:eastAsia="仿宋_GB2312" w:cs="仿宋_GB2312"/>
          <w:sz w:val="32"/>
          <w:szCs w:val="32"/>
          <w:lang w:val="en-US" w:eastAsia="zh-CN"/>
        </w:rPr>
        <w:t>203.89</w:t>
      </w:r>
      <w:r>
        <w:rPr>
          <w:rFonts w:hint="eastAsia" w:eastAsia="仿宋_GB2312" w:cs="仿宋_GB2312"/>
          <w:sz w:val="32"/>
          <w:szCs w:val="32"/>
        </w:rPr>
        <w:t>万元，完成预算</w:t>
      </w:r>
      <w:r>
        <w:rPr>
          <w:rFonts w:hint="eastAsia" w:eastAsia="仿宋_GB2312" w:cs="仿宋_GB2312"/>
          <w:sz w:val="32"/>
          <w:szCs w:val="32"/>
          <w:lang w:val="en-US" w:eastAsia="zh-CN"/>
        </w:rPr>
        <w:t>100</w:t>
      </w:r>
      <w:r>
        <w:rPr>
          <w:rFonts w:hint="eastAsia" w:eastAsia="仿宋_GB2312" w:cs="仿宋_GB2312"/>
          <w:sz w:val="32"/>
          <w:szCs w:val="32"/>
        </w:rPr>
        <w:t>%，决算数等于预算数</w:t>
      </w:r>
      <w:r>
        <w:rPr>
          <w:rFonts w:hint="eastAsia" w:eastAsia="仿宋_GB2312" w:cs="仿宋_GB2312"/>
          <w:sz w:val="32"/>
          <w:szCs w:val="32"/>
          <w:lang w:eastAsia="zh-CN"/>
        </w:rPr>
        <w:t>。</w:t>
      </w:r>
    </w:p>
    <w:p>
      <w:pPr>
        <w:numPr>
          <w:ilvl w:val="0"/>
          <w:numId w:val="0"/>
        </w:numPr>
        <w:spacing w:line="600" w:lineRule="exact"/>
        <w:ind w:firstLine="640" w:firstLineChars="0"/>
        <w:rPr>
          <w:rFonts w:hint="eastAsia" w:eastAsia="仿宋_GB2312" w:cs="仿宋_GB2312"/>
          <w:sz w:val="32"/>
          <w:szCs w:val="32"/>
          <w:lang w:val="en-US" w:eastAsia="zh-CN"/>
        </w:rPr>
      </w:pPr>
      <w:r>
        <w:rPr>
          <w:rFonts w:hint="eastAsia" w:eastAsia="仿宋_GB2312" w:cs="仿宋_GB2312"/>
          <w:sz w:val="32"/>
          <w:szCs w:val="32"/>
          <w:lang w:val="en-US" w:eastAsia="zh-CN"/>
        </w:rPr>
        <w:t>2.社会保障和就业（类）行政事业单位养老支出（款）机关事业单位职业年金缴费支出（项）：支出决算为101.95万元，完成预算100%，决算数等于预算数。</w:t>
      </w:r>
    </w:p>
    <w:p>
      <w:pPr>
        <w:spacing w:line="600" w:lineRule="exact"/>
        <w:ind w:firstLine="640"/>
        <w:rPr>
          <w:rFonts w:hint="eastAsia" w:eastAsia="仿宋_GB2312" w:cs="仿宋_GB2312"/>
          <w:sz w:val="32"/>
          <w:szCs w:val="32"/>
          <w:lang w:eastAsia="zh-CN"/>
        </w:rPr>
      </w:pPr>
      <w:r>
        <w:rPr>
          <w:rFonts w:hint="eastAsia" w:eastAsia="仿宋_GB2312" w:cs="仿宋_GB2312"/>
          <w:sz w:val="32"/>
          <w:szCs w:val="32"/>
          <w:lang w:val="en-US" w:eastAsia="zh-CN"/>
        </w:rPr>
        <w:t>3</w:t>
      </w:r>
      <w:r>
        <w:rPr>
          <w:rFonts w:hint="eastAsia" w:eastAsia="仿宋_GB2312" w:cs="仿宋_GB2312"/>
          <w:sz w:val="32"/>
          <w:szCs w:val="32"/>
        </w:rPr>
        <w:t>.卫生健康（类）行政事业单位医疗（款）事业单位医疗（项）：支出决算为</w:t>
      </w:r>
      <w:r>
        <w:rPr>
          <w:rFonts w:hint="eastAsia" w:eastAsia="仿宋_GB2312" w:cs="仿宋_GB2312"/>
          <w:sz w:val="32"/>
          <w:szCs w:val="32"/>
          <w:lang w:val="en-US" w:eastAsia="zh-CN"/>
        </w:rPr>
        <w:t>102.98</w:t>
      </w:r>
      <w:r>
        <w:rPr>
          <w:rFonts w:hint="eastAsia" w:eastAsia="仿宋_GB2312" w:cs="仿宋_GB2312"/>
          <w:sz w:val="32"/>
          <w:szCs w:val="32"/>
        </w:rPr>
        <w:t>万元，完成预算</w:t>
      </w:r>
      <w:r>
        <w:rPr>
          <w:rFonts w:hint="eastAsia" w:eastAsia="仿宋_GB2312" w:cs="仿宋_GB2312"/>
          <w:sz w:val="32"/>
          <w:szCs w:val="32"/>
          <w:lang w:val="en-US" w:eastAsia="zh-CN"/>
        </w:rPr>
        <w:t>100</w:t>
      </w:r>
      <w:r>
        <w:rPr>
          <w:rFonts w:hint="eastAsia" w:eastAsia="仿宋_GB2312" w:cs="仿宋_GB2312"/>
          <w:sz w:val="32"/>
          <w:szCs w:val="32"/>
        </w:rPr>
        <w:t>%，决算数等于预算数</w:t>
      </w:r>
      <w:r>
        <w:rPr>
          <w:rFonts w:hint="eastAsia" w:eastAsia="仿宋_GB2312" w:cs="仿宋_GB2312"/>
          <w:sz w:val="32"/>
          <w:szCs w:val="32"/>
          <w:lang w:eastAsia="zh-CN"/>
        </w:rPr>
        <w:t>。</w:t>
      </w:r>
    </w:p>
    <w:p>
      <w:pPr>
        <w:spacing w:line="600" w:lineRule="exact"/>
        <w:ind w:firstLine="640"/>
        <w:rPr>
          <w:rFonts w:hint="eastAsia" w:eastAsia="仿宋_GB2312" w:cs="仿宋_GB2312"/>
          <w:sz w:val="32"/>
          <w:szCs w:val="32"/>
          <w:lang w:eastAsia="zh-CN"/>
        </w:rPr>
      </w:pPr>
      <w:r>
        <w:rPr>
          <w:rFonts w:hint="eastAsia" w:eastAsia="仿宋_GB2312" w:cs="仿宋_GB2312"/>
          <w:sz w:val="32"/>
          <w:szCs w:val="32"/>
          <w:lang w:val="en-US" w:eastAsia="zh-CN"/>
        </w:rPr>
        <w:t>4.</w:t>
      </w:r>
      <w:r>
        <w:rPr>
          <w:rFonts w:hint="eastAsia" w:eastAsia="仿宋_GB2312" w:cs="仿宋_GB2312"/>
          <w:sz w:val="32"/>
          <w:szCs w:val="32"/>
        </w:rPr>
        <w:t>卫生健康（类）行政事业单位医疗（款）其他行政事业单位医疗支出（项）：支出决算</w:t>
      </w:r>
      <w:r>
        <w:rPr>
          <w:rFonts w:hint="eastAsia" w:eastAsia="仿宋_GB2312" w:cs="仿宋_GB2312"/>
          <w:sz w:val="32"/>
          <w:szCs w:val="32"/>
          <w:lang w:val="en-US" w:eastAsia="zh-CN"/>
        </w:rPr>
        <w:t>54.07</w:t>
      </w:r>
      <w:r>
        <w:rPr>
          <w:rFonts w:hint="eastAsia" w:eastAsia="仿宋_GB2312" w:cs="仿宋_GB2312"/>
          <w:sz w:val="32"/>
          <w:szCs w:val="32"/>
        </w:rPr>
        <w:t>万元，完成预算</w:t>
      </w:r>
      <w:r>
        <w:rPr>
          <w:rFonts w:hint="eastAsia" w:eastAsia="仿宋_GB2312" w:cs="仿宋_GB2312"/>
          <w:sz w:val="32"/>
          <w:szCs w:val="32"/>
          <w:lang w:val="en-US" w:eastAsia="zh-CN"/>
        </w:rPr>
        <w:t>100</w:t>
      </w:r>
      <w:r>
        <w:rPr>
          <w:rFonts w:hint="eastAsia" w:eastAsia="仿宋_GB2312" w:cs="仿宋_GB2312"/>
          <w:sz w:val="32"/>
          <w:szCs w:val="32"/>
        </w:rPr>
        <w:t>%，决算数等于预算数</w:t>
      </w:r>
      <w:r>
        <w:rPr>
          <w:rFonts w:hint="eastAsia" w:eastAsia="仿宋_GB2312" w:cs="仿宋_GB2312"/>
          <w:sz w:val="32"/>
          <w:szCs w:val="32"/>
          <w:lang w:eastAsia="zh-CN"/>
        </w:rPr>
        <w:t>。</w:t>
      </w:r>
    </w:p>
    <w:p>
      <w:pPr>
        <w:spacing w:line="600" w:lineRule="exact"/>
        <w:ind w:firstLine="640"/>
        <w:rPr>
          <w:rFonts w:hint="eastAsia" w:eastAsia="仿宋_GB2312" w:cs="仿宋_GB2312"/>
          <w:sz w:val="32"/>
          <w:szCs w:val="32"/>
          <w:lang w:eastAsia="zh-CN"/>
        </w:rPr>
      </w:pPr>
      <w:bookmarkStart w:id="37" w:name="_Toc15396608"/>
      <w:bookmarkStart w:id="38" w:name="_Toc15377214"/>
      <w:r>
        <w:rPr>
          <w:rFonts w:hint="eastAsia" w:eastAsia="仿宋_GB2312" w:cs="仿宋_GB2312"/>
          <w:sz w:val="32"/>
          <w:szCs w:val="32"/>
          <w:lang w:val="en-US" w:eastAsia="zh-CN"/>
        </w:rPr>
        <w:t>5.</w:t>
      </w:r>
      <w:r>
        <w:rPr>
          <w:rFonts w:hint="eastAsia" w:eastAsia="仿宋_GB2312" w:cs="仿宋_GB2312"/>
          <w:sz w:val="32"/>
          <w:szCs w:val="32"/>
        </w:rPr>
        <w:t>交通运输（类）公路水路运输（款）公路养护（项）：支出决算为</w:t>
      </w:r>
      <w:r>
        <w:rPr>
          <w:rFonts w:hint="eastAsia" w:eastAsia="仿宋_GB2312" w:cs="仿宋_GB2312"/>
          <w:sz w:val="32"/>
          <w:szCs w:val="32"/>
          <w:lang w:val="en-US" w:eastAsia="zh-CN"/>
        </w:rPr>
        <w:t>2,507.3</w:t>
      </w:r>
      <w:r>
        <w:rPr>
          <w:rFonts w:hint="eastAsia" w:eastAsia="仿宋_GB2312" w:cs="仿宋_GB2312"/>
          <w:sz w:val="32"/>
          <w:szCs w:val="32"/>
        </w:rPr>
        <w:t>万元，完成预算</w:t>
      </w:r>
      <w:r>
        <w:rPr>
          <w:rFonts w:hint="eastAsia" w:eastAsia="仿宋_GB2312" w:cs="仿宋_GB2312"/>
          <w:sz w:val="32"/>
          <w:szCs w:val="32"/>
          <w:lang w:val="en-US" w:eastAsia="zh-CN"/>
        </w:rPr>
        <w:t>99.9</w:t>
      </w:r>
      <w:r>
        <w:rPr>
          <w:rFonts w:hint="eastAsia" w:eastAsia="仿宋_GB2312" w:cs="仿宋_GB2312"/>
          <w:sz w:val="32"/>
          <w:szCs w:val="32"/>
        </w:rPr>
        <w:t>%，决算数等于预算数</w:t>
      </w:r>
      <w:r>
        <w:rPr>
          <w:rFonts w:hint="eastAsia" w:eastAsia="仿宋_GB2312" w:cs="仿宋_GB2312"/>
          <w:sz w:val="32"/>
          <w:szCs w:val="32"/>
          <w:lang w:eastAsia="zh-CN"/>
        </w:rPr>
        <w:t>。</w:t>
      </w:r>
    </w:p>
    <w:p>
      <w:pPr>
        <w:spacing w:line="600" w:lineRule="exact"/>
        <w:ind w:firstLine="640"/>
        <w:rPr>
          <w:rFonts w:hint="eastAsia" w:eastAsia="仿宋_GB2312" w:cs="仿宋_GB2312"/>
          <w:sz w:val="32"/>
          <w:szCs w:val="32"/>
          <w:lang w:val="en-US" w:eastAsia="zh-CN"/>
        </w:rPr>
      </w:pPr>
      <w:r>
        <w:rPr>
          <w:rFonts w:hint="eastAsia" w:eastAsia="仿宋_GB2312" w:cs="仿宋_GB2312"/>
          <w:sz w:val="32"/>
          <w:szCs w:val="32"/>
          <w:lang w:val="en-US" w:eastAsia="zh-CN"/>
        </w:rPr>
        <w:t>6.住房保障（类）住房改革支出（款）住房公积金（项）：支出决算为170.12万元，完成预算100%，决算数等于预算数。</w:t>
      </w:r>
    </w:p>
    <w:p>
      <w:pPr>
        <w:spacing w:line="600" w:lineRule="exact"/>
        <w:ind w:firstLine="640"/>
        <w:rPr>
          <w:rFonts w:hint="eastAsia"/>
        </w:rPr>
      </w:pPr>
      <w:r>
        <w:rPr>
          <w:rFonts w:hint="eastAsia" w:eastAsia="仿宋_GB2312" w:cs="仿宋_GB2312"/>
          <w:sz w:val="32"/>
          <w:szCs w:val="32"/>
          <w:lang w:val="en-US" w:eastAsia="zh-CN"/>
        </w:rPr>
        <w:t>7.住房保障（类）住房改革支出（款）购房补贴（项）：支出决算为11万元，</w:t>
      </w:r>
      <w:r>
        <w:rPr>
          <w:rFonts w:hint="eastAsia" w:eastAsia="仿宋_GB2312" w:cs="仿宋_GB2312"/>
          <w:sz w:val="32"/>
          <w:szCs w:val="32"/>
        </w:rPr>
        <w:t>完成预算</w:t>
      </w:r>
      <w:r>
        <w:rPr>
          <w:rFonts w:hint="eastAsia" w:eastAsia="仿宋_GB2312" w:cs="仿宋_GB2312"/>
          <w:sz w:val="32"/>
          <w:szCs w:val="32"/>
          <w:lang w:val="en-US" w:eastAsia="zh-CN"/>
        </w:rPr>
        <w:t>100</w:t>
      </w:r>
      <w:r>
        <w:rPr>
          <w:rFonts w:hint="eastAsia" w:eastAsia="仿宋_GB2312" w:cs="仿宋_GB2312"/>
          <w:sz w:val="32"/>
          <w:szCs w:val="32"/>
        </w:rPr>
        <w:t>%，决算数等于预算数</w:t>
      </w:r>
      <w:r>
        <w:rPr>
          <w:rFonts w:hint="eastAsia" w:eastAsia="仿宋_GB2312" w:cs="仿宋_GB2312"/>
          <w:sz w:val="32"/>
          <w:szCs w:val="32"/>
          <w:lang w:eastAsia="zh-CN"/>
        </w:rPr>
        <w:t>。</w:t>
      </w:r>
    </w:p>
    <w:p>
      <w:pPr>
        <w:tabs>
          <w:tab w:val="right" w:pos="8306"/>
        </w:tabs>
        <w:spacing w:line="600" w:lineRule="exact"/>
        <w:ind w:firstLine="640"/>
        <w:outlineLvl w:val="1"/>
        <w:rPr>
          <w:rStyle w:val="29"/>
          <w:rFonts w:ascii="Times New Roman" w:hAnsi="Times New Roman"/>
        </w:rPr>
      </w:pPr>
      <w:bookmarkStart w:id="39" w:name="_Toc12622"/>
      <w:r>
        <w:rPr>
          <w:rFonts w:hint="eastAsia" w:eastAsia="黑体"/>
          <w:sz w:val="32"/>
          <w:szCs w:val="32"/>
        </w:rPr>
        <w:t>六</w:t>
      </w:r>
      <w:r>
        <w:rPr>
          <w:rFonts w:hint="eastAsia" w:eastAsia="黑体"/>
          <w:b/>
          <w:sz w:val="32"/>
          <w:szCs w:val="32"/>
        </w:rPr>
        <w:t>、一</w:t>
      </w:r>
      <w:r>
        <w:rPr>
          <w:rStyle w:val="29"/>
          <w:rFonts w:hint="eastAsia" w:ascii="Times New Roman" w:hAnsi="Times New Roman" w:eastAsia="黑体"/>
          <w:b w:val="0"/>
        </w:rPr>
        <w:t>般公共预算财政拨款基本支出决算情况说明</w:t>
      </w:r>
      <w:bookmarkEnd w:id="37"/>
      <w:bookmarkEnd w:id="38"/>
      <w:bookmarkEnd w:id="39"/>
    </w:p>
    <w:p>
      <w:pPr>
        <w:spacing w:line="600" w:lineRule="exact"/>
        <w:ind w:firstLine="640"/>
        <w:rPr>
          <w:rFonts w:eastAsia="仿宋_GB2312" w:cs="仿宋_GB2312"/>
          <w:sz w:val="32"/>
          <w:szCs w:val="32"/>
        </w:rPr>
      </w:pPr>
      <w:r>
        <w:rPr>
          <w:rFonts w:hint="eastAsia" w:eastAsia="仿宋_GB2312" w:cs="仿宋_GB2312"/>
          <w:sz w:val="32"/>
          <w:szCs w:val="32"/>
        </w:rPr>
        <w:t>2024年度一般公共预算财政拨款基本支出</w:t>
      </w:r>
      <w:r>
        <w:rPr>
          <w:rFonts w:hint="eastAsia" w:ascii="Times New Roman" w:cs="仿宋_GB2312"/>
          <w:kern w:val="2"/>
          <w:sz w:val="32"/>
          <w:szCs w:val="32"/>
          <w:lang w:val="en-US" w:eastAsia="zh-CN" w:bidi="ar-SA"/>
        </w:rPr>
        <w:t>2,788.49</w:t>
      </w:r>
      <w:r>
        <w:rPr>
          <w:rFonts w:hint="eastAsia" w:ascii="仿宋_GB2312" w:hAnsi="仿宋_GB2312" w:eastAsia="仿宋_GB2312" w:cs="仿宋_GB2312"/>
          <w:sz w:val="32"/>
          <w:szCs w:val="32"/>
        </w:rPr>
        <w:t>万</w:t>
      </w:r>
      <w:r>
        <w:rPr>
          <w:rFonts w:hint="eastAsia" w:eastAsia="仿宋_GB2312" w:cs="仿宋_GB2312"/>
          <w:sz w:val="32"/>
          <w:szCs w:val="32"/>
        </w:rPr>
        <w:t>元，其中：</w:t>
      </w:r>
    </w:p>
    <w:p>
      <w:pPr>
        <w:spacing w:line="600" w:lineRule="exact"/>
        <w:ind w:firstLine="640"/>
        <w:rPr>
          <w:rFonts w:eastAsia="仿宋_GB2312" w:cs="仿宋_GB2312"/>
          <w:sz w:val="32"/>
          <w:szCs w:val="32"/>
        </w:rPr>
      </w:pPr>
      <w:r>
        <w:rPr>
          <w:rFonts w:hint="eastAsia" w:eastAsia="仿宋_GB2312" w:cs="仿宋_GB2312"/>
          <w:sz w:val="32"/>
          <w:szCs w:val="32"/>
        </w:rPr>
        <w:t>人员经费</w:t>
      </w:r>
      <w:r>
        <w:rPr>
          <w:rFonts w:hint="eastAsia" w:eastAsia="仿宋_GB2312" w:cs="仿宋_GB2312"/>
          <w:sz w:val="32"/>
          <w:szCs w:val="32"/>
          <w:lang w:val="en-US" w:eastAsia="zh-CN"/>
        </w:rPr>
        <w:t>2,624.88</w:t>
      </w:r>
      <w:r>
        <w:rPr>
          <w:rFonts w:hint="eastAsia" w:ascii="仿宋_GB2312" w:hAnsi="仿宋_GB2312" w:eastAsia="仿宋_GB2312" w:cs="仿宋_GB2312"/>
          <w:sz w:val="32"/>
          <w:szCs w:val="32"/>
        </w:rPr>
        <w:t>万</w:t>
      </w:r>
      <w:r>
        <w:rPr>
          <w:rFonts w:hint="eastAsia" w:eastAsia="仿宋_GB2312" w:cs="仿宋_GB2312"/>
          <w:sz w:val="32"/>
          <w:szCs w:val="32"/>
        </w:rPr>
        <w:t>元，主要包括：基本工资、津贴补贴、奖金、绩效工资、机关事业单位基本养老保险缴费、职业年金缴费、</w:t>
      </w:r>
      <w:r>
        <w:rPr>
          <w:rFonts w:hint="eastAsia" w:eastAsia="仿宋_GB2312" w:cs="仿宋_GB2312"/>
          <w:sz w:val="32"/>
          <w:szCs w:val="32"/>
          <w:lang w:val="en-US" w:eastAsia="zh-CN"/>
        </w:rPr>
        <w:t>职工基本医疗保险缴费、</w:t>
      </w:r>
      <w:r>
        <w:rPr>
          <w:rFonts w:hint="eastAsia" w:eastAsia="仿宋_GB2312" w:cs="仿宋_GB2312"/>
          <w:sz w:val="32"/>
          <w:szCs w:val="32"/>
        </w:rPr>
        <w:t>其他社会保障缴费、</w:t>
      </w:r>
      <w:r>
        <w:rPr>
          <w:rFonts w:hint="eastAsia" w:eastAsia="仿宋_GB2312" w:cs="仿宋_GB2312"/>
          <w:sz w:val="32"/>
          <w:szCs w:val="32"/>
          <w:lang w:val="en-US" w:eastAsia="zh-CN"/>
        </w:rPr>
        <w:t>其他工资福利支出、</w:t>
      </w:r>
      <w:r>
        <w:rPr>
          <w:rFonts w:hint="eastAsia" w:eastAsia="仿宋_GB2312" w:cs="仿宋_GB2312"/>
          <w:sz w:val="32"/>
          <w:szCs w:val="32"/>
        </w:rPr>
        <w:t>生活补助、奖励金、住房公积金</w:t>
      </w:r>
      <w:r>
        <w:rPr>
          <w:rFonts w:hint="eastAsia" w:eastAsia="仿宋_GB2312" w:cs="仿宋_GB2312"/>
          <w:sz w:val="32"/>
          <w:szCs w:val="32"/>
          <w:lang w:eastAsia="zh-CN"/>
        </w:rPr>
        <w:t>、</w:t>
      </w:r>
      <w:r>
        <w:rPr>
          <w:rFonts w:hint="eastAsia" w:eastAsia="仿宋_GB2312" w:cs="仿宋_GB2312"/>
          <w:sz w:val="32"/>
          <w:szCs w:val="32"/>
          <w:lang w:val="en-US" w:eastAsia="zh-CN"/>
        </w:rPr>
        <w:t>其他对个人和家庭的补助</w:t>
      </w:r>
      <w:r>
        <w:rPr>
          <w:rFonts w:hint="eastAsia" w:eastAsia="仿宋_GB2312" w:cs="仿宋_GB2312"/>
          <w:sz w:val="32"/>
          <w:szCs w:val="32"/>
        </w:rPr>
        <w:t>。</w:t>
      </w:r>
      <w:r>
        <w:rPr>
          <w:rFonts w:hint="eastAsia" w:eastAsia="仿宋_GB2312" w:cs="仿宋_GB2312"/>
          <w:sz w:val="32"/>
          <w:szCs w:val="32"/>
        </w:rPr>
        <w:br w:type="textWrapping"/>
      </w:r>
      <w:r>
        <w:rPr>
          <w:rFonts w:hint="eastAsia" w:eastAsia="仿宋_GB2312" w:cs="仿宋_GB2312"/>
          <w:sz w:val="32"/>
          <w:szCs w:val="32"/>
          <w:lang w:val="en-US" w:eastAsia="zh-CN"/>
        </w:rPr>
        <w:t xml:space="preserve">    </w:t>
      </w:r>
      <w:r>
        <w:rPr>
          <w:rFonts w:hint="eastAsia" w:eastAsia="仿宋_GB2312" w:cs="仿宋_GB2312"/>
          <w:sz w:val="32"/>
          <w:szCs w:val="32"/>
        </w:rPr>
        <w:t>公用经费</w:t>
      </w:r>
      <w:r>
        <w:rPr>
          <w:rFonts w:hint="eastAsia" w:eastAsia="仿宋_GB2312" w:cs="仿宋_GB2312"/>
          <w:sz w:val="32"/>
          <w:szCs w:val="32"/>
          <w:lang w:val="en-US" w:eastAsia="zh-CN"/>
        </w:rPr>
        <w:t>163.61</w:t>
      </w:r>
      <w:r>
        <w:rPr>
          <w:rFonts w:hint="eastAsia" w:ascii="仿宋_GB2312" w:hAnsi="仿宋_GB2312" w:eastAsia="仿宋_GB2312" w:cs="仿宋_GB2312"/>
          <w:sz w:val="32"/>
          <w:szCs w:val="32"/>
        </w:rPr>
        <w:t>万</w:t>
      </w:r>
      <w:r>
        <w:rPr>
          <w:rFonts w:hint="eastAsia" w:eastAsia="仿宋_GB2312" w:cs="仿宋_GB2312"/>
          <w:sz w:val="32"/>
          <w:szCs w:val="32"/>
        </w:rPr>
        <w:t>元，主要包括：办公费、</w:t>
      </w:r>
      <w:r>
        <w:rPr>
          <w:rFonts w:hint="eastAsia" w:eastAsia="仿宋_GB2312" w:cs="仿宋_GB2312"/>
          <w:sz w:val="32"/>
          <w:szCs w:val="32"/>
          <w:lang w:val="en-US" w:eastAsia="zh-CN"/>
        </w:rPr>
        <w:t>咨询费</w:t>
      </w:r>
      <w:r>
        <w:rPr>
          <w:rFonts w:hint="eastAsia" w:eastAsia="仿宋_GB2312" w:cs="仿宋_GB2312"/>
          <w:sz w:val="32"/>
          <w:szCs w:val="32"/>
        </w:rPr>
        <w:t>、</w:t>
      </w:r>
      <w:r>
        <w:rPr>
          <w:rFonts w:hint="eastAsia" w:eastAsia="仿宋_GB2312" w:cs="仿宋_GB2312"/>
          <w:sz w:val="32"/>
          <w:szCs w:val="32"/>
          <w:lang w:val="en-US" w:eastAsia="zh-CN"/>
        </w:rPr>
        <w:t>手续费、水费、</w:t>
      </w:r>
      <w:r>
        <w:rPr>
          <w:rFonts w:hint="eastAsia" w:eastAsia="仿宋_GB2312" w:cs="仿宋_GB2312"/>
          <w:sz w:val="32"/>
          <w:szCs w:val="32"/>
        </w:rPr>
        <w:t>电费、邮电费、</w:t>
      </w:r>
      <w:r>
        <w:rPr>
          <w:rFonts w:hint="eastAsia" w:eastAsia="仿宋_GB2312" w:cs="仿宋_GB2312"/>
          <w:sz w:val="32"/>
          <w:szCs w:val="32"/>
          <w:lang w:val="en-US" w:eastAsia="zh-CN"/>
        </w:rPr>
        <w:t>物业管理费、</w:t>
      </w:r>
      <w:r>
        <w:rPr>
          <w:rFonts w:hint="eastAsia" w:eastAsia="仿宋_GB2312" w:cs="仿宋_GB2312"/>
          <w:sz w:val="32"/>
          <w:szCs w:val="32"/>
        </w:rPr>
        <w:t>差旅费、维修（护）费、</w:t>
      </w:r>
      <w:r>
        <w:rPr>
          <w:rFonts w:hint="eastAsia" w:eastAsia="仿宋_GB2312" w:cs="仿宋_GB2312"/>
          <w:sz w:val="32"/>
          <w:szCs w:val="32"/>
          <w:lang w:val="en-US" w:eastAsia="zh-CN"/>
        </w:rPr>
        <w:t>租赁费、</w:t>
      </w:r>
      <w:r>
        <w:rPr>
          <w:rFonts w:hint="eastAsia" w:eastAsia="仿宋_GB2312" w:cs="仿宋_GB2312"/>
          <w:sz w:val="32"/>
          <w:szCs w:val="32"/>
        </w:rPr>
        <w:t>培训费、</w:t>
      </w:r>
      <w:r>
        <w:rPr>
          <w:rFonts w:hint="eastAsia" w:eastAsia="仿宋_GB2312" w:cs="仿宋_GB2312"/>
          <w:sz w:val="32"/>
          <w:szCs w:val="32"/>
          <w:lang w:val="en-US" w:eastAsia="zh-CN"/>
        </w:rPr>
        <w:t>专用材料费、专用燃料费、</w:t>
      </w:r>
      <w:r>
        <w:rPr>
          <w:rFonts w:hint="eastAsia" w:eastAsia="仿宋_GB2312" w:cs="仿宋_GB2312"/>
          <w:sz w:val="32"/>
          <w:szCs w:val="32"/>
        </w:rPr>
        <w:t>劳务费、</w:t>
      </w:r>
      <w:r>
        <w:rPr>
          <w:rFonts w:hint="eastAsia" w:eastAsia="仿宋_GB2312" w:cs="仿宋_GB2312"/>
          <w:sz w:val="32"/>
          <w:szCs w:val="32"/>
          <w:lang w:val="en-US" w:eastAsia="zh-CN"/>
        </w:rPr>
        <w:t>委托业务费、</w:t>
      </w:r>
      <w:r>
        <w:rPr>
          <w:rFonts w:hint="eastAsia" w:eastAsia="仿宋_GB2312" w:cs="仿宋_GB2312"/>
          <w:sz w:val="32"/>
          <w:szCs w:val="32"/>
        </w:rPr>
        <w:t>福利费、公务用车运行维护费、</w:t>
      </w:r>
      <w:r>
        <w:rPr>
          <w:rFonts w:hint="eastAsia" w:eastAsia="仿宋_GB2312" w:cs="仿宋_GB2312"/>
          <w:sz w:val="32"/>
          <w:szCs w:val="32"/>
          <w:lang w:val="en-US" w:eastAsia="zh-CN"/>
        </w:rPr>
        <w:t>其他交通费用、</w:t>
      </w:r>
      <w:r>
        <w:rPr>
          <w:rFonts w:hint="eastAsia" w:eastAsia="仿宋_GB2312" w:cs="仿宋_GB2312"/>
          <w:sz w:val="32"/>
          <w:szCs w:val="32"/>
        </w:rPr>
        <w:t>其他商品和服务支出。</w:t>
      </w:r>
    </w:p>
    <w:p>
      <w:pPr>
        <w:spacing w:line="600" w:lineRule="exact"/>
        <w:ind w:firstLine="640"/>
        <w:outlineLvl w:val="1"/>
        <w:rPr>
          <w:rStyle w:val="29"/>
          <w:rFonts w:ascii="Times New Roman" w:hAnsi="Times New Roman" w:eastAsia="黑体"/>
          <w:b w:val="0"/>
        </w:rPr>
      </w:pPr>
      <w:bookmarkStart w:id="40" w:name="_Toc15396609"/>
      <w:bookmarkStart w:id="41" w:name="_Toc3121"/>
      <w:bookmarkStart w:id="42" w:name="_Toc15377215"/>
      <w:r>
        <w:rPr>
          <w:rFonts w:hint="eastAsia" w:eastAsia="黑体"/>
          <w:sz w:val="32"/>
          <w:szCs w:val="32"/>
        </w:rPr>
        <w:t>七、</w:t>
      </w:r>
      <w:r>
        <w:rPr>
          <w:rStyle w:val="29"/>
          <w:rFonts w:hint="eastAsia" w:ascii="Times New Roman" w:hAnsi="Times New Roman" w:eastAsia="黑体"/>
          <w:b w:val="0"/>
        </w:rPr>
        <w:t>财政拨款</w:t>
      </w:r>
      <w:r>
        <w:rPr>
          <w:rStyle w:val="29"/>
          <w:rFonts w:hint="eastAsia" w:ascii="Times New Roman" w:hAnsi="Times New Roman" w:eastAsia="黑体"/>
        </w:rPr>
        <w:t>“</w:t>
      </w:r>
      <w:r>
        <w:rPr>
          <w:rStyle w:val="29"/>
          <w:rFonts w:hint="eastAsia" w:ascii="Times New Roman" w:hAnsi="Times New Roman" w:eastAsia="黑体"/>
          <w:b w:val="0"/>
        </w:rPr>
        <w:t>三公”经费支出决算情况说明</w:t>
      </w:r>
      <w:bookmarkEnd w:id="40"/>
      <w:bookmarkEnd w:id="41"/>
      <w:bookmarkEnd w:id="42"/>
    </w:p>
    <w:p>
      <w:pPr>
        <w:spacing w:line="600" w:lineRule="exact"/>
        <w:ind w:firstLine="643" w:firstLineChars="200"/>
        <w:outlineLvl w:val="2"/>
        <w:rPr>
          <w:rFonts w:eastAsia="楷体_GB2312" w:cs="楷体_GB2312"/>
          <w:b/>
          <w:sz w:val="32"/>
          <w:szCs w:val="32"/>
        </w:rPr>
      </w:pPr>
      <w:bookmarkStart w:id="43" w:name="_Toc15377216"/>
      <w:r>
        <w:rPr>
          <w:rFonts w:hint="eastAsia" w:eastAsia="楷体_GB2312" w:cs="楷体_GB2312"/>
          <w:b/>
          <w:sz w:val="32"/>
          <w:szCs w:val="32"/>
        </w:rPr>
        <w:t>（一）“三公”经费财政拨款支出决算总体情况说明</w:t>
      </w:r>
      <w:bookmarkEnd w:id="43"/>
    </w:p>
    <w:p>
      <w:pPr>
        <w:spacing w:line="600" w:lineRule="exact"/>
        <w:ind w:firstLine="640"/>
      </w:pPr>
      <w:r>
        <w:rPr>
          <w:rFonts w:hint="eastAsia" w:eastAsia="仿宋_GB2312" w:cs="仿宋_GB2312"/>
          <w:sz w:val="32"/>
          <w:szCs w:val="32"/>
        </w:rPr>
        <w:t>2024年度“三公”经费财政拨款支出决算为</w:t>
      </w:r>
      <w:r>
        <w:rPr>
          <w:rFonts w:hint="eastAsia" w:eastAsia="仿宋_GB2312" w:cs="仿宋_GB2312"/>
          <w:sz w:val="32"/>
          <w:szCs w:val="32"/>
          <w:lang w:val="en-US" w:eastAsia="zh-CN"/>
        </w:rPr>
        <w:t>17.34</w:t>
      </w:r>
      <w:r>
        <w:rPr>
          <w:rFonts w:hint="eastAsia" w:ascii="仿宋_GB2312" w:hAnsi="仿宋_GB2312" w:eastAsia="仿宋_GB2312" w:cs="仿宋_GB2312"/>
          <w:sz w:val="32"/>
          <w:szCs w:val="32"/>
        </w:rPr>
        <w:t>万元，完成预算</w:t>
      </w:r>
      <w:r>
        <w:rPr>
          <w:rFonts w:hint="eastAsia" w:eastAsia="仿宋_GB2312" w:cs="仿宋_GB2312"/>
          <w:sz w:val="32"/>
          <w:szCs w:val="32"/>
          <w:lang w:val="en-US" w:eastAsia="zh-CN"/>
        </w:rPr>
        <w:t>85.3</w:t>
      </w:r>
      <w:r>
        <w:rPr>
          <w:rFonts w:hint="eastAsia" w:eastAsia="仿宋_GB2312" w:cs="仿宋_GB2312"/>
          <w:sz w:val="32"/>
          <w:szCs w:val="32"/>
        </w:rPr>
        <w:t>%</w:t>
      </w:r>
      <w:r>
        <w:rPr>
          <w:rFonts w:hint="eastAsia" w:ascii="仿宋_GB2312" w:hAnsi="仿宋_GB2312" w:eastAsia="仿宋_GB2312" w:cs="仿宋_GB2312"/>
          <w:sz w:val="32"/>
          <w:szCs w:val="32"/>
        </w:rPr>
        <w:t>，</w:t>
      </w:r>
      <w:r>
        <w:rPr>
          <w:rFonts w:hint="eastAsia" w:eastAsia="仿宋_GB2312" w:cs="仿宋_GB2312"/>
          <w:sz w:val="32"/>
          <w:szCs w:val="32"/>
        </w:rPr>
        <w:t>较上年度</w:t>
      </w:r>
      <w:r>
        <w:rPr>
          <w:rFonts w:hint="eastAsia" w:eastAsia="仿宋_GB2312" w:cs="仿宋_GB2312"/>
          <w:sz w:val="32"/>
          <w:szCs w:val="32"/>
          <w:lang w:val="en-US" w:eastAsia="zh-CN"/>
        </w:rPr>
        <w:t>增加6.79</w:t>
      </w:r>
      <w:r>
        <w:rPr>
          <w:rFonts w:hint="eastAsia" w:eastAsia="仿宋_GB2312" w:cs="仿宋_GB2312"/>
          <w:sz w:val="32"/>
          <w:szCs w:val="32"/>
        </w:rPr>
        <w:t>万元，</w:t>
      </w:r>
      <w:r>
        <w:rPr>
          <w:rFonts w:hint="eastAsia" w:eastAsia="仿宋_GB2312" w:cs="仿宋_GB2312"/>
          <w:sz w:val="32"/>
          <w:szCs w:val="32"/>
          <w:lang w:val="en-US" w:eastAsia="zh-CN"/>
        </w:rPr>
        <w:t>增长39.2</w:t>
      </w:r>
      <w:r>
        <w:rPr>
          <w:rFonts w:hint="eastAsia" w:eastAsia="仿宋_GB2312" w:cs="仿宋_GB2312"/>
          <w:sz w:val="32"/>
          <w:szCs w:val="32"/>
        </w:rPr>
        <w:t>%。决算数</w:t>
      </w:r>
      <w:r>
        <w:rPr>
          <w:rFonts w:hint="eastAsia" w:eastAsia="仿宋_GB2312" w:cs="仿宋_GB2312"/>
          <w:sz w:val="32"/>
          <w:szCs w:val="32"/>
          <w:lang w:val="en-US" w:eastAsia="zh-CN"/>
        </w:rPr>
        <w:t>小于</w:t>
      </w:r>
      <w:r>
        <w:rPr>
          <w:rFonts w:hint="eastAsia" w:eastAsia="仿宋_GB2312" w:cs="仿宋_GB2312"/>
          <w:sz w:val="32"/>
          <w:szCs w:val="32"/>
        </w:rPr>
        <w:t>预算数</w:t>
      </w:r>
      <w:r>
        <w:rPr>
          <w:rFonts w:hint="eastAsia" w:eastAsia="仿宋_GB2312" w:cs="仿宋_GB2312"/>
          <w:sz w:val="32"/>
          <w:szCs w:val="32"/>
          <w:lang w:val="en-US" w:eastAsia="zh-CN"/>
        </w:rPr>
        <w:t>的原因是本年未发生公务接待费</w:t>
      </w:r>
      <w:r>
        <w:rPr>
          <w:rFonts w:hint="eastAsia" w:eastAsia="仿宋_GB2312" w:cs="仿宋_GB2312"/>
          <w:sz w:val="32"/>
          <w:szCs w:val="32"/>
          <w:lang w:eastAsia="zh-CN"/>
        </w:rPr>
        <w:t>。</w:t>
      </w:r>
    </w:p>
    <w:p>
      <w:pPr>
        <w:spacing w:line="600" w:lineRule="exact"/>
        <w:ind w:firstLine="643" w:firstLineChars="200"/>
        <w:outlineLvl w:val="2"/>
        <w:rPr>
          <w:rFonts w:eastAsia="楷体_GB2312" w:cs="楷体_GB2312"/>
          <w:b/>
          <w:sz w:val="32"/>
          <w:szCs w:val="32"/>
        </w:rPr>
      </w:pPr>
      <w:bookmarkStart w:id="44" w:name="_Toc15377217"/>
      <w:r>
        <w:rPr>
          <w:rFonts w:hint="eastAsia" w:eastAsia="楷体_GB2312" w:cs="楷体_GB2312"/>
          <w:b/>
          <w:sz w:val="32"/>
          <w:szCs w:val="32"/>
        </w:rPr>
        <w:t>（二）“三公”经费财政拨款支出决算具体情况说明</w:t>
      </w:r>
      <w:bookmarkEnd w:id="44"/>
    </w:p>
    <w:p>
      <w:pPr>
        <w:spacing w:line="600" w:lineRule="exact"/>
        <w:ind w:firstLine="640"/>
        <w:rPr>
          <w:rFonts w:hint="eastAsia" w:ascii="仿宋_GB2312" w:hAnsi="仿宋_GB2312" w:eastAsia="仿宋_GB2312" w:cs="仿宋_GB2312"/>
          <w:sz w:val="32"/>
          <w:szCs w:val="32"/>
        </w:rPr>
      </w:pPr>
      <w:r>
        <w:rPr>
          <w:rFonts w:hint="eastAsia" w:eastAsia="仿宋_GB2312" w:cs="仿宋_GB2312"/>
          <w:sz w:val="32"/>
          <w:szCs w:val="32"/>
          <w:lang w:val="en-US" w:eastAsia="zh-CN"/>
        </w:rPr>
        <w:t>2024</w:t>
      </w:r>
      <w:r>
        <w:rPr>
          <w:rFonts w:hint="eastAsia" w:ascii="仿宋_GB2312" w:hAnsi="仿宋_GB2312" w:eastAsia="仿宋_GB2312" w:cs="仿宋_GB2312"/>
          <w:sz w:val="32"/>
          <w:szCs w:val="32"/>
        </w:rPr>
        <w:t>年度“三公”经费财政拨款支出决算中，因公出国（境）费支出决算</w:t>
      </w:r>
      <w:r>
        <w:rPr>
          <w:rFonts w:hint="eastAsia" w:eastAsia="仿宋_GB2312" w:cs="仿宋_GB2312"/>
          <w:sz w:val="32"/>
          <w:szCs w:val="32"/>
          <w:lang w:val="en-US" w:eastAsia="zh-CN"/>
        </w:rPr>
        <w:t>0</w:t>
      </w:r>
      <w:r>
        <w:rPr>
          <w:rFonts w:hint="eastAsia" w:ascii="仿宋_GB2312" w:hAnsi="仿宋_GB2312" w:eastAsia="仿宋_GB2312" w:cs="仿宋_GB2312"/>
          <w:sz w:val="32"/>
          <w:szCs w:val="32"/>
        </w:rPr>
        <w:t>万元，占</w:t>
      </w:r>
      <w:r>
        <w:rPr>
          <w:rFonts w:hint="eastAsia" w:eastAsia="仿宋_GB2312" w:cs="仿宋_GB2312"/>
          <w:sz w:val="32"/>
          <w:szCs w:val="32"/>
          <w:lang w:val="en-US" w:eastAsia="zh-CN"/>
        </w:rPr>
        <w:t>0%</w:t>
      </w:r>
      <w:r>
        <w:rPr>
          <w:rFonts w:hint="eastAsia" w:ascii="仿宋_GB2312" w:hAnsi="仿宋_GB2312" w:eastAsia="仿宋_GB2312" w:cs="仿宋_GB2312"/>
          <w:sz w:val="32"/>
          <w:szCs w:val="32"/>
        </w:rPr>
        <w:t>；公务用车购置及运行维护费支出决算</w:t>
      </w:r>
      <w:r>
        <w:rPr>
          <w:rFonts w:hint="eastAsia" w:eastAsia="仿宋_GB2312" w:cs="仿宋_GB2312"/>
          <w:sz w:val="32"/>
          <w:szCs w:val="32"/>
          <w:lang w:val="en-US" w:eastAsia="zh-CN"/>
        </w:rPr>
        <w:t>17.34</w:t>
      </w:r>
      <w:r>
        <w:rPr>
          <w:rFonts w:hint="eastAsia" w:ascii="仿宋_GB2312" w:hAnsi="仿宋_GB2312" w:eastAsia="仿宋_GB2312" w:cs="仿宋_GB2312"/>
          <w:sz w:val="32"/>
          <w:szCs w:val="32"/>
        </w:rPr>
        <w:t>万元，占</w:t>
      </w:r>
      <w:r>
        <w:rPr>
          <w:rFonts w:hint="eastAsia" w:eastAsia="仿宋_GB2312" w:cs="仿宋_GB2312"/>
          <w:sz w:val="32"/>
          <w:szCs w:val="32"/>
          <w:lang w:val="en-US" w:eastAsia="zh-CN"/>
        </w:rPr>
        <w:t>100%</w:t>
      </w:r>
      <w:r>
        <w:rPr>
          <w:rFonts w:hint="eastAsia" w:ascii="仿宋_GB2312" w:hAnsi="仿宋_GB2312" w:eastAsia="仿宋_GB2312" w:cs="仿宋_GB2312"/>
          <w:sz w:val="32"/>
          <w:szCs w:val="32"/>
        </w:rPr>
        <w:t>；公务接待费支出决算</w:t>
      </w:r>
      <w:r>
        <w:rPr>
          <w:rFonts w:hint="eastAsia" w:eastAsia="仿宋_GB2312" w:cs="仿宋_GB2312"/>
          <w:sz w:val="32"/>
          <w:szCs w:val="32"/>
          <w:lang w:val="en-US" w:eastAsia="zh-CN"/>
        </w:rPr>
        <w:t>0万元</w:t>
      </w:r>
      <w:r>
        <w:rPr>
          <w:rFonts w:hint="eastAsia" w:ascii="仿宋_GB2312" w:hAnsi="仿宋_GB2312" w:eastAsia="仿宋_GB2312" w:cs="仿宋_GB2312"/>
          <w:sz w:val="32"/>
          <w:szCs w:val="32"/>
        </w:rPr>
        <w:t>，占</w:t>
      </w:r>
      <w:r>
        <w:rPr>
          <w:rFonts w:hint="eastAsia" w:eastAsia="仿宋_GB2312" w:cs="仿宋_GB2312"/>
          <w:sz w:val="32"/>
          <w:szCs w:val="32"/>
          <w:lang w:val="en-US" w:eastAsia="zh-CN"/>
        </w:rPr>
        <w:t>0%</w:t>
      </w:r>
      <w:r>
        <w:rPr>
          <w:rFonts w:hint="eastAsia" w:ascii="仿宋_GB2312" w:hAnsi="仿宋_GB2312" w:eastAsia="仿宋_GB2312" w:cs="仿宋_GB2312"/>
          <w:sz w:val="32"/>
          <w:szCs w:val="32"/>
        </w:rPr>
        <w:t>。具体情况如下：</w:t>
      </w:r>
    </w:p>
    <w:p>
      <w:pPr>
        <w:pStyle w:val="7"/>
        <w:jc w:val="center"/>
        <w:rPr>
          <w:rFonts w:hint="eastAsia" w:ascii="仿宋_GB2312" w:hAnsi="仿宋_GB2312" w:eastAsia="仿宋_GB2312" w:cs="仿宋_GB2312"/>
          <w:sz w:val="32"/>
          <w:szCs w:val="32"/>
        </w:rPr>
      </w:pPr>
      <w:r>
        <w:drawing>
          <wp:anchor distT="0" distB="0" distL="114300" distR="114300" simplePos="0" relativeHeight="251669504" behindDoc="1" locked="0" layoutInCell="1" allowOverlap="1">
            <wp:simplePos x="0" y="0"/>
            <wp:positionH relativeFrom="column">
              <wp:posOffset>796290</wp:posOffset>
            </wp:positionH>
            <wp:positionV relativeFrom="paragraph">
              <wp:posOffset>47625</wp:posOffset>
            </wp:positionV>
            <wp:extent cx="3968750" cy="2765425"/>
            <wp:effectExtent l="4445" t="4445" r="8255" b="11430"/>
            <wp:wrapTight wrapText="bothSides">
              <wp:wrapPolygon>
                <wp:start x="-24" y="-35"/>
                <wp:lineTo x="-24" y="21540"/>
                <wp:lineTo x="21541" y="21540"/>
                <wp:lineTo x="21541" y="-35"/>
                <wp:lineTo x="-24" y="-35"/>
              </wp:wrapPolygon>
            </wp:wrapTight>
            <wp:docPr id="44156" name="图表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anchor>
        </w:drawing>
      </w:r>
    </w:p>
    <w:p>
      <w:pPr>
        <w:spacing w:line="600" w:lineRule="exact"/>
        <w:ind w:firstLine="640"/>
        <w:jc w:val="center"/>
        <w:rPr>
          <w:rFonts w:hint="eastAsia" w:eastAsia="仿宋_GB2312" w:cs="仿宋_GB2312"/>
          <w:sz w:val="32"/>
          <w:szCs w:val="32"/>
        </w:rPr>
      </w:pPr>
      <w:r>
        <w:rPr>
          <w:rFonts w:hint="eastAsia" w:eastAsia="仿宋_GB2312" w:cs="仿宋_GB2312"/>
          <w:sz w:val="32"/>
          <w:szCs w:val="32"/>
        </w:rPr>
        <w:t>（图7：“三公”经费财政拨款支出结构）</w:t>
      </w:r>
    </w:p>
    <w:p>
      <w:pPr>
        <w:spacing w:line="600" w:lineRule="exact"/>
        <w:ind w:firstLine="640"/>
        <w:rPr>
          <w:rFonts w:hint="eastAsia" w:eastAsia="仿宋_GB2312" w:cs="仿宋_GB2312"/>
          <w:sz w:val="32"/>
          <w:szCs w:val="32"/>
          <w:lang w:eastAsia="zh-CN"/>
        </w:rPr>
      </w:pPr>
      <w:r>
        <w:rPr>
          <w:rFonts w:hint="eastAsia" w:eastAsia="仿宋_GB2312" w:cs="仿宋_GB2312"/>
          <w:b/>
          <w:bCs/>
          <w:sz w:val="32"/>
          <w:szCs w:val="32"/>
        </w:rPr>
        <w:t>1.因公出国（境）经费支出</w:t>
      </w:r>
      <w:r>
        <w:rPr>
          <w:rFonts w:hint="eastAsia" w:eastAsia="仿宋_GB2312" w:cs="仿宋_GB2312"/>
          <w:b/>
          <w:bCs/>
          <w:sz w:val="32"/>
          <w:szCs w:val="32"/>
          <w:lang w:val="en-US" w:eastAsia="zh-CN"/>
        </w:rPr>
        <w:t>0</w:t>
      </w:r>
      <w:r>
        <w:rPr>
          <w:rFonts w:hint="eastAsia" w:eastAsia="仿宋_GB2312" w:cs="仿宋_GB2312"/>
          <w:b/>
          <w:bCs/>
          <w:sz w:val="32"/>
          <w:szCs w:val="32"/>
        </w:rPr>
        <w:t>万元，完成预算</w:t>
      </w:r>
      <w:r>
        <w:rPr>
          <w:rFonts w:hint="eastAsia" w:eastAsia="仿宋_GB2312" w:cs="仿宋_GB2312"/>
          <w:b/>
          <w:bCs/>
          <w:sz w:val="32"/>
          <w:szCs w:val="32"/>
          <w:lang w:val="en-US" w:eastAsia="zh-CN"/>
        </w:rPr>
        <w:t>0</w:t>
      </w:r>
      <w:r>
        <w:rPr>
          <w:rFonts w:hint="eastAsia" w:eastAsia="仿宋_GB2312" w:cs="仿宋_GB2312"/>
          <w:b/>
          <w:bCs/>
          <w:sz w:val="32"/>
          <w:szCs w:val="32"/>
        </w:rPr>
        <w:t>%。</w:t>
      </w:r>
      <w:r>
        <w:rPr>
          <w:rFonts w:hint="eastAsia" w:eastAsia="仿宋_GB2312" w:cs="仿宋_GB2312"/>
          <w:sz w:val="32"/>
          <w:szCs w:val="32"/>
        </w:rPr>
        <w:t>全年安排因公出国（境）团</w:t>
      </w:r>
      <w:r>
        <w:rPr>
          <w:rFonts w:hint="eastAsia" w:ascii="仿宋_GB2312" w:hAnsi="仿宋_GB2312" w:eastAsia="仿宋_GB2312" w:cs="仿宋_GB2312"/>
          <w:sz w:val="32"/>
          <w:szCs w:val="32"/>
        </w:rPr>
        <w:t>组</w:t>
      </w:r>
      <w:r>
        <w:rPr>
          <w:rFonts w:hint="eastAsia" w:eastAsia="仿宋_GB2312" w:cs="仿宋_GB2312"/>
          <w:sz w:val="32"/>
          <w:szCs w:val="32"/>
          <w:lang w:val="en-US" w:eastAsia="zh-CN"/>
        </w:rPr>
        <w:t>0</w:t>
      </w:r>
      <w:r>
        <w:rPr>
          <w:rFonts w:hint="eastAsia" w:eastAsia="仿宋_GB2312" w:cs="仿宋_GB2312"/>
          <w:sz w:val="32"/>
          <w:szCs w:val="32"/>
        </w:rPr>
        <w:t>次，出国（境）</w:t>
      </w:r>
      <w:r>
        <w:rPr>
          <w:rFonts w:hint="eastAsia" w:eastAsia="仿宋_GB2312" w:cs="仿宋_GB2312"/>
          <w:sz w:val="32"/>
          <w:szCs w:val="32"/>
          <w:lang w:val="en-US" w:eastAsia="zh-CN"/>
        </w:rPr>
        <w:t>0</w:t>
      </w:r>
      <w:r>
        <w:rPr>
          <w:rFonts w:hint="eastAsia" w:ascii="仿宋_GB2312" w:hAnsi="仿宋_GB2312" w:eastAsia="仿宋_GB2312" w:cs="仿宋_GB2312"/>
          <w:sz w:val="32"/>
          <w:szCs w:val="32"/>
        </w:rPr>
        <w:t>人</w:t>
      </w:r>
      <w:r>
        <w:rPr>
          <w:rFonts w:hint="eastAsia" w:eastAsia="仿宋_GB2312" w:cs="仿宋_GB2312"/>
          <w:sz w:val="32"/>
          <w:szCs w:val="32"/>
        </w:rPr>
        <w:t>。因公出国（境）支出决算</w:t>
      </w:r>
      <w:r>
        <w:rPr>
          <w:rFonts w:hint="eastAsia" w:eastAsia="仿宋_GB2312" w:cs="仿宋_GB2312"/>
          <w:sz w:val="32"/>
          <w:szCs w:val="32"/>
          <w:lang w:val="en-US" w:eastAsia="zh-CN"/>
        </w:rPr>
        <w:t>与2023</w:t>
      </w:r>
      <w:r>
        <w:rPr>
          <w:rFonts w:hint="eastAsia" w:eastAsia="仿宋_GB2312" w:cs="仿宋_GB2312"/>
          <w:sz w:val="32"/>
          <w:szCs w:val="32"/>
        </w:rPr>
        <w:t>年</w:t>
      </w:r>
      <w:r>
        <w:rPr>
          <w:rFonts w:hint="eastAsia" w:eastAsia="仿宋_GB2312" w:cs="仿宋_GB2312"/>
          <w:sz w:val="32"/>
          <w:szCs w:val="32"/>
          <w:lang w:val="en-US" w:eastAsia="zh-CN"/>
        </w:rPr>
        <w:t>一致</w:t>
      </w:r>
      <w:r>
        <w:rPr>
          <w:rFonts w:hint="eastAsia" w:eastAsia="仿宋_GB2312" w:cs="仿宋_GB2312"/>
          <w:sz w:val="32"/>
          <w:szCs w:val="32"/>
          <w:lang w:eastAsia="zh-CN"/>
        </w:rPr>
        <w:t>。</w:t>
      </w:r>
    </w:p>
    <w:p>
      <w:pPr>
        <w:spacing w:line="600" w:lineRule="exact"/>
        <w:ind w:firstLine="640"/>
        <w:rPr>
          <w:rFonts w:hint="eastAsia" w:eastAsia="仿宋_GB2312" w:cs="仿宋_GB2312"/>
          <w:sz w:val="32"/>
          <w:szCs w:val="32"/>
          <w:lang w:eastAsia="zh-CN"/>
        </w:rPr>
      </w:pPr>
      <w:r>
        <w:rPr>
          <w:rFonts w:hint="eastAsia" w:eastAsia="仿宋_GB2312" w:cs="仿宋_GB2312"/>
          <w:b/>
          <w:bCs/>
          <w:sz w:val="32"/>
          <w:szCs w:val="32"/>
        </w:rPr>
        <w:t>2.公务用车购置及运行维护费支出</w:t>
      </w:r>
      <w:r>
        <w:rPr>
          <w:rFonts w:hint="eastAsia" w:eastAsia="仿宋_GB2312" w:cs="仿宋_GB2312"/>
          <w:b/>
          <w:bCs/>
          <w:sz w:val="32"/>
          <w:szCs w:val="32"/>
          <w:lang w:val="en-US" w:eastAsia="zh-CN"/>
        </w:rPr>
        <w:t>17.34</w:t>
      </w:r>
      <w:r>
        <w:rPr>
          <w:rFonts w:hint="eastAsia" w:ascii="仿宋_GB2312" w:hAnsi="仿宋_GB2312" w:eastAsia="仿宋_GB2312" w:cs="仿宋_GB2312"/>
          <w:b/>
          <w:bCs/>
          <w:sz w:val="32"/>
          <w:szCs w:val="32"/>
        </w:rPr>
        <w:t>万</w:t>
      </w:r>
      <w:r>
        <w:rPr>
          <w:rFonts w:hint="eastAsia" w:eastAsia="仿宋_GB2312" w:cs="仿宋_GB2312"/>
          <w:b/>
          <w:bCs/>
          <w:sz w:val="32"/>
          <w:szCs w:val="32"/>
        </w:rPr>
        <w:t>元，完成预算</w:t>
      </w:r>
      <w:r>
        <w:rPr>
          <w:rFonts w:hint="eastAsia" w:eastAsia="仿宋_GB2312" w:cs="仿宋_GB2312"/>
          <w:b/>
          <w:bCs/>
          <w:sz w:val="32"/>
          <w:szCs w:val="32"/>
          <w:lang w:val="en-US" w:eastAsia="zh-CN"/>
        </w:rPr>
        <w:t>100</w:t>
      </w:r>
      <w:r>
        <w:rPr>
          <w:rFonts w:hint="eastAsia" w:eastAsia="仿宋_GB2312" w:cs="仿宋_GB2312"/>
          <w:b/>
          <w:bCs/>
          <w:sz w:val="32"/>
          <w:szCs w:val="32"/>
        </w:rPr>
        <w:t>%。</w:t>
      </w:r>
      <w:r>
        <w:rPr>
          <w:rFonts w:hint="eastAsia" w:eastAsia="仿宋_GB2312" w:cs="仿宋_GB2312"/>
          <w:sz w:val="32"/>
          <w:szCs w:val="32"/>
        </w:rPr>
        <w:t>公务用车购置及运行维护费支出决算比2023年度</w:t>
      </w:r>
      <w:r>
        <w:rPr>
          <w:rFonts w:hint="eastAsia" w:eastAsia="仿宋_GB2312" w:cs="仿宋_GB2312"/>
          <w:sz w:val="32"/>
          <w:szCs w:val="32"/>
          <w:lang w:val="en-US" w:eastAsia="zh-CN"/>
        </w:rPr>
        <w:t>增加6.94</w:t>
      </w:r>
      <w:r>
        <w:rPr>
          <w:rFonts w:hint="eastAsia" w:eastAsia="仿宋_GB2312" w:cs="仿宋_GB2312"/>
          <w:sz w:val="32"/>
          <w:szCs w:val="32"/>
        </w:rPr>
        <w:t>万元</w:t>
      </w:r>
      <w:r>
        <w:rPr>
          <w:rFonts w:hint="eastAsia" w:eastAsia="仿宋_GB2312" w:cs="仿宋_GB2312"/>
          <w:sz w:val="32"/>
          <w:szCs w:val="32"/>
          <w:lang w:eastAsia="zh-CN"/>
        </w:rPr>
        <w:t>，</w:t>
      </w:r>
      <w:r>
        <w:rPr>
          <w:rFonts w:hint="eastAsia" w:eastAsia="仿宋_GB2312" w:cs="仿宋_GB2312"/>
          <w:sz w:val="32"/>
          <w:szCs w:val="32"/>
          <w:lang w:val="en-US" w:eastAsia="zh-CN"/>
        </w:rPr>
        <w:t>增长66.7</w:t>
      </w:r>
      <w:r>
        <w:rPr>
          <w:rFonts w:hint="eastAsia" w:eastAsia="仿宋_GB2312" w:cs="仿宋_GB2312"/>
          <w:sz w:val="32"/>
          <w:szCs w:val="32"/>
        </w:rPr>
        <w:t>%。主要原因是公务用车购置及运行维护费</w:t>
      </w:r>
      <w:r>
        <w:rPr>
          <w:rFonts w:hint="eastAsia" w:eastAsia="仿宋_GB2312" w:cs="仿宋_GB2312"/>
          <w:sz w:val="32"/>
          <w:szCs w:val="32"/>
          <w:lang w:val="en-US" w:eastAsia="zh-CN"/>
        </w:rPr>
        <w:t>增加</w:t>
      </w:r>
      <w:r>
        <w:rPr>
          <w:rFonts w:hint="eastAsia" w:eastAsia="仿宋_GB2312" w:cs="仿宋_GB2312"/>
          <w:sz w:val="32"/>
          <w:szCs w:val="32"/>
          <w:lang w:eastAsia="zh-CN"/>
        </w:rPr>
        <w:t>。</w:t>
      </w:r>
    </w:p>
    <w:p>
      <w:pPr>
        <w:spacing w:line="600" w:lineRule="exact"/>
        <w:ind w:firstLine="640"/>
        <w:rPr>
          <w:rFonts w:eastAsia="仿宋_GB2312" w:cs="仿宋_GB2312"/>
          <w:sz w:val="32"/>
          <w:szCs w:val="32"/>
        </w:rPr>
      </w:pPr>
      <w:r>
        <w:rPr>
          <w:rFonts w:hint="eastAsia" w:eastAsia="仿宋_GB2312" w:cs="仿宋_GB2312"/>
          <w:sz w:val="32"/>
          <w:szCs w:val="32"/>
        </w:rPr>
        <w:t>其中：公务用车购置支</w:t>
      </w:r>
      <w:r>
        <w:rPr>
          <w:rFonts w:hint="eastAsia" w:ascii="仿宋_GB2312" w:hAnsi="仿宋_GB2312" w:eastAsia="仿宋_GB2312" w:cs="仿宋_GB2312"/>
          <w:sz w:val="32"/>
          <w:szCs w:val="32"/>
        </w:rPr>
        <w:t>出</w:t>
      </w:r>
      <w:r>
        <w:rPr>
          <w:rFonts w:hint="eastAsia" w:eastAsia="仿宋_GB2312" w:cs="仿宋_GB2312"/>
          <w:sz w:val="32"/>
          <w:szCs w:val="32"/>
          <w:lang w:val="en-US" w:eastAsia="zh-CN"/>
        </w:rPr>
        <w:t>0</w:t>
      </w:r>
      <w:r>
        <w:rPr>
          <w:rFonts w:hint="eastAsia" w:eastAsia="仿宋_GB2312" w:cs="仿宋_GB2312"/>
          <w:sz w:val="32"/>
          <w:szCs w:val="32"/>
        </w:rPr>
        <w:t>万元。全年按规定更新购置公务用车</w:t>
      </w:r>
      <w:r>
        <w:rPr>
          <w:rFonts w:hint="eastAsia" w:eastAsia="仿宋_GB2312" w:cs="仿宋_GB2312"/>
          <w:sz w:val="32"/>
          <w:szCs w:val="32"/>
          <w:lang w:val="en-US" w:eastAsia="zh-CN"/>
        </w:rPr>
        <w:t>0</w:t>
      </w:r>
      <w:r>
        <w:rPr>
          <w:rFonts w:hint="eastAsia" w:eastAsia="仿宋_GB2312" w:cs="仿宋_GB2312"/>
          <w:sz w:val="32"/>
          <w:szCs w:val="32"/>
        </w:rPr>
        <w:t>辆。截至2024年12月31日，单位共有公务用车</w:t>
      </w:r>
      <w:r>
        <w:rPr>
          <w:rFonts w:hint="eastAsia" w:eastAsia="仿宋_GB2312" w:cs="仿宋_GB2312"/>
          <w:sz w:val="32"/>
          <w:szCs w:val="32"/>
          <w:lang w:val="en-US" w:eastAsia="zh-CN"/>
        </w:rPr>
        <w:t>2</w:t>
      </w:r>
      <w:r>
        <w:rPr>
          <w:rFonts w:hint="eastAsia" w:eastAsia="仿宋_GB2312" w:cs="仿宋_GB2312"/>
          <w:sz w:val="32"/>
          <w:szCs w:val="32"/>
        </w:rPr>
        <w:t>辆，其中：</w:t>
      </w:r>
      <w:r>
        <w:rPr>
          <w:rFonts w:hint="eastAsia" w:eastAsia="仿宋_GB2312" w:cs="仿宋_GB2312"/>
          <w:sz w:val="32"/>
          <w:szCs w:val="32"/>
          <w:lang w:val="en-US" w:eastAsia="zh-CN"/>
        </w:rPr>
        <w:t>其他用车2辆</w:t>
      </w:r>
      <w:r>
        <w:rPr>
          <w:rFonts w:hint="eastAsia" w:eastAsia="仿宋_GB2312" w:cs="仿宋_GB2312"/>
          <w:sz w:val="32"/>
          <w:szCs w:val="32"/>
        </w:rPr>
        <w:t>。</w:t>
      </w:r>
    </w:p>
    <w:p>
      <w:pPr>
        <w:spacing w:line="600" w:lineRule="exact"/>
        <w:ind w:firstLine="640"/>
        <w:rPr>
          <w:rFonts w:hint="eastAsia" w:eastAsia="仿宋_GB2312" w:cs="仿宋_GB2312"/>
          <w:sz w:val="32"/>
          <w:szCs w:val="32"/>
        </w:rPr>
      </w:pPr>
      <w:r>
        <w:rPr>
          <w:rFonts w:hint="eastAsia" w:eastAsia="仿宋_GB2312" w:cs="仿宋_GB2312"/>
          <w:sz w:val="32"/>
          <w:szCs w:val="32"/>
        </w:rPr>
        <w:t>公务用车运行维护费支</w:t>
      </w:r>
      <w:r>
        <w:rPr>
          <w:rFonts w:hint="eastAsia" w:ascii="仿宋_GB2312" w:hAnsi="仿宋_GB2312" w:eastAsia="仿宋_GB2312" w:cs="仿宋_GB2312"/>
          <w:sz w:val="32"/>
          <w:szCs w:val="32"/>
        </w:rPr>
        <w:t>出</w:t>
      </w:r>
      <w:r>
        <w:rPr>
          <w:rFonts w:hint="eastAsia" w:eastAsia="仿宋_GB2312" w:cs="仿宋_GB2312"/>
          <w:sz w:val="32"/>
          <w:szCs w:val="32"/>
          <w:lang w:val="en-US" w:eastAsia="zh-CN"/>
        </w:rPr>
        <w:t>17.34</w:t>
      </w:r>
      <w:r>
        <w:rPr>
          <w:rFonts w:hint="eastAsia" w:eastAsia="仿宋_GB2312" w:cs="仿宋_GB2312"/>
          <w:sz w:val="32"/>
          <w:szCs w:val="32"/>
        </w:rPr>
        <w:t>万元。主要用于公路养护等工作所需的公务用车燃料费、维修费、过路过桥费、保险费等支出。</w:t>
      </w:r>
    </w:p>
    <w:p>
      <w:pPr>
        <w:spacing w:line="600" w:lineRule="exact"/>
        <w:ind w:firstLine="640"/>
        <w:rPr>
          <w:rFonts w:eastAsia="仿宋_GB2312" w:cs="仿宋_GB2312"/>
          <w:sz w:val="32"/>
          <w:szCs w:val="32"/>
        </w:rPr>
      </w:pPr>
      <w:r>
        <w:rPr>
          <w:rFonts w:hint="eastAsia" w:eastAsia="仿宋_GB2312" w:cs="仿宋_GB2312"/>
          <w:b/>
          <w:bCs/>
          <w:sz w:val="32"/>
          <w:szCs w:val="32"/>
        </w:rPr>
        <w:t>3.公务接待费支出</w:t>
      </w:r>
      <w:r>
        <w:rPr>
          <w:rFonts w:hint="eastAsia" w:ascii="仿宋_GB2312" w:hAnsi="仿宋_GB2312" w:eastAsia="仿宋_GB2312" w:cs="仿宋_GB2312"/>
          <w:b/>
          <w:bCs/>
          <w:sz w:val="32"/>
          <w:szCs w:val="32"/>
          <w:lang w:val="en-US" w:eastAsia="zh-CN"/>
        </w:rPr>
        <w:t>0</w:t>
      </w:r>
      <w:r>
        <w:rPr>
          <w:rFonts w:hint="eastAsia" w:ascii="仿宋_GB2312" w:hAnsi="仿宋_GB2312" w:eastAsia="仿宋_GB2312" w:cs="仿宋_GB2312"/>
          <w:b/>
          <w:bCs/>
          <w:sz w:val="32"/>
          <w:szCs w:val="32"/>
        </w:rPr>
        <w:t>万</w:t>
      </w:r>
      <w:r>
        <w:rPr>
          <w:rFonts w:hint="eastAsia" w:eastAsia="仿宋_GB2312" w:cs="仿宋_GB2312"/>
          <w:b/>
          <w:bCs/>
          <w:sz w:val="32"/>
          <w:szCs w:val="32"/>
        </w:rPr>
        <w:t>元，</w:t>
      </w:r>
      <w:r>
        <w:rPr>
          <w:rFonts w:hint="eastAsia" w:eastAsia="仿宋_GB2312" w:cs="仿宋_GB2312"/>
          <w:b/>
          <w:bCs/>
          <w:sz w:val="32"/>
          <w:szCs w:val="32"/>
          <w:lang w:val="en-US" w:eastAsia="zh-CN"/>
        </w:rPr>
        <w:t>未</w:t>
      </w:r>
      <w:r>
        <w:rPr>
          <w:rFonts w:hint="eastAsia" w:eastAsia="仿宋_GB2312" w:cs="仿宋_GB2312"/>
          <w:b/>
          <w:bCs/>
          <w:sz w:val="32"/>
          <w:szCs w:val="32"/>
        </w:rPr>
        <w:t>完成预算。</w:t>
      </w:r>
      <w:r>
        <w:rPr>
          <w:rFonts w:hint="eastAsia" w:eastAsia="仿宋_GB2312" w:cs="仿宋_GB2312"/>
          <w:sz w:val="32"/>
          <w:szCs w:val="32"/>
        </w:rPr>
        <w:t>公务接待费支出决算比2023年度</w:t>
      </w:r>
      <w:r>
        <w:rPr>
          <w:rFonts w:hint="eastAsia" w:eastAsia="仿宋_GB2312" w:cs="仿宋_GB2312"/>
          <w:sz w:val="32"/>
          <w:szCs w:val="32"/>
          <w:lang w:val="en-US" w:eastAsia="zh-CN"/>
        </w:rPr>
        <w:t>减少0.15</w:t>
      </w:r>
      <w:r>
        <w:rPr>
          <w:rFonts w:hint="eastAsia" w:eastAsia="仿宋_GB2312" w:cs="仿宋_GB2312"/>
          <w:sz w:val="32"/>
          <w:szCs w:val="32"/>
        </w:rPr>
        <w:t>万元，</w:t>
      </w:r>
      <w:r>
        <w:rPr>
          <w:rFonts w:hint="eastAsia" w:eastAsia="仿宋_GB2312" w:cs="仿宋_GB2312"/>
          <w:sz w:val="32"/>
          <w:szCs w:val="32"/>
          <w:lang w:val="en-US" w:eastAsia="zh-CN"/>
        </w:rPr>
        <w:t>下降100</w:t>
      </w:r>
      <w:r>
        <w:rPr>
          <w:rFonts w:hint="eastAsia" w:eastAsia="仿宋_GB2312" w:cs="仿宋_GB2312"/>
          <w:sz w:val="32"/>
          <w:szCs w:val="32"/>
        </w:rPr>
        <w:t>%。主要原因是</w:t>
      </w:r>
      <w:r>
        <w:rPr>
          <w:rFonts w:hint="eastAsia" w:eastAsia="仿宋_GB2312" w:cs="仿宋_GB2312"/>
          <w:sz w:val="32"/>
          <w:szCs w:val="32"/>
          <w:lang w:val="en-US" w:eastAsia="zh-CN"/>
        </w:rPr>
        <w:t>本年减少公务接待支出</w:t>
      </w:r>
      <w:r>
        <w:rPr>
          <w:rFonts w:hint="eastAsia" w:eastAsia="仿宋_GB2312" w:cs="仿宋_GB2312"/>
          <w:sz w:val="32"/>
          <w:szCs w:val="32"/>
        </w:rPr>
        <w:t>。其中：</w:t>
      </w:r>
    </w:p>
    <w:p>
      <w:pPr>
        <w:spacing w:line="600" w:lineRule="exact"/>
        <w:ind w:firstLine="640"/>
        <w:rPr>
          <w:rFonts w:hint="default" w:eastAsia="仿宋_GB2312" w:cs="仿宋_GB2312"/>
          <w:sz w:val="32"/>
          <w:szCs w:val="32"/>
          <w:highlight w:val="none"/>
          <w:lang w:val="en-US"/>
        </w:rPr>
      </w:pPr>
      <w:r>
        <w:rPr>
          <w:rFonts w:hint="eastAsia" w:eastAsia="仿宋_GB2312" w:cs="仿宋_GB2312"/>
          <w:sz w:val="32"/>
          <w:szCs w:val="32"/>
          <w:highlight w:val="none"/>
        </w:rPr>
        <w:t>国内公务接待支</w:t>
      </w:r>
      <w:r>
        <w:rPr>
          <w:rFonts w:hint="eastAsia" w:ascii="仿宋_GB2312" w:hAnsi="仿宋_GB2312" w:eastAsia="仿宋_GB2312" w:cs="仿宋_GB2312"/>
          <w:sz w:val="32"/>
          <w:szCs w:val="32"/>
          <w:highlight w:val="none"/>
        </w:rPr>
        <w:t>出</w:t>
      </w:r>
      <w:r>
        <w:rPr>
          <w:rFonts w:hint="eastAsia" w:eastAsia="仿宋_GB2312" w:cs="仿宋_GB2312"/>
          <w:sz w:val="32"/>
          <w:szCs w:val="32"/>
          <w:lang w:val="en-US" w:eastAsia="zh-CN"/>
        </w:rPr>
        <w:t>0</w:t>
      </w:r>
      <w:r>
        <w:rPr>
          <w:rFonts w:hint="eastAsia" w:ascii="仿宋_GB2312" w:hAnsi="仿宋_GB2312" w:eastAsia="仿宋_GB2312" w:cs="仿宋_GB2312"/>
          <w:sz w:val="32"/>
          <w:szCs w:val="32"/>
          <w:highlight w:val="none"/>
        </w:rPr>
        <w:t>万</w:t>
      </w:r>
      <w:r>
        <w:rPr>
          <w:rFonts w:hint="eastAsia" w:eastAsia="仿宋_GB2312" w:cs="仿宋_GB2312"/>
          <w:sz w:val="32"/>
          <w:szCs w:val="32"/>
          <w:highlight w:val="none"/>
        </w:rPr>
        <w:t>元</w:t>
      </w:r>
      <w:r>
        <w:rPr>
          <w:rFonts w:hint="eastAsia" w:eastAsia="仿宋_GB2312" w:cs="仿宋_GB2312"/>
          <w:sz w:val="32"/>
          <w:szCs w:val="32"/>
          <w:highlight w:val="none"/>
          <w:lang w:val="en-US" w:eastAsia="zh-CN"/>
        </w:rPr>
        <w:t>。</w:t>
      </w:r>
    </w:p>
    <w:p>
      <w:pPr>
        <w:spacing w:line="600" w:lineRule="exact"/>
        <w:ind w:firstLine="640"/>
        <w:rPr>
          <w:rFonts w:hint="eastAsia" w:eastAsia="仿宋_GB2312" w:cs="仿宋_GB2312"/>
          <w:sz w:val="32"/>
          <w:szCs w:val="32"/>
          <w:lang w:eastAsia="zh-CN"/>
        </w:rPr>
      </w:pPr>
      <w:r>
        <w:rPr>
          <w:rFonts w:hint="eastAsia" w:eastAsia="仿宋_GB2312" w:cs="仿宋_GB2312"/>
          <w:sz w:val="32"/>
          <w:szCs w:val="32"/>
        </w:rPr>
        <w:t>外事接待支</w:t>
      </w:r>
      <w:r>
        <w:rPr>
          <w:rFonts w:hint="eastAsia" w:ascii="仿宋_GB2312" w:hAnsi="仿宋_GB2312" w:eastAsia="仿宋_GB2312" w:cs="仿宋_GB2312"/>
          <w:sz w:val="32"/>
          <w:szCs w:val="32"/>
        </w:rPr>
        <w:t>出</w:t>
      </w:r>
      <w:r>
        <w:rPr>
          <w:rFonts w:hint="eastAsia" w:eastAsia="仿宋_GB2312" w:cs="仿宋_GB2312"/>
          <w:sz w:val="32"/>
          <w:szCs w:val="32"/>
          <w:lang w:val="en-US" w:eastAsia="zh-CN"/>
        </w:rPr>
        <w:t>0</w:t>
      </w:r>
      <w:r>
        <w:rPr>
          <w:rFonts w:hint="eastAsia" w:ascii="仿宋_GB2312" w:hAnsi="仿宋_GB2312" w:eastAsia="仿宋_GB2312" w:cs="仿宋_GB2312"/>
          <w:sz w:val="32"/>
          <w:szCs w:val="32"/>
        </w:rPr>
        <w:t>万元</w:t>
      </w:r>
      <w:bookmarkStart w:id="45" w:name="_Toc15377218"/>
      <w:bookmarkStart w:id="46" w:name="_Toc15396610"/>
      <w:r>
        <w:rPr>
          <w:rFonts w:hint="eastAsia" w:ascii="仿宋_GB2312" w:hAnsi="仿宋_GB2312" w:eastAsia="仿宋_GB2312" w:cs="仿宋_GB2312"/>
          <w:sz w:val="32"/>
          <w:szCs w:val="32"/>
          <w:lang w:eastAsia="zh-CN"/>
        </w:rPr>
        <w:t>。</w:t>
      </w:r>
    </w:p>
    <w:p>
      <w:pPr>
        <w:spacing w:line="600" w:lineRule="exact"/>
        <w:ind w:firstLine="640"/>
        <w:outlineLvl w:val="1"/>
        <w:rPr>
          <w:rStyle w:val="29"/>
          <w:rFonts w:ascii="Times New Roman" w:hAnsi="Times New Roman" w:eastAsia="黑体"/>
        </w:rPr>
      </w:pPr>
      <w:bookmarkStart w:id="47" w:name="_Toc23203"/>
      <w:r>
        <w:rPr>
          <w:rFonts w:hint="eastAsia" w:eastAsia="黑体"/>
          <w:sz w:val="32"/>
          <w:szCs w:val="32"/>
        </w:rPr>
        <w:t>八、</w:t>
      </w:r>
      <w:r>
        <w:rPr>
          <w:rStyle w:val="29"/>
          <w:rFonts w:hint="eastAsia" w:ascii="Times New Roman" w:hAnsi="Times New Roman" w:eastAsia="黑体"/>
          <w:b w:val="0"/>
        </w:rPr>
        <w:t>政府性基金预算支出决算情况说明</w:t>
      </w:r>
      <w:bookmarkEnd w:id="45"/>
      <w:bookmarkEnd w:id="46"/>
      <w:bookmarkEnd w:id="47"/>
    </w:p>
    <w:p>
      <w:pPr>
        <w:spacing w:line="600" w:lineRule="exact"/>
        <w:ind w:firstLine="640"/>
        <w:rPr>
          <w:rFonts w:hint="eastAsia"/>
          <w:lang w:eastAsia="zh-CN"/>
        </w:rPr>
      </w:pPr>
      <w:r>
        <w:rPr>
          <w:rFonts w:hint="eastAsia" w:eastAsia="仿宋_GB2312" w:cs="仿宋_GB2312"/>
          <w:sz w:val="32"/>
          <w:szCs w:val="32"/>
        </w:rPr>
        <w:t>2024</w:t>
      </w:r>
      <w:r>
        <w:rPr>
          <w:rFonts w:hint="eastAsia" w:ascii="仿宋_GB2312" w:hAnsi="仿宋_GB2312" w:eastAsia="仿宋_GB2312" w:cs="仿宋_GB2312"/>
          <w:sz w:val="32"/>
          <w:szCs w:val="32"/>
        </w:rPr>
        <w:t>年度政府性基金预算财政拨款支出</w:t>
      </w:r>
      <w:r>
        <w:rPr>
          <w:rFonts w:hint="eastAsia" w:eastAsia="仿宋_GB2312" w:cs="仿宋_GB2312"/>
          <w:sz w:val="32"/>
          <w:szCs w:val="32"/>
          <w:lang w:val="en-US" w:eastAsia="zh-CN"/>
        </w:rPr>
        <w:t>0</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w:t>
      </w:r>
      <w:r>
        <w:rPr>
          <w:rFonts w:hint="eastAsia" w:eastAsia="仿宋_GB2312" w:cs="仿宋_GB2312"/>
          <w:sz w:val="32"/>
          <w:szCs w:val="32"/>
        </w:rPr>
        <w:t>与2023年度</w:t>
      </w:r>
      <w:r>
        <w:rPr>
          <w:rFonts w:hint="eastAsia" w:eastAsia="仿宋_GB2312" w:cs="仿宋_GB2312"/>
          <w:sz w:val="32"/>
          <w:szCs w:val="32"/>
          <w:lang w:val="en-US" w:eastAsia="zh-CN"/>
        </w:rPr>
        <w:t>一致</w:t>
      </w:r>
      <w:r>
        <w:rPr>
          <w:rFonts w:hint="eastAsia" w:eastAsia="仿宋_GB2312" w:cs="仿宋_GB2312"/>
          <w:sz w:val="32"/>
          <w:szCs w:val="32"/>
          <w:lang w:eastAsia="zh-CN"/>
        </w:rPr>
        <w:t>。</w:t>
      </w:r>
    </w:p>
    <w:p>
      <w:pPr>
        <w:spacing w:line="600" w:lineRule="exact"/>
        <w:ind w:left="630"/>
        <w:outlineLvl w:val="1"/>
        <w:rPr>
          <w:rStyle w:val="29"/>
          <w:rFonts w:ascii="Times New Roman" w:hAnsi="Times New Roman" w:eastAsia="黑体"/>
          <w:b w:val="0"/>
        </w:rPr>
      </w:pPr>
      <w:bookmarkStart w:id="48" w:name="_Toc14890"/>
      <w:bookmarkStart w:id="49" w:name="_Toc15377219"/>
      <w:bookmarkStart w:id="50" w:name="_Toc15396611"/>
      <w:r>
        <w:rPr>
          <w:rStyle w:val="29"/>
          <w:rFonts w:hint="eastAsia" w:ascii="Times New Roman" w:hAnsi="Times New Roman" w:eastAsia="黑体"/>
          <w:b w:val="0"/>
        </w:rPr>
        <w:t>九、国有资本经营预算支出决算情况说明</w:t>
      </w:r>
      <w:bookmarkEnd w:id="48"/>
      <w:bookmarkEnd w:id="49"/>
      <w:bookmarkEnd w:id="50"/>
    </w:p>
    <w:p>
      <w:pPr>
        <w:spacing w:line="600" w:lineRule="exact"/>
        <w:ind w:firstLine="640"/>
        <w:rPr>
          <w:rFonts w:hint="eastAsia"/>
          <w:lang w:eastAsia="zh-CN"/>
        </w:rPr>
      </w:pPr>
      <w:r>
        <w:rPr>
          <w:rFonts w:hint="eastAsia" w:eastAsia="仿宋_GB2312" w:cs="仿宋_GB2312"/>
          <w:sz w:val="32"/>
          <w:szCs w:val="32"/>
        </w:rPr>
        <w:t>2024年度国有资本经营预算财政拨款支出</w:t>
      </w:r>
      <w:r>
        <w:rPr>
          <w:rFonts w:hint="eastAsia" w:eastAsia="仿宋_GB2312" w:cs="仿宋_GB2312"/>
          <w:sz w:val="32"/>
          <w:szCs w:val="32"/>
          <w:lang w:val="en-US" w:eastAsia="zh-CN"/>
        </w:rPr>
        <w:t>0</w:t>
      </w:r>
      <w:r>
        <w:rPr>
          <w:rFonts w:hint="eastAsia" w:ascii="仿宋_GB2312" w:hAnsi="仿宋_GB2312" w:eastAsia="仿宋_GB2312" w:cs="仿宋_GB2312"/>
          <w:sz w:val="32"/>
          <w:szCs w:val="32"/>
        </w:rPr>
        <w:t>万元</w:t>
      </w:r>
      <w:r>
        <w:rPr>
          <w:rFonts w:hint="eastAsia" w:eastAsia="仿宋_GB2312" w:cs="仿宋_GB2312"/>
          <w:sz w:val="32"/>
          <w:szCs w:val="32"/>
        </w:rPr>
        <w:t>。与2023年度</w:t>
      </w:r>
      <w:r>
        <w:rPr>
          <w:rFonts w:hint="eastAsia" w:eastAsia="仿宋_GB2312" w:cs="仿宋_GB2312"/>
          <w:sz w:val="32"/>
          <w:szCs w:val="32"/>
          <w:lang w:val="en-US" w:eastAsia="zh-CN"/>
        </w:rPr>
        <w:t>一致</w:t>
      </w:r>
      <w:r>
        <w:rPr>
          <w:rFonts w:hint="eastAsia" w:eastAsia="仿宋_GB2312" w:cs="仿宋_GB2312"/>
          <w:sz w:val="32"/>
          <w:szCs w:val="32"/>
          <w:lang w:eastAsia="zh-CN"/>
        </w:rPr>
        <w:t>。</w:t>
      </w:r>
    </w:p>
    <w:p>
      <w:pPr>
        <w:spacing w:line="600" w:lineRule="exact"/>
        <w:ind w:left="630"/>
        <w:outlineLvl w:val="1"/>
        <w:rPr>
          <w:rStyle w:val="29"/>
          <w:rFonts w:ascii="Times New Roman" w:hAnsi="Times New Roman" w:eastAsia="黑体"/>
          <w:b w:val="0"/>
        </w:rPr>
      </w:pPr>
      <w:bookmarkStart w:id="51" w:name="_Toc15377221"/>
      <w:bookmarkStart w:id="52" w:name="_Toc17012"/>
      <w:bookmarkStart w:id="53" w:name="_Toc15396612"/>
      <w:r>
        <w:rPr>
          <w:rStyle w:val="29"/>
          <w:rFonts w:hint="eastAsia" w:ascii="Times New Roman" w:hAnsi="Times New Roman" w:eastAsia="黑体"/>
          <w:b w:val="0"/>
        </w:rPr>
        <w:t>十、其他重要事项的情况说明</w:t>
      </w:r>
      <w:bookmarkEnd w:id="51"/>
      <w:bookmarkEnd w:id="52"/>
      <w:bookmarkEnd w:id="53"/>
    </w:p>
    <w:p>
      <w:pPr>
        <w:spacing w:line="600" w:lineRule="exact"/>
        <w:ind w:firstLine="643" w:firstLineChars="200"/>
        <w:outlineLvl w:val="2"/>
        <w:rPr>
          <w:rFonts w:eastAsia="楷体_GB2312" w:cs="楷体_GB2312"/>
          <w:b/>
          <w:sz w:val="32"/>
          <w:szCs w:val="32"/>
        </w:rPr>
      </w:pPr>
      <w:bookmarkStart w:id="54" w:name="_Toc15377222"/>
      <w:r>
        <w:rPr>
          <w:rFonts w:hint="eastAsia" w:eastAsia="楷体_GB2312" w:cs="楷体_GB2312"/>
          <w:b/>
          <w:sz w:val="32"/>
          <w:szCs w:val="32"/>
        </w:rPr>
        <w:t>（一）机关运行经费支出情况</w:t>
      </w:r>
      <w:bookmarkEnd w:id="54"/>
    </w:p>
    <w:p>
      <w:pPr>
        <w:spacing w:line="600" w:lineRule="exact"/>
        <w:ind w:firstLine="640"/>
        <w:rPr>
          <w:rFonts w:hint="eastAsia" w:eastAsia="仿宋_GB2312" w:cs="仿宋_GB2312"/>
          <w:sz w:val="32"/>
          <w:szCs w:val="32"/>
          <w:lang w:eastAsia="zh-CN"/>
        </w:rPr>
      </w:pPr>
      <w:r>
        <w:rPr>
          <w:rFonts w:hint="eastAsia" w:eastAsia="仿宋_GB2312" w:cs="仿宋_GB2312"/>
          <w:sz w:val="32"/>
          <w:szCs w:val="32"/>
        </w:rPr>
        <w:t>2024年度</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阿坝藏族羌族自治州公路管理局马尔康公路管理分局</w:t>
      </w:r>
      <w:r>
        <w:rPr>
          <w:rFonts w:hint="eastAsia" w:ascii="仿宋_GB2312" w:hAnsi="仿宋_GB2312" w:eastAsia="仿宋_GB2312" w:cs="仿宋_GB2312"/>
          <w:sz w:val="32"/>
          <w:szCs w:val="32"/>
        </w:rPr>
        <w:t>机关运行经费支出</w:t>
      </w:r>
      <w:r>
        <w:rPr>
          <w:rFonts w:hint="eastAsia" w:eastAsia="仿宋_GB2312" w:cs="仿宋_GB2312"/>
          <w:sz w:val="32"/>
          <w:szCs w:val="32"/>
          <w:lang w:val="en-US" w:eastAsia="zh-CN"/>
        </w:rPr>
        <w:t>0</w:t>
      </w:r>
      <w:r>
        <w:rPr>
          <w:rFonts w:hint="eastAsia" w:ascii="仿宋_GB2312" w:hAnsi="仿宋_GB2312" w:eastAsia="仿宋_GB2312" w:cs="仿宋_GB2312"/>
          <w:sz w:val="32"/>
          <w:szCs w:val="32"/>
        </w:rPr>
        <w:t>万</w:t>
      </w:r>
      <w:r>
        <w:rPr>
          <w:rFonts w:hint="eastAsia" w:eastAsia="仿宋_GB2312" w:cs="仿宋_GB2312"/>
          <w:sz w:val="32"/>
          <w:szCs w:val="32"/>
        </w:rPr>
        <w:t>元，与2023年度决算数持平</w:t>
      </w:r>
      <w:r>
        <w:rPr>
          <w:rFonts w:hint="eastAsia" w:eastAsia="仿宋_GB2312" w:cs="仿宋_GB2312"/>
          <w:sz w:val="32"/>
          <w:szCs w:val="32"/>
          <w:lang w:eastAsia="zh-CN"/>
        </w:rPr>
        <w:t>。</w:t>
      </w:r>
    </w:p>
    <w:p>
      <w:pPr>
        <w:spacing w:line="600" w:lineRule="exact"/>
        <w:ind w:firstLine="643" w:firstLineChars="200"/>
        <w:outlineLvl w:val="2"/>
        <w:rPr>
          <w:rFonts w:eastAsia="楷体_GB2312" w:cs="楷体_GB2312"/>
          <w:b/>
          <w:sz w:val="32"/>
          <w:szCs w:val="32"/>
        </w:rPr>
      </w:pPr>
      <w:bookmarkStart w:id="55" w:name="_Toc15377223"/>
      <w:r>
        <w:rPr>
          <w:rFonts w:hint="eastAsia" w:eastAsia="楷体_GB2312" w:cs="楷体_GB2312"/>
          <w:b/>
          <w:sz w:val="32"/>
          <w:szCs w:val="32"/>
        </w:rPr>
        <w:t>（二）政府采购支出情况</w:t>
      </w:r>
      <w:bookmarkEnd w:id="55"/>
    </w:p>
    <w:p>
      <w:pPr>
        <w:spacing w:line="600" w:lineRule="exact"/>
        <w:ind w:firstLine="640"/>
        <w:rPr>
          <w:rFonts w:hint="eastAsia" w:ascii="仿宋_GB2312" w:hAnsi="仿宋_GB2312" w:eastAsia="仿宋_GB2312" w:cs="仿宋_GB2312"/>
          <w:sz w:val="32"/>
          <w:szCs w:val="32"/>
        </w:rPr>
      </w:pPr>
      <w:r>
        <w:rPr>
          <w:rFonts w:hint="eastAsia" w:eastAsia="仿宋_GB2312" w:cs="仿宋_GB2312"/>
          <w:sz w:val="32"/>
          <w:szCs w:val="32"/>
        </w:rPr>
        <w:t>2024</w:t>
      </w:r>
      <w:r>
        <w:rPr>
          <w:rFonts w:hint="eastAsia" w:ascii="仿宋_GB2312" w:hAnsi="仿宋_GB2312" w:eastAsia="仿宋_GB2312" w:cs="仿宋_GB2312"/>
          <w:sz w:val="32"/>
          <w:szCs w:val="32"/>
        </w:rPr>
        <w:t>年度，</w:t>
      </w:r>
      <w:r>
        <w:rPr>
          <w:rFonts w:hint="eastAsia" w:ascii="仿宋_GB2312" w:hAnsi="仿宋_GB2312" w:eastAsia="仿宋_GB2312" w:cs="仿宋_GB2312"/>
          <w:sz w:val="32"/>
          <w:szCs w:val="32"/>
          <w:lang w:val="en-US" w:eastAsia="zh-CN"/>
        </w:rPr>
        <w:t>阿坝藏族羌族自治州公路管理局马尔康公路管理分局</w:t>
      </w:r>
      <w:r>
        <w:rPr>
          <w:rFonts w:hint="eastAsia" w:ascii="仿宋_GB2312" w:hAnsi="仿宋_GB2312" w:eastAsia="仿宋_GB2312" w:cs="仿宋_GB2312"/>
          <w:sz w:val="32"/>
          <w:szCs w:val="32"/>
        </w:rPr>
        <w:t>政府采购支出总额</w:t>
      </w:r>
      <w:r>
        <w:rPr>
          <w:rFonts w:hint="eastAsia" w:eastAsia="仿宋_GB2312" w:cs="仿宋_GB2312"/>
          <w:sz w:val="32"/>
          <w:szCs w:val="32"/>
          <w:lang w:val="en-US" w:eastAsia="zh-CN"/>
        </w:rPr>
        <w:t>0</w:t>
      </w:r>
      <w:r>
        <w:rPr>
          <w:rFonts w:hint="eastAsia" w:ascii="仿宋_GB2312" w:hAnsi="仿宋_GB2312" w:eastAsia="仿宋_GB2312" w:cs="仿宋_GB2312"/>
          <w:sz w:val="32"/>
          <w:szCs w:val="32"/>
        </w:rPr>
        <w:t>万元，其中：政府采购货物支出</w:t>
      </w:r>
      <w:r>
        <w:rPr>
          <w:rFonts w:hint="eastAsia" w:eastAsia="仿宋_GB2312" w:cs="仿宋_GB2312"/>
          <w:sz w:val="32"/>
          <w:szCs w:val="32"/>
          <w:lang w:val="en-US" w:eastAsia="zh-CN"/>
        </w:rPr>
        <w:t>0</w:t>
      </w:r>
      <w:r>
        <w:rPr>
          <w:rFonts w:hint="eastAsia" w:ascii="仿宋_GB2312" w:hAnsi="仿宋_GB2312" w:eastAsia="仿宋_GB2312" w:cs="仿宋_GB2312"/>
          <w:sz w:val="32"/>
          <w:szCs w:val="32"/>
        </w:rPr>
        <w:t>万元、政府采购工程支出</w:t>
      </w:r>
      <w:r>
        <w:rPr>
          <w:rFonts w:hint="eastAsia" w:eastAsia="仿宋_GB2312" w:cs="仿宋_GB2312"/>
          <w:sz w:val="32"/>
          <w:szCs w:val="32"/>
          <w:lang w:val="en-US" w:eastAsia="zh-CN"/>
        </w:rPr>
        <w:t>0</w:t>
      </w:r>
      <w:r>
        <w:rPr>
          <w:rFonts w:hint="eastAsia" w:ascii="仿宋_GB2312" w:hAnsi="仿宋_GB2312" w:eastAsia="仿宋_GB2312" w:cs="仿宋_GB2312"/>
          <w:sz w:val="32"/>
          <w:szCs w:val="32"/>
        </w:rPr>
        <w:t>万元、政府采购服务支</w:t>
      </w:r>
      <w:r>
        <w:rPr>
          <w:rFonts w:hint="eastAsia" w:ascii="仿宋_GB2312" w:hAnsi="仿宋_GB2312" w:eastAsia="仿宋_GB2312" w:cs="仿宋_GB2312"/>
          <w:sz w:val="32"/>
          <w:szCs w:val="32"/>
          <w:lang w:val="en-US" w:eastAsia="zh-CN"/>
        </w:rPr>
        <w:t>出</w:t>
      </w:r>
      <w:r>
        <w:rPr>
          <w:rFonts w:hint="eastAsia" w:eastAsia="仿宋_GB2312" w:cs="仿宋_GB2312"/>
          <w:sz w:val="32"/>
          <w:szCs w:val="32"/>
          <w:lang w:val="en-US" w:eastAsia="zh-CN"/>
        </w:rPr>
        <w:t>0</w:t>
      </w:r>
      <w:r>
        <w:rPr>
          <w:rFonts w:hint="eastAsia" w:ascii="仿宋_GB2312" w:hAnsi="仿宋_GB2312" w:eastAsia="仿宋_GB2312" w:cs="仿宋_GB2312"/>
          <w:sz w:val="32"/>
          <w:szCs w:val="32"/>
        </w:rPr>
        <w:t>万元。主要用于</w:t>
      </w:r>
      <w:r>
        <w:rPr>
          <w:rFonts w:hint="eastAsia" w:ascii="仿宋_GB2312" w:hAnsi="仿宋_GB2312" w:eastAsia="仿宋_GB2312" w:cs="仿宋_GB2312"/>
          <w:sz w:val="32"/>
          <w:szCs w:val="32"/>
          <w:lang w:val="en-US" w:eastAsia="zh-CN"/>
        </w:rPr>
        <w:t>单位日常工作开展</w:t>
      </w:r>
      <w:r>
        <w:rPr>
          <w:rFonts w:hint="eastAsia" w:ascii="仿宋_GB2312" w:hAnsi="仿宋_GB2312" w:eastAsia="仿宋_GB2312" w:cs="仿宋_GB2312"/>
          <w:sz w:val="32"/>
          <w:szCs w:val="32"/>
        </w:rPr>
        <w:t>。授予中小企业合同金额</w:t>
      </w:r>
      <w:r>
        <w:rPr>
          <w:rFonts w:hint="eastAsia" w:eastAsia="仿宋_GB2312" w:cs="仿宋_GB2312"/>
          <w:sz w:val="32"/>
          <w:szCs w:val="32"/>
          <w:lang w:val="en-US" w:eastAsia="zh-CN"/>
        </w:rPr>
        <w:t>0</w:t>
      </w:r>
      <w:r>
        <w:rPr>
          <w:rFonts w:hint="eastAsia" w:ascii="仿宋_GB2312" w:hAnsi="仿宋_GB2312" w:eastAsia="仿宋_GB2312" w:cs="仿宋_GB2312"/>
          <w:sz w:val="32"/>
          <w:szCs w:val="32"/>
        </w:rPr>
        <w:t>万元，占政府采购支出总额的</w:t>
      </w:r>
      <w:r>
        <w:rPr>
          <w:rFonts w:hint="eastAsia" w:eastAsia="仿宋_GB2312" w:cs="仿宋_GB2312"/>
          <w:sz w:val="32"/>
          <w:szCs w:val="32"/>
          <w:lang w:val="en-US" w:eastAsia="zh-CN"/>
        </w:rPr>
        <w:t>0%</w:t>
      </w:r>
      <w:r>
        <w:rPr>
          <w:rFonts w:hint="eastAsia" w:ascii="仿宋_GB2312" w:hAnsi="仿宋_GB2312" w:eastAsia="仿宋_GB2312" w:cs="仿宋_GB2312"/>
          <w:sz w:val="32"/>
          <w:szCs w:val="32"/>
        </w:rPr>
        <w:t>，其中：授予小微企业合同金额</w:t>
      </w:r>
      <w:r>
        <w:rPr>
          <w:rFonts w:hint="eastAsia" w:eastAsia="仿宋_GB2312" w:cs="仿宋_GB2312"/>
          <w:sz w:val="32"/>
          <w:szCs w:val="32"/>
          <w:lang w:val="en-US" w:eastAsia="zh-CN"/>
        </w:rPr>
        <w:t>0万</w:t>
      </w:r>
      <w:r>
        <w:rPr>
          <w:rFonts w:hint="eastAsia" w:ascii="仿宋_GB2312" w:hAnsi="仿宋_GB2312" w:eastAsia="仿宋_GB2312" w:cs="仿宋_GB2312"/>
          <w:sz w:val="32"/>
          <w:szCs w:val="32"/>
        </w:rPr>
        <w:t>元，占政府采购支出总额的</w:t>
      </w:r>
      <w:r>
        <w:rPr>
          <w:rFonts w:hint="eastAsia" w:eastAsia="仿宋_GB2312" w:cs="仿宋_GB2312"/>
          <w:sz w:val="32"/>
          <w:szCs w:val="32"/>
          <w:lang w:val="en-US" w:eastAsia="zh-CN"/>
        </w:rPr>
        <w:t>0%</w:t>
      </w:r>
      <w:r>
        <w:rPr>
          <w:rFonts w:hint="eastAsia" w:ascii="仿宋_GB2312" w:hAnsi="仿宋_GB2312" w:eastAsia="仿宋_GB2312" w:cs="仿宋_GB2312"/>
          <w:sz w:val="32"/>
          <w:szCs w:val="32"/>
        </w:rPr>
        <w:t>。</w:t>
      </w:r>
    </w:p>
    <w:p>
      <w:pPr>
        <w:spacing w:line="600" w:lineRule="exact"/>
        <w:ind w:firstLine="643" w:firstLineChars="200"/>
        <w:outlineLvl w:val="2"/>
        <w:rPr>
          <w:rFonts w:eastAsia="楷体_GB2312" w:cs="楷体_GB2312"/>
          <w:b/>
          <w:sz w:val="32"/>
          <w:szCs w:val="32"/>
        </w:rPr>
      </w:pPr>
      <w:bookmarkStart w:id="56" w:name="_Toc15377224"/>
      <w:r>
        <w:rPr>
          <w:rFonts w:hint="eastAsia" w:eastAsia="楷体_GB2312" w:cs="楷体_GB2312"/>
          <w:b/>
          <w:sz w:val="32"/>
          <w:szCs w:val="32"/>
        </w:rPr>
        <w:t>（三）国有资产占有使用情况</w:t>
      </w:r>
      <w:bookmarkEnd w:id="56"/>
    </w:p>
    <w:p>
      <w:pPr>
        <w:spacing w:line="600" w:lineRule="exact"/>
        <w:ind w:firstLine="640"/>
        <w:rPr>
          <w:rFonts w:eastAsia="仿宋_GB2312" w:cs="仿宋_GB2312"/>
          <w:sz w:val="32"/>
          <w:szCs w:val="32"/>
        </w:rPr>
      </w:pPr>
      <w:r>
        <w:rPr>
          <w:rFonts w:hint="eastAsia" w:ascii="仿宋_GB2312" w:hAnsi="仿宋_GB2312" w:eastAsia="仿宋_GB2312" w:cs="仿宋_GB2312"/>
          <w:sz w:val="32"/>
          <w:szCs w:val="32"/>
        </w:rPr>
        <w:t>截</w:t>
      </w:r>
      <w:r>
        <w:rPr>
          <w:rFonts w:hint="eastAsia" w:eastAsia="仿宋_GB2312" w:cs="仿宋_GB2312"/>
          <w:sz w:val="32"/>
          <w:szCs w:val="32"/>
          <w:lang w:val="en-US" w:eastAsia="zh-CN"/>
        </w:rPr>
        <w:t>至2024</w:t>
      </w:r>
      <w:r>
        <w:rPr>
          <w:rFonts w:hint="eastAsia" w:ascii="仿宋_GB2312" w:hAnsi="仿宋_GB2312" w:eastAsia="仿宋_GB2312" w:cs="仿宋_GB2312"/>
          <w:sz w:val="32"/>
          <w:szCs w:val="32"/>
        </w:rPr>
        <w:t>年</w:t>
      </w:r>
      <w:r>
        <w:rPr>
          <w:rFonts w:hint="eastAsia" w:eastAsia="仿宋_GB2312" w:cs="仿宋_GB2312"/>
          <w:sz w:val="32"/>
          <w:szCs w:val="32"/>
          <w:lang w:val="en-US" w:eastAsia="zh-CN"/>
        </w:rPr>
        <w:t>12</w:t>
      </w:r>
      <w:r>
        <w:rPr>
          <w:rFonts w:hint="eastAsia" w:ascii="仿宋_GB2312" w:hAnsi="仿宋_GB2312" w:eastAsia="仿宋_GB2312" w:cs="仿宋_GB2312"/>
          <w:sz w:val="32"/>
          <w:szCs w:val="32"/>
        </w:rPr>
        <w:t>月</w:t>
      </w:r>
      <w:r>
        <w:rPr>
          <w:rFonts w:hint="eastAsia" w:eastAsia="仿宋_GB2312" w:cs="仿宋_GB2312"/>
          <w:sz w:val="32"/>
          <w:szCs w:val="32"/>
          <w:lang w:val="en-US" w:eastAsia="zh-CN"/>
        </w:rPr>
        <w:t>31</w:t>
      </w:r>
      <w:r>
        <w:rPr>
          <w:rFonts w:hint="eastAsia" w:ascii="仿宋_GB2312" w:hAnsi="仿宋_GB2312" w:eastAsia="仿宋_GB2312" w:cs="仿宋_GB2312"/>
          <w:sz w:val="32"/>
          <w:szCs w:val="32"/>
        </w:rPr>
        <w:t>日，</w:t>
      </w:r>
      <w:r>
        <w:rPr>
          <w:rFonts w:hint="eastAsia" w:ascii="仿宋_GB2312" w:hAnsi="仿宋_GB2312" w:eastAsia="仿宋_GB2312" w:cs="仿宋_GB2312"/>
          <w:sz w:val="32"/>
          <w:szCs w:val="32"/>
          <w:lang w:val="en-US" w:eastAsia="zh-CN"/>
        </w:rPr>
        <w:t>阿坝藏族羌族自治州公路管理局马尔康公路管理分局</w:t>
      </w:r>
      <w:r>
        <w:rPr>
          <w:rFonts w:hint="eastAsia" w:ascii="仿宋_GB2312" w:hAnsi="仿宋_GB2312" w:eastAsia="仿宋_GB2312" w:cs="仿宋_GB2312"/>
          <w:sz w:val="32"/>
          <w:szCs w:val="32"/>
        </w:rPr>
        <w:t>共有车辆</w:t>
      </w:r>
      <w:r>
        <w:rPr>
          <w:rFonts w:hint="eastAsia" w:eastAsia="仿宋_GB2312" w:cs="仿宋_GB2312"/>
          <w:sz w:val="32"/>
          <w:szCs w:val="32"/>
          <w:lang w:val="en-US" w:eastAsia="zh-CN"/>
        </w:rPr>
        <w:t>2</w:t>
      </w:r>
      <w:r>
        <w:rPr>
          <w:rFonts w:hint="eastAsia" w:ascii="仿宋_GB2312" w:hAnsi="仿宋_GB2312" w:eastAsia="仿宋_GB2312" w:cs="仿宋_GB2312"/>
          <w:sz w:val="32"/>
          <w:szCs w:val="32"/>
        </w:rPr>
        <w:t>辆，其中：主要负责人用车</w:t>
      </w:r>
      <w:r>
        <w:rPr>
          <w:rFonts w:hint="eastAsia" w:eastAsia="仿宋_GB2312" w:cs="仿宋_GB2312"/>
          <w:sz w:val="32"/>
          <w:szCs w:val="32"/>
          <w:lang w:val="en-US" w:eastAsia="zh-CN"/>
        </w:rPr>
        <w:t>0</w:t>
      </w:r>
      <w:r>
        <w:rPr>
          <w:rFonts w:hint="eastAsia" w:ascii="仿宋_GB2312" w:hAnsi="仿宋_GB2312" w:eastAsia="仿宋_GB2312" w:cs="仿宋_GB2312"/>
          <w:sz w:val="32"/>
          <w:szCs w:val="32"/>
        </w:rPr>
        <w:t>辆、机要通信用车</w:t>
      </w:r>
      <w:r>
        <w:rPr>
          <w:rFonts w:hint="eastAsia" w:eastAsia="仿宋_GB2312" w:cs="仿宋_GB2312"/>
          <w:sz w:val="32"/>
          <w:szCs w:val="32"/>
          <w:lang w:val="en-US" w:eastAsia="zh-CN"/>
        </w:rPr>
        <w:t>0</w:t>
      </w:r>
      <w:r>
        <w:rPr>
          <w:rFonts w:hint="eastAsia" w:ascii="仿宋_GB2312" w:hAnsi="仿宋_GB2312" w:eastAsia="仿宋_GB2312" w:cs="仿宋_GB2312"/>
          <w:sz w:val="32"/>
          <w:szCs w:val="32"/>
        </w:rPr>
        <w:t>辆、应急保障用车</w:t>
      </w:r>
      <w:r>
        <w:rPr>
          <w:rFonts w:hint="eastAsia" w:eastAsia="仿宋_GB2312" w:cs="仿宋_GB2312"/>
          <w:sz w:val="32"/>
          <w:szCs w:val="32"/>
          <w:lang w:val="en-US" w:eastAsia="zh-CN"/>
        </w:rPr>
        <w:t>0</w:t>
      </w:r>
      <w:r>
        <w:rPr>
          <w:rFonts w:hint="eastAsia" w:ascii="仿宋_GB2312" w:hAnsi="仿宋_GB2312" w:eastAsia="仿宋_GB2312" w:cs="仿宋_GB2312"/>
          <w:sz w:val="32"/>
          <w:szCs w:val="32"/>
        </w:rPr>
        <w:t>辆、</w:t>
      </w:r>
      <w:r>
        <w:rPr>
          <w:rFonts w:hint="eastAsia" w:eastAsia="仿宋_GB2312" w:cs="仿宋_GB2312"/>
          <w:sz w:val="32"/>
          <w:szCs w:val="32"/>
          <w:lang w:eastAsia="zh-CN"/>
        </w:rPr>
        <w:t>特种专业技术用车</w:t>
      </w:r>
      <w:r>
        <w:rPr>
          <w:rFonts w:hint="eastAsia" w:eastAsia="仿宋_GB2312" w:cs="仿宋_GB2312"/>
          <w:sz w:val="32"/>
          <w:szCs w:val="32"/>
          <w:lang w:val="en-US" w:eastAsia="zh-CN"/>
        </w:rPr>
        <w:t>0辆、</w:t>
      </w:r>
      <w:r>
        <w:rPr>
          <w:rFonts w:hint="eastAsia" w:ascii="仿宋_GB2312" w:hAnsi="仿宋_GB2312" w:eastAsia="仿宋_GB2312" w:cs="仿宋_GB2312"/>
          <w:sz w:val="32"/>
          <w:szCs w:val="32"/>
        </w:rPr>
        <w:t>其他用车</w:t>
      </w:r>
      <w:r>
        <w:rPr>
          <w:rFonts w:hint="eastAsia" w:eastAsia="仿宋_GB2312" w:cs="仿宋_GB2312"/>
          <w:sz w:val="32"/>
          <w:szCs w:val="32"/>
          <w:lang w:val="en-US" w:eastAsia="zh-CN"/>
        </w:rPr>
        <w:t>2</w:t>
      </w:r>
      <w:r>
        <w:rPr>
          <w:rFonts w:hint="eastAsia" w:ascii="仿宋_GB2312" w:hAnsi="仿宋_GB2312" w:eastAsia="仿宋_GB2312" w:cs="仿宋_GB2312"/>
          <w:sz w:val="32"/>
          <w:szCs w:val="32"/>
        </w:rPr>
        <w:t>辆，其他用车主要是用于</w:t>
      </w:r>
      <w:r>
        <w:rPr>
          <w:rFonts w:hint="eastAsia" w:ascii="仿宋_GB2312" w:hAnsi="仿宋_GB2312" w:eastAsia="仿宋_GB2312" w:cs="仿宋_GB2312"/>
          <w:sz w:val="32"/>
          <w:szCs w:val="32"/>
          <w:lang w:val="en-US" w:eastAsia="zh-CN"/>
        </w:rPr>
        <w:t>单位日常工作运转</w:t>
      </w:r>
      <w:r>
        <w:rPr>
          <w:rFonts w:hint="eastAsia" w:ascii="仿宋_GB2312" w:hAnsi="仿宋_GB2312" w:eastAsia="仿宋_GB2312" w:cs="仿宋_GB2312"/>
          <w:sz w:val="32"/>
          <w:szCs w:val="32"/>
        </w:rPr>
        <w:t>。单价</w:t>
      </w:r>
      <w:r>
        <w:rPr>
          <w:rFonts w:hint="eastAsia" w:eastAsia="仿宋_GB2312" w:cs="仿宋_GB2312"/>
          <w:sz w:val="32"/>
          <w:szCs w:val="32"/>
          <w:lang w:val="en-US" w:eastAsia="zh-CN"/>
        </w:rPr>
        <w:t>100</w:t>
      </w:r>
      <w:r>
        <w:rPr>
          <w:rFonts w:hint="eastAsia" w:ascii="仿宋_GB2312" w:hAnsi="仿宋_GB2312" w:eastAsia="仿宋_GB2312" w:cs="仿宋_GB2312"/>
          <w:sz w:val="32"/>
          <w:szCs w:val="32"/>
        </w:rPr>
        <w:t>万元（含）以上设备（不含车辆）</w:t>
      </w:r>
      <w:r>
        <w:rPr>
          <w:rFonts w:hint="eastAsia" w:eastAsia="仿宋_GB2312" w:cs="仿宋_GB2312"/>
          <w:sz w:val="32"/>
          <w:szCs w:val="32"/>
          <w:lang w:val="en-US" w:eastAsia="zh-CN"/>
        </w:rPr>
        <w:t>0</w:t>
      </w:r>
      <w:r>
        <w:rPr>
          <w:rFonts w:hint="eastAsia" w:ascii="仿宋_GB2312" w:hAnsi="仿宋_GB2312" w:eastAsia="仿宋_GB2312" w:cs="仿宋_GB2312"/>
          <w:sz w:val="32"/>
          <w:szCs w:val="32"/>
        </w:rPr>
        <w:t>台（套）</w:t>
      </w:r>
      <w:r>
        <w:rPr>
          <w:rFonts w:hint="eastAsia" w:eastAsia="仿宋_GB2312" w:cs="仿宋_GB2312"/>
          <w:sz w:val="32"/>
          <w:szCs w:val="32"/>
        </w:rPr>
        <w:t>。</w:t>
      </w:r>
    </w:p>
    <w:p>
      <w:pPr>
        <w:spacing w:line="600" w:lineRule="exact"/>
        <w:ind w:firstLine="643" w:firstLineChars="200"/>
        <w:outlineLvl w:val="2"/>
        <w:rPr>
          <w:rFonts w:eastAsia="楷体_GB2312" w:cs="楷体_GB2312"/>
          <w:b/>
          <w:sz w:val="32"/>
          <w:szCs w:val="32"/>
        </w:rPr>
      </w:pPr>
      <w:r>
        <w:rPr>
          <w:rFonts w:hint="eastAsia" w:eastAsia="楷体_GB2312" w:cs="楷体_GB2312"/>
          <w:b/>
          <w:sz w:val="32"/>
          <w:szCs w:val="32"/>
        </w:rPr>
        <w:t>（四）预算绩效管理情况</w:t>
      </w:r>
    </w:p>
    <w:p>
      <w:pPr>
        <w:spacing w:line="600" w:lineRule="exact"/>
        <w:ind w:firstLine="640"/>
        <w:rPr>
          <w:rFonts w:eastAsia="仿宋_GB2312" w:cs="仿宋_GB2312"/>
          <w:sz w:val="32"/>
          <w:szCs w:val="32"/>
        </w:rPr>
      </w:pPr>
      <w:r>
        <w:rPr>
          <w:rFonts w:hint="eastAsia" w:eastAsia="仿宋_GB2312" w:cs="仿宋_GB2312"/>
          <w:sz w:val="32"/>
          <w:szCs w:val="32"/>
        </w:rPr>
        <w:t>根据预算绩效管理要求，</w:t>
      </w:r>
      <w:r>
        <w:rPr>
          <w:rFonts w:hint="eastAsia" w:ascii="仿宋_GB2312" w:hAnsi="仿宋_GB2312" w:eastAsia="仿宋_GB2312" w:cs="仿宋_GB2312"/>
          <w:sz w:val="32"/>
          <w:szCs w:val="32"/>
          <w:lang w:val="en-US" w:eastAsia="zh-CN"/>
        </w:rPr>
        <w:t>阿坝藏族羌族自治州公路管理局马尔康公路管理分局</w:t>
      </w:r>
      <w:r>
        <w:rPr>
          <w:rFonts w:hint="eastAsia" w:eastAsia="仿宋_GB2312" w:cs="仿宋_GB2312"/>
          <w:sz w:val="32"/>
          <w:szCs w:val="32"/>
          <w:highlight w:val="none"/>
        </w:rPr>
        <w:t>在2024年度预算编制阶段，组织对2022年国省干线第一批小修保养经费</w:t>
      </w:r>
      <w:r>
        <w:rPr>
          <w:rFonts w:hint="eastAsia" w:eastAsia="仿宋_GB2312" w:cs="仿宋_GB2312"/>
          <w:sz w:val="32"/>
          <w:szCs w:val="32"/>
          <w:highlight w:val="none"/>
          <w:lang w:eastAsia="zh-CN"/>
        </w:rPr>
        <w:t>、马尔康分局交调站维护、马尔康公路管理分局养护机械运行维护费、2023马尔康公路分局丧葬伤残抚恤金、马尔康公路管理分局八一建军节慰问费、马尔康公路管理分局退休人员春节慰问费、马尔康公路分局隧道电费、水毁应急抢险、隧道引道路段环境综合整治费用</w:t>
      </w:r>
      <w:r>
        <w:rPr>
          <w:rFonts w:hint="eastAsia" w:eastAsia="仿宋_GB2312" w:cs="仿宋_GB2312"/>
          <w:sz w:val="32"/>
          <w:szCs w:val="32"/>
          <w:highlight w:val="none"/>
          <w:lang w:val="en-US" w:eastAsia="zh-CN"/>
        </w:rPr>
        <w:t>9</w:t>
      </w:r>
      <w:r>
        <w:rPr>
          <w:rFonts w:hint="eastAsia" w:eastAsia="仿宋_GB2312" w:cs="仿宋_GB2312"/>
          <w:sz w:val="32"/>
          <w:szCs w:val="32"/>
          <w:highlight w:val="none"/>
        </w:rPr>
        <w:t>个项目开展了预算事前绩效评估，对</w:t>
      </w:r>
      <w:r>
        <w:rPr>
          <w:rFonts w:hint="eastAsia" w:eastAsia="仿宋_GB2312" w:cs="仿宋_GB2312"/>
          <w:sz w:val="32"/>
          <w:szCs w:val="32"/>
          <w:highlight w:val="none"/>
          <w:lang w:val="en-US" w:eastAsia="zh-CN"/>
        </w:rPr>
        <w:t>9</w:t>
      </w:r>
      <w:r>
        <w:rPr>
          <w:rFonts w:hint="eastAsia" w:eastAsia="仿宋_GB2312" w:cs="仿宋_GB2312"/>
          <w:sz w:val="32"/>
          <w:szCs w:val="32"/>
          <w:highlight w:val="none"/>
        </w:rPr>
        <w:t>个项目编制了绩效目标，预算执行过程中，选取</w:t>
      </w:r>
      <w:r>
        <w:rPr>
          <w:rFonts w:hint="eastAsia" w:eastAsia="仿宋_GB2312" w:cs="仿宋_GB2312"/>
          <w:sz w:val="32"/>
          <w:szCs w:val="32"/>
          <w:highlight w:val="none"/>
          <w:lang w:val="en-US" w:eastAsia="zh-CN"/>
        </w:rPr>
        <w:t>9</w:t>
      </w:r>
      <w:r>
        <w:rPr>
          <w:rFonts w:hint="eastAsia" w:eastAsia="仿宋_GB2312" w:cs="仿宋_GB2312"/>
          <w:sz w:val="32"/>
          <w:szCs w:val="32"/>
          <w:highlight w:val="none"/>
        </w:rPr>
        <w:t>个项</w:t>
      </w:r>
      <w:r>
        <w:rPr>
          <w:rFonts w:hint="eastAsia" w:eastAsia="仿宋_GB2312" w:cs="仿宋_GB2312"/>
          <w:sz w:val="32"/>
          <w:szCs w:val="32"/>
        </w:rPr>
        <w:t>目开展绩效监控</w:t>
      </w:r>
      <w:r>
        <w:rPr>
          <w:rFonts w:hint="eastAsia" w:eastAsia="仿宋_GB2312" w:cs="仿宋_GB2312"/>
          <w:sz w:val="32"/>
          <w:szCs w:val="32"/>
          <w:lang w:eastAsia="zh-CN"/>
        </w:rPr>
        <w:t>，</w:t>
      </w:r>
      <w:r>
        <w:rPr>
          <w:rFonts w:hint="eastAsia" w:eastAsia="仿宋_GB2312" w:cs="仿宋_GB2312"/>
          <w:sz w:val="32"/>
          <w:szCs w:val="32"/>
        </w:rPr>
        <w:t>组织对</w:t>
      </w:r>
      <w:r>
        <w:rPr>
          <w:rFonts w:hint="eastAsia" w:eastAsia="仿宋_GB2312" w:cs="仿宋_GB2312"/>
          <w:sz w:val="32"/>
          <w:szCs w:val="32"/>
          <w:lang w:val="en-US" w:eastAsia="zh-CN"/>
        </w:rPr>
        <w:t>9</w:t>
      </w:r>
      <w:r>
        <w:rPr>
          <w:rFonts w:hint="eastAsia" w:eastAsia="仿宋_GB2312" w:cs="仿宋_GB2312"/>
          <w:sz w:val="32"/>
          <w:szCs w:val="32"/>
        </w:rPr>
        <w:t>个项目开展绩效自评，绩效自评表详见第四部分附件。</w:t>
      </w:r>
    </w:p>
    <w:p>
      <w:pPr>
        <w:spacing w:line="600" w:lineRule="exact"/>
        <w:ind w:firstLine="640"/>
        <w:rPr>
          <w:rFonts w:eastAsia="仿宋_GB2312" w:cs="仿宋_GB2312"/>
          <w:sz w:val="32"/>
          <w:szCs w:val="32"/>
        </w:rPr>
      </w:pPr>
    </w:p>
    <w:p>
      <w:pPr>
        <w:pStyle w:val="13"/>
        <w:rPr>
          <w:rFonts w:eastAsia="仿宋_GB2312" w:cs="仿宋_GB2312"/>
          <w:sz w:val="32"/>
          <w:szCs w:val="32"/>
        </w:rPr>
      </w:pPr>
    </w:p>
    <w:p>
      <w:pPr>
        <w:pStyle w:val="7"/>
        <w:rPr>
          <w:rFonts w:eastAsia="仿宋_GB2312" w:cs="仿宋_GB2312"/>
          <w:sz w:val="32"/>
          <w:szCs w:val="32"/>
        </w:rPr>
      </w:pPr>
    </w:p>
    <w:p>
      <w:pPr>
        <w:pStyle w:val="7"/>
        <w:rPr>
          <w:rFonts w:eastAsia="仿宋_GB2312" w:cs="仿宋_GB2312"/>
          <w:sz w:val="32"/>
          <w:szCs w:val="32"/>
        </w:rPr>
      </w:pPr>
    </w:p>
    <w:p>
      <w:pPr>
        <w:pStyle w:val="7"/>
        <w:ind w:left="0" w:leftChars="0" w:firstLine="0" w:firstLineChars="0"/>
        <w:rPr>
          <w:rFonts w:eastAsia="仿宋_GB2312" w:cs="仿宋_GB2312"/>
          <w:sz w:val="32"/>
          <w:szCs w:val="32"/>
        </w:rPr>
      </w:pPr>
    </w:p>
    <w:p>
      <w:pPr>
        <w:pStyle w:val="13"/>
      </w:pPr>
    </w:p>
    <w:p>
      <w:pPr>
        <w:spacing w:line="600" w:lineRule="exact"/>
        <w:jc w:val="center"/>
        <w:outlineLvl w:val="0"/>
        <w:rPr>
          <w:rFonts w:eastAsia="黑体"/>
          <w:sz w:val="44"/>
          <w:szCs w:val="44"/>
        </w:rPr>
      </w:pPr>
      <w:bookmarkStart w:id="57" w:name="_Toc24234"/>
      <w:bookmarkStart w:id="58" w:name="_Toc15377225"/>
      <w:bookmarkStart w:id="59" w:name="_Toc15396613"/>
      <w:r>
        <w:rPr>
          <w:rFonts w:hint="eastAsia" w:eastAsia="黑体"/>
          <w:sz w:val="44"/>
          <w:szCs w:val="44"/>
        </w:rPr>
        <w:t>第三部分  名词解释</w:t>
      </w:r>
      <w:bookmarkEnd w:id="57"/>
      <w:bookmarkEnd w:id="58"/>
      <w:bookmarkEnd w:id="59"/>
    </w:p>
    <w:p>
      <w:pPr>
        <w:spacing w:line="600" w:lineRule="exact"/>
        <w:jc w:val="left"/>
        <w:rPr>
          <w:b/>
          <w:sz w:val="44"/>
          <w:szCs w:val="44"/>
        </w:rPr>
      </w:pPr>
    </w:p>
    <w:p>
      <w:pPr>
        <w:spacing w:line="600" w:lineRule="exact"/>
        <w:ind w:firstLine="640"/>
        <w:rPr>
          <w:rFonts w:eastAsia="仿宋_GB2312" w:cs="仿宋_GB2312"/>
          <w:sz w:val="32"/>
          <w:szCs w:val="32"/>
        </w:rPr>
      </w:pPr>
      <w:r>
        <w:rPr>
          <w:rFonts w:hint="eastAsia" w:eastAsia="仿宋_GB2312" w:cs="仿宋_GB2312"/>
          <w:sz w:val="32"/>
          <w:szCs w:val="32"/>
        </w:rPr>
        <w:t>1.财政拨款收入：指单位从同级财政部门取得的财政预算资金。</w:t>
      </w:r>
    </w:p>
    <w:p>
      <w:pPr>
        <w:spacing w:line="600" w:lineRule="exact"/>
        <w:ind w:firstLine="640"/>
        <w:rPr>
          <w:rFonts w:hint="eastAsia" w:eastAsia="仿宋_GB2312" w:cs="仿宋_GB2312"/>
          <w:sz w:val="32"/>
          <w:szCs w:val="32"/>
        </w:rPr>
      </w:pPr>
      <w:r>
        <w:rPr>
          <w:rFonts w:hint="eastAsia" w:eastAsia="仿宋_GB2312" w:cs="仿宋_GB2312"/>
          <w:sz w:val="32"/>
          <w:szCs w:val="32"/>
          <w:lang w:val="en-US" w:eastAsia="zh-CN"/>
        </w:rPr>
        <w:t>2</w:t>
      </w:r>
      <w:r>
        <w:rPr>
          <w:rFonts w:hint="eastAsia" w:eastAsia="仿宋_GB2312" w:cs="仿宋_GB2312"/>
          <w:sz w:val="32"/>
          <w:szCs w:val="32"/>
        </w:rPr>
        <w:t>.社会保障和就业支出（类）行政事业单位养老支出（款）机关事业单位基本养老保险缴费支出（项）：指反映机关事业单位实施养老保险制度由单位缴纳的基本养老保险费支出。</w:t>
      </w:r>
    </w:p>
    <w:p>
      <w:pPr>
        <w:spacing w:line="600" w:lineRule="exact"/>
        <w:ind w:firstLine="640"/>
        <w:rPr>
          <w:rFonts w:hint="eastAsia" w:eastAsia="仿宋_GB2312" w:cs="仿宋_GB2312"/>
          <w:sz w:val="32"/>
          <w:szCs w:val="32"/>
        </w:rPr>
      </w:pPr>
      <w:r>
        <w:rPr>
          <w:rFonts w:hint="eastAsia" w:eastAsia="仿宋_GB2312" w:cs="仿宋_GB2312"/>
          <w:sz w:val="32"/>
          <w:szCs w:val="32"/>
          <w:lang w:val="en-US" w:eastAsia="zh-CN"/>
        </w:rPr>
        <w:t>3</w:t>
      </w:r>
      <w:r>
        <w:rPr>
          <w:rFonts w:hint="eastAsia" w:eastAsia="仿宋_GB2312" w:cs="仿宋_GB2312"/>
          <w:sz w:val="32"/>
          <w:szCs w:val="32"/>
        </w:rPr>
        <w:t>.社会保障和就业支出（类）行政事业单位养老支出（款）机关事业单位职业年金缴费支出（项）：指反映机关事业单位实施养老保险制度由单位实际缴纳的职业 年金支出。</w:t>
      </w:r>
    </w:p>
    <w:p>
      <w:pPr>
        <w:spacing w:line="600" w:lineRule="exact"/>
        <w:ind w:firstLine="640"/>
        <w:rPr>
          <w:rFonts w:hint="eastAsia" w:eastAsia="仿宋_GB2312" w:cs="仿宋_GB2312"/>
          <w:sz w:val="32"/>
          <w:szCs w:val="32"/>
        </w:rPr>
      </w:pPr>
      <w:r>
        <w:rPr>
          <w:rFonts w:hint="eastAsia" w:eastAsia="仿宋_GB2312" w:cs="仿宋_GB2312"/>
          <w:sz w:val="32"/>
          <w:szCs w:val="32"/>
          <w:lang w:val="en-US" w:eastAsia="zh-CN"/>
        </w:rPr>
        <w:t>4</w:t>
      </w:r>
      <w:r>
        <w:rPr>
          <w:rFonts w:hint="eastAsia" w:eastAsia="仿宋_GB2312" w:cs="仿宋_GB2312"/>
          <w:sz w:val="32"/>
          <w:szCs w:val="32"/>
        </w:rPr>
        <w:t>.卫生健康支出（类）行政事业单位医疗（款）事业单位医疗（项）：指反映财政部门安排的事业单位基本医疗保险缴费经费，未参加医疗保险的事业单位的公费医疗经费，按国家规定享受离休人员待遇的医疗经费。</w:t>
      </w:r>
    </w:p>
    <w:p>
      <w:pPr>
        <w:spacing w:line="600" w:lineRule="exact"/>
        <w:ind w:firstLine="640"/>
        <w:rPr>
          <w:rFonts w:hint="eastAsia" w:eastAsia="仿宋_GB2312" w:cs="仿宋_GB2312"/>
          <w:sz w:val="32"/>
          <w:szCs w:val="32"/>
        </w:rPr>
      </w:pPr>
      <w:r>
        <w:rPr>
          <w:rFonts w:hint="eastAsia" w:eastAsia="仿宋_GB2312" w:cs="仿宋_GB2312"/>
          <w:sz w:val="32"/>
          <w:szCs w:val="32"/>
          <w:lang w:val="en-US" w:eastAsia="zh-CN"/>
        </w:rPr>
        <w:t>5</w:t>
      </w:r>
      <w:r>
        <w:rPr>
          <w:rFonts w:hint="eastAsia" w:eastAsia="仿宋_GB2312" w:cs="仿宋_GB2312"/>
          <w:sz w:val="32"/>
          <w:szCs w:val="32"/>
        </w:rPr>
        <w:t>.卫生健康支出（类）行政事业单位医疗（款）其他行政事业单位医疗支出（项）：指反映除上述项目以外的其他用于行政事业单位医疗方面的支出。</w:t>
      </w:r>
    </w:p>
    <w:p>
      <w:pPr>
        <w:spacing w:line="600" w:lineRule="exact"/>
        <w:ind w:firstLine="640"/>
        <w:rPr>
          <w:rFonts w:hint="eastAsia" w:eastAsia="仿宋_GB2312" w:cs="仿宋_GB2312"/>
          <w:sz w:val="32"/>
          <w:szCs w:val="32"/>
        </w:rPr>
      </w:pPr>
      <w:r>
        <w:rPr>
          <w:rFonts w:hint="eastAsia" w:eastAsia="仿宋_GB2312" w:cs="仿宋_GB2312"/>
          <w:sz w:val="32"/>
          <w:szCs w:val="32"/>
          <w:lang w:val="en-US" w:eastAsia="zh-CN"/>
        </w:rPr>
        <w:t>6</w:t>
      </w:r>
      <w:r>
        <w:rPr>
          <w:rFonts w:hint="eastAsia" w:eastAsia="仿宋_GB2312" w:cs="仿宋_GB2312"/>
          <w:sz w:val="32"/>
          <w:szCs w:val="32"/>
        </w:rPr>
        <w:t>.交通运输支出（类）公路水路运输（款）公路养护（项）：指反映公路养护支出。</w:t>
      </w:r>
    </w:p>
    <w:p>
      <w:pPr>
        <w:spacing w:line="600" w:lineRule="exact"/>
        <w:ind w:firstLine="640"/>
        <w:rPr>
          <w:rFonts w:hint="eastAsia" w:eastAsia="仿宋_GB2312" w:cs="仿宋_GB2312"/>
          <w:sz w:val="32"/>
          <w:szCs w:val="32"/>
        </w:rPr>
      </w:pPr>
      <w:r>
        <w:rPr>
          <w:rFonts w:hint="eastAsia" w:eastAsia="仿宋_GB2312" w:cs="仿宋_GB2312"/>
          <w:sz w:val="32"/>
          <w:szCs w:val="32"/>
          <w:lang w:val="en-US" w:eastAsia="zh-CN"/>
        </w:rPr>
        <w:t>7</w:t>
      </w:r>
      <w:r>
        <w:rPr>
          <w:rFonts w:hint="eastAsia" w:eastAsia="仿宋_GB2312" w:cs="仿宋_GB2312"/>
          <w:sz w:val="32"/>
          <w:szCs w:val="32"/>
        </w:rPr>
        <w:t>.住房保障支出（类）住房改革支出（款）住房公积金（项）：指反映行政事业单位按人力资源和社会保障部、财政部规定的基本工资和津贴补贴以及规定比例为职工缴纳的住房公积金。</w:t>
      </w:r>
    </w:p>
    <w:p>
      <w:pPr>
        <w:spacing w:line="600" w:lineRule="exact"/>
        <w:ind w:firstLine="640"/>
        <w:rPr>
          <w:rFonts w:hint="eastAsia" w:eastAsia="仿宋_GB2312" w:cs="仿宋_GB2312"/>
          <w:sz w:val="32"/>
          <w:szCs w:val="32"/>
        </w:rPr>
      </w:pPr>
      <w:r>
        <w:rPr>
          <w:rFonts w:hint="eastAsia" w:eastAsia="仿宋_GB2312" w:cs="仿宋_GB2312"/>
          <w:sz w:val="32"/>
          <w:szCs w:val="32"/>
          <w:lang w:val="en-US" w:eastAsia="zh-CN"/>
        </w:rPr>
        <w:t>8</w:t>
      </w:r>
      <w:r>
        <w:rPr>
          <w:rFonts w:hint="eastAsia" w:eastAsia="仿宋_GB2312" w:cs="仿宋_GB2312"/>
          <w:sz w:val="32"/>
          <w:szCs w:val="32"/>
        </w:rPr>
        <w:t>.住房保障支出（类）住房改革支出（款）购房补贴（项）：指反映按房改政策规定，行政事业单位向符合条</w:t>
      </w:r>
      <w:r>
        <w:rPr>
          <w:rFonts w:hint="eastAsia" w:eastAsia="仿宋_GB2312" w:cs="仿宋_GB2312"/>
          <w:sz w:val="32"/>
          <w:szCs w:val="32"/>
          <w:lang w:eastAsia="zh-CN"/>
        </w:rPr>
        <w:t>件的</w:t>
      </w:r>
      <w:r>
        <w:rPr>
          <w:rFonts w:hint="eastAsia" w:eastAsia="仿宋_GB2312" w:cs="仿宋_GB2312"/>
          <w:sz w:val="32"/>
          <w:szCs w:val="32"/>
        </w:rPr>
        <w:t>职工（含离退休人员）、军队（含武警）向转役复员离退休人员发放的用于购买住房的补贴。</w:t>
      </w:r>
    </w:p>
    <w:p>
      <w:pPr>
        <w:spacing w:line="600" w:lineRule="exact"/>
        <w:ind w:firstLine="640"/>
        <w:rPr>
          <w:rFonts w:eastAsia="仿宋_GB2312" w:cs="仿宋_GB2312"/>
          <w:sz w:val="32"/>
          <w:szCs w:val="32"/>
        </w:rPr>
      </w:pPr>
      <w:r>
        <w:rPr>
          <w:rFonts w:hint="eastAsia" w:eastAsia="仿宋_GB2312" w:cs="仿宋_GB2312"/>
          <w:sz w:val="32"/>
          <w:szCs w:val="32"/>
          <w:lang w:val="en-US" w:eastAsia="zh-CN"/>
        </w:rPr>
        <w:t>9</w:t>
      </w:r>
      <w:r>
        <w:rPr>
          <w:rFonts w:hint="eastAsia" w:eastAsia="仿宋_GB2312" w:cs="仿宋_GB2312"/>
          <w:sz w:val="32"/>
          <w:szCs w:val="32"/>
        </w:rPr>
        <w:t>.基本支出：指为保障机构正常运转、完成日常工作任务而发生的人员支出和公用支出。</w:t>
      </w:r>
    </w:p>
    <w:p>
      <w:pPr>
        <w:spacing w:line="600" w:lineRule="exact"/>
        <w:ind w:firstLine="640"/>
        <w:rPr>
          <w:rFonts w:eastAsia="仿宋_GB2312" w:cs="仿宋_GB2312"/>
          <w:sz w:val="32"/>
          <w:szCs w:val="32"/>
        </w:rPr>
      </w:pPr>
      <w:r>
        <w:rPr>
          <w:rFonts w:hint="eastAsia" w:eastAsia="仿宋_GB2312" w:cs="仿宋_GB2312"/>
          <w:sz w:val="32"/>
          <w:szCs w:val="32"/>
          <w:lang w:val="en-US" w:eastAsia="zh-CN"/>
        </w:rPr>
        <w:t>10</w:t>
      </w:r>
      <w:r>
        <w:rPr>
          <w:rFonts w:hint="eastAsia" w:eastAsia="仿宋_GB2312" w:cs="仿宋_GB2312"/>
          <w:sz w:val="32"/>
          <w:szCs w:val="32"/>
        </w:rPr>
        <w:t xml:space="preserve">.项目支出：指在基本支出之外为完成特定行政任务和事业发展目标所发生的支出。 </w:t>
      </w:r>
    </w:p>
    <w:p>
      <w:pPr>
        <w:spacing w:line="600" w:lineRule="exact"/>
        <w:ind w:firstLine="640"/>
        <w:rPr>
          <w:rFonts w:eastAsia="仿宋_GB2312" w:cs="仿宋_GB2312"/>
          <w:sz w:val="32"/>
          <w:szCs w:val="32"/>
        </w:rPr>
      </w:pPr>
      <w:r>
        <w:rPr>
          <w:rFonts w:hint="eastAsia" w:eastAsia="仿宋_GB2312" w:cs="仿宋_GB2312"/>
          <w:sz w:val="32"/>
          <w:szCs w:val="32"/>
          <w:lang w:val="en-US" w:eastAsia="zh-CN"/>
        </w:rPr>
        <w:t>11</w:t>
      </w:r>
      <w:r>
        <w:rPr>
          <w:rFonts w:hint="eastAsia" w:eastAsia="仿宋_GB2312" w:cs="仿宋_GB2312"/>
          <w:sz w:val="32"/>
          <w:szCs w:val="32"/>
        </w:rPr>
        <w:t>.“三公”经费：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pPr>
        <w:spacing w:line="600" w:lineRule="exact"/>
        <w:jc w:val="center"/>
        <w:outlineLvl w:val="0"/>
        <w:rPr>
          <w:rStyle w:val="28"/>
          <w:rFonts w:eastAsia="黑体"/>
          <w:b w:val="0"/>
          <w:bCs/>
        </w:rPr>
      </w:pPr>
      <w:bookmarkStart w:id="60" w:name="_Toc15377226"/>
      <w:r>
        <w:rPr>
          <w:rFonts w:hint="eastAsia" w:eastAsia="仿宋_GB2312" w:cs="仿宋_GB2312"/>
          <w:szCs w:val="32"/>
        </w:rPr>
        <w:br w:type="page"/>
      </w:r>
      <w:bookmarkStart w:id="61" w:name="_Toc11707"/>
      <w:bookmarkStart w:id="62" w:name="_Toc15396614"/>
      <w:r>
        <w:rPr>
          <w:rFonts w:hint="eastAsia" w:eastAsia="黑体"/>
          <w:sz w:val="44"/>
          <w:szCs w:val="44"/>
        </w:rPr>
        <w:t>第四部分  附件</w:t>
      </w:r>
      <w:bookmarkEnd w:id="61"/>
      <w:bookmarkEnd w:id="62"/>
    </w:p>
    <w:p>
      <w:pPr>
        <w:pStyle w:val="2"/>
        <w:spacing w:before="93"/>
        <w:jc w:val="center"/>
        <w:rPr>
          <w:rFonts w:ascii="Times New Roman" w:cs="宋体"/>
          <w:color w:val="auto"/>
          <w:sz w:val="32"/>
          <w:szCs w:val="32"/>
          <w:highlight w:val="none"/>
          <w:shd w:val="clear" w:color="auto" w:fill="FFFFFF"/>
          <w:lang w:val="zh-CN"/>
        </w:rPr>
      </w:pPr>
      <w:r>
        <w:drawing>
          <wp:anchor distT="0" distB="0" distL="114300" distR="114300" simplePos="0" relativeHeight="251670528" behindDoc="1" locked="0" layoutInCell="1" allowOverlap="1">
            <wp:simplePos x="0" y="0"/>
            <wp:positionH relativeFrom="column">
              <wp:posOffset>-285750</wp:posOffset>
            </wp:positionH>
            <wp:positionV relativeFrom="paragraph">
              <wp:posOffset>447040</wp:posOffset>
            </wp:positionV>
            <wp:extent cx="5768340" cy="5264150"/>
            <wp:effectExtent l="0" t="0" r="3810" b="0"/>
            <wp:wrapTight wrapText="bothSides">
              <wp:wrapPolygon>
                <wp:start x="0" y="0"/>
                <wp:lineTo x="0" y="21496"/>
                <wp:lineTo x="21543" y="21496"/>
                <wp:lineTo x="21543" y="0"/>
                <wp:lineTo x="0" y="0"/>
              </wp:wrapPolygon>
            </wp:wrapTight>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6"/>
                    <a:stretch>
                      <a:fillRect/>
                    </a:stretch>
                  </pic:blipFill>
                  <pic:spPr>
                    <a:xfrm>
                      <a:off x="0" y="0"/>
                      <a:ext cx="5768340" cy="5264150"/>
                    </a:xfrm>
                    <a:prstGeom prst="rect">
                      <a:avLst/>
                    </a:prstGeom>
                    <a:noFill/>
                    <a:ln>
                      <a:noFill/>
                    </a:ln>
                  </pic:spPr>
                </pic:pic>
              </a:graphicData>
            </a:graphic>
          </wp:anchor>
        </w:drawing>
      </w:r>
      <w:r>
        <w:rPr>
          <w:rFonts w:hint="eastAsia" w:ascii="Times New Roman" w:cs="宋体"/>
          <w:color w:val="auto"/>
          <w:sz w:val="32"/>
          <w:szCs w:val="32"/>
          <w:highlight w:val="none"/>
          <w:shd w:val="clear" w:color="auto" w:fill="FFFFFF"/>
          <w:lang w:val="zh-CN"/>
        </w:rPr>
        <w:t>单位预算项目支出绩效自评表（202</w:t>
      </w:r>
      <w:r>
        <w:rPr>
          <w:rFonts w:hint="eastAsia" w:ascii="Times New Roman" w:cs="宋体"/>
          <w:color w:val="auto"/>
          <w:sz w:val="32"/>
          <w:szCs w:val="32"/>
          <w:highlight w:val="none"/>
          <w:shd w:val="clear" w:color="auto" w:fill="FFFFFF"/>
          <w:lang w:val="en-US" w:eastAsia="zh-CN"/>
        </w:rPr>
        <w:t>4</w:t>
      </w:r>
      <w:r>
        <w:rPr>
          <w:rFonts w:hint="eastAsia" w:ascii="Times New Roman" w:cs="宋体"/>
          <w:color w:val="auto"/>
          <w:sz w:val="32"/>
          <w:szCs w:val="32"/>
          <w:highlight w:val="none"/>
          <w:shd w:val="clear" w:color="auto" w:fill="FFFFFF"/>
          <w:lang w:val="zh-CN"/>
        </w:rPr>
        <w:t>年度）</w:t>
      </w:r>
    </w:p>
    <w:p>
      <w:pPr>
        <w:jc w:val="both"/>
      </w:pPr>
    </w:p>
    <w:p>
      <w:pPr>
        <w:jc w:val="both"/>
      </w:pPr>
    </w:p>
    <w:p>
      <w:pPr>
        <w:jc w:val="both"/>
        <w:rPr>
          <w:rFonts w:eastAsia="黑体" w:cs="黑体"/>
          <w:kern w:val="0"/>
          <w:sz w:val="32"/>
          <w:szCs w:val="32"/>
          <w:shd w:val="clear" w:color="auto" w:fill="FFFFFF"/>
          <w:lang w:val="zh-CN"/>
        </w:rPr>
      </w:pPr>
      <w:r>
        <w:rPr>
          <w:rFonts w:hint="eastAsia" w:eastAsia="黑体" w:cs="黑体"/>
          <w:kern w:val="0"/>
          <w:sz w:val="32"/>
          <w:szCs w:val="32"/>
          <w:shd w:val="clear" w:color="auto" w:fill="FFFFFF"/>
          <w:lang w:val="zh-CN"/>
        </w:rPr>
        <w:br w:type="page"/>
      </w:r>
    </w:p>
    <w:p>
      <w:pPr>
        <w:spacing w:line="600" w:lineRule="exact"/>
        <w:jc w:val="center"/>
        <w:outlineLvl w:val="0"/>
        <w:rPr>
          <w:rFonts w:hint="eastAsia" w:eastAsia="黑体"/>
          <w:sz w:val="44"/>
          <w:szCs w:val="44"/>
        </w:rPr>
      </w:pPr>
      <w:bookmarkStart w:id="63" w:name="_Toc15396618"/>
      <w:r>
        <w:drawing>
          <wp:anchor distT="0" distB="0" distL="114300" distR="114300" simplePos="0" relativeHeight="251672576" behindDoc="1" locked="0" layoutInCell="1" allowOverlap="1">
            <wp:simplePos x="0" y="0"/>
            <wp:positionH relativeFrom="column">
              <wp:posOffset>-242570</wp:posOffset>
            </wp:positionH>
            <wp:positionV relativeFrom="paragraph">
              <wp:posOffset>4485640</wp:posOffset>
            </wp:positionV>
            <wp:extent cx="5759450" cy="4027805"/>
            <wp:effectExtent l="0" t="0" r="12700" b="0"/>
            <wp:wrapTight wrapText="bothSides">
              <wp:wrapPolygon>
                <wp:start x="0" y="0"/>
                <wp:lineTo x="0" y="21454"/>
                <wp:lineTo x="21505" y="21454"/>
                <wp:lineTo x="21505" y="0"/>
                <wp:lineTo x="0" y="0"/>
              </wp:wrapPolygon>
            </wp:wrapTight>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7"/>
                    <a:stretch>
                      <a:fillRect/>
                    </a:stretch>
                  </pic:blipFill>
                  <pic:spPr>
                    <a:xfrm>
                      <a:off x="0" y="0"/>
                      <a:ext cx="5759450" cy="4027805"/>
                    </a:xfrm>
                    <a:prstGeom prst="rect">
                      <a:avLst/>
                    </a:prstGeom>
                    <a:noFill/>
                    <a:ln>
                      <a:noFill/>
                    </a:ln>
                  </pic:spPr>
                </pic:pic>
              </a:graphicData>
            </a:graphic>
          </wp:anchor>
        </w:drawing>
      </w:r>
      <w:r>
        <w:drawing>
          <wp:anchor distT="0" distB="0" distL="114300" distR="114300" simplePos="0" relativeHeight="251671552" behindDoc="1" locked="0" layoutInCell="1" allowOverlap="1">
            <wp:simplePos x="0" y="0"/>
            <wp:positionH relativeFrom="column">
              <wp:posOffset>-225425</wp:posOffset>
            </wp:positionH>
            <wp:positionV relativeFrom="paragraph">
              <wp:posOffset>185420</wp:posOffset>
            </wp:positionV>
            <wp:extent cx="5725795" cy="4070985"/>
            <wp:effectExtent l="0" t="0" r="8255" b="0"/>
            <wp:wrapTight wrapText="bothSides">
              <wp:wrapPolygon>
                <wp:start x="0" y="0"/>
                <wp:lineTo x="0" y="21529"/>
                <wp:lineTo x="21559" y="21529"/>
                <wp:lineTo x="21559" y="0"/>
                <wp:lineTo x="0" y="0"/>
              </wp:wrapPolygon>
            </wp:wrapTight>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8"/>
                    <a:stretch>
                      <a:fillRect/>
                    </a:stretch>
                  </pic:blipFill>
                  <pic:spPr>
                    <a:xfrm>
                      <a:off x="0" y="0"/>
                      <a:ext cx="5725795" cy="4070985"/>
                    </a:xfrm>
                    <a:prstGeom prst="rect">
                      <a:avLst/>
                    </a:prstGeom>
                    <a:noFill/>
                    <a:ln>
                      <a:noFill/>
                    </a:ln>
                  </pic:spPr>
                </pic:pic>
              </a:graphicData>
            </a:graphic>
          </wp:anchor>
        </w:drawing>
      </w:r>
    </w:p>
    <w:p>
      <w:pPr>
        <w:spacing w:line="600" w:lineRule="exact"/>
        <w:jc w:val="center"/>
        <w:outlineLvl w:val="0"/>
        <w:rPr>
          <w:rFonts w:hint="eastAsia" w:eastAsia="黑体"/>
          <w:sz w:val="44"/>
          <w:szCs w:val="44"/>
        </w:rPr>
      </w:pPr>
      <w:r>
        <w:drawing>
          <wp:anchor distT="0" distB="0" distL="114300" distR="114300" simplePos="0" relativeHeight="251674624" behindDoc="1" locked="0" layoutInCell="1" allowOverlap="1">
            <wp:simplePos x="0" y="0"/>
            <wp:positionH relativeFrom="column">
              <wp:posOffset>-268605</wp:posOffset>
            </wp:positionH>
            <wp:positionV relativeFrom="paragraph">
              <wp:posOffset>4330065</wp:posOffset>
            </wp:positionV>
            <wp:extent cx="5776595" cy="4187190"/>
            <wp:effectExtent l="0" t="0" r="14605" b="0"/>
            <wp:wrapTight wrapText="bothSides">
              <wp:wrapPolygon>
                <wp:start x="0" y="0"/>
                <wp:lineTo x="0" y="21521"/>
                <wp:lineTo x="21512" y="21521"/>
                <wp:lineTo x="21512" y="0"/>
                <wp:lineTo x="0" y="0"/>
              </wp:wrapPolygon>
            </wp:wrapTight>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19"/>
                    <a:stretch>
                      <a:fillRect/>
                    </a:stretch>
                  </pic:blipFill>
                  <pic:spPr>
                    <a:xfrm>
                      <a:off x="0" y="0"/>
                      <a:ext cx="5776595" cy="4187190"/>
                    </a:xfrm>
                    <a:prstGeom prst="rect">
                      <a:avLst/>
                    </a:prstGeom>
                    <a:noFill/>
                    <a:ln>
                      <a:noFill/>
                    </a:ln>
                  </pic:spPr>
                </pic:pic>
              </a:graphicData>
            </a:graphic>
          </wp:anchor>
        </w:drawing>
      </w:r>
      <w:r>
        <w:drawing>
          <wp:anchor distT="0" distB="0" distL="114300" distR="114300" simplePos="0" relativeHeight="251673600" behindDoc="1" locked="0" layoutInCell="1" allowOverlap="1">
            <wp:simplePos x="0" y="0"/>
            <wp:positionH relativeFrom="column">
              <wp:posOffset>-242570</wp:posOffset>
            </wp:positionH>
            <wp:positionV relativeFrom="paragraph">
              <wp:posOffset>185420</wp:posOffset>
            </wp:positionV>
            <wp:extent cx="5751830" cy="3937635"/>
            <wp:effectExtent l="0" t="0" r="1270" b="0"/>
            <wp:wrapTight wrapText="bothSides">
              <wp:wrapPolygon>
                <wp:start x="0" y="0"/>
                <wp:lineTo x="0" y="21527"/>
                <wp:lineTo x="21533" y="21527"/>
                <wp:lineTo x="21533" y="0"/>
                <wp:lineTo x="0" y="0"/>
              </wp:wrapPolygon>
            </wp:wrapTight>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20"/>
                    <a:stretch>
                      <a:fillRect/>
                    </a:stretch>
                  </pic:blipFill>
                  <pic:spPr>
                    <a:xfrm>
                      <a:off x="0" y="0"/>
                      <a:ext cx="5751830" cy="3937635"/>
                    </a:xfrm>
                    <a:prstGeom prst="rect">
                      <a:avLst/>
                    </a:prstGeom>
                    <a:noFill/>
                    <a:ln>
                      <a:noFill/>
                    </a:ln>
                  </pic:spPr>
                </pic:pic>
              </a:graphicData>
            </a:graphic>
          </wp:anchor>
        </w:drawing>
      </w:r>
    </w:p>
    <w:p>
      <w:pPr>
        <w:spacing w:line="600" w:lineRule="exact"/>
        <w:jc w:val="center"/>
        <w:outlineLvl w:val="0"/>
        <w:rPr>
          <w:rFonts w:hint="eastAsia" w:eastAsia="黑体"/>
          <w:sz w:val="44"/>
          <w:szCs w:val="44"/>
        </w:rPr>
      </w:pPr>
      <w:r>
        <w:drawing>
          <wp:anchor distT="0" distB="0" distL="114300" distR="114300" simplePos="0" relativeHeight="251676672" behindDoc="1" locked="0" layoutInCell="1" allowOverlap="1">
            <wp:simplePos x="0" y="0"/>
            <wp:positionH relativeFrom="column">
              <wp:posOffset>-250825</wp:posOffset>
            </wp:positionH>
            <wp:positionV relativeFrom="paragraph">
              <wp:posOffset>4458970</wp:posOffset>
            </wp:positionV>
            <wp:extent cx="5751830" cy="4088130"/>
            <wp:effectExtent l="0" t="0" r="1270" b="0"/>
            <wp:wrapTight wrapText="bothSides">
              <wp:wrapPolygon>
                <wp:start x="0" y="0"/>
                <wp:lineTo x="0" y="21540"/>
                <wp:lineTo x="21533" y="21540"/>
                <wp:lineTo x="21533" y="0"/>
                <wp:lineTo x="0" y="0"/>
              </wp:wrapPolygon>
            </wp:wrapTight>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21"/>
                    <a:stretch>
                      <a:fillRect/>
                    </a:stretch>
                  </pic:blipFill>
                  <pic:spPr>
                    <a:xfrm>
                      <a:off x="0" y="0"/>
                      <a:ext cx="5751830" cy="4088130"/>
                    </a:xfrm>
                    <a:prstGeom prst="rect">
                      <a:avLst/>
                    </a:prstGeom>
                    <a:noFill/>
                    <a:ln>
                      <a:noFill/>
                    </a:ln>
                  </pic:spPr>
                </pic:pic>
              </a:graphicData>
            </a:graphic>
          </wp:anchor>
        </w:drawing>
      </w:r>
      <w:r>
        <w:drawing>
          <wp:anchor distT="0" distB="0" distL="114300" distR="114300" simplePos="0" relativeHeight="251675648" behindDoc="1" locked="0" layoutInCell="1" allowOverlap="1">
            <wp:simplePos x="0" y="0"/>
            <wp:positionH relativeFrom="column">
              <wp:posOffset>-225425</wp:posOffset>
            </wp:positionH>
            <wp:positionV relativeFrom="paragraph">
              <wp:posOffset>193675</wp:posOffset>
            </wp:positionV>
            <wp:extent cx="5742940" cy="4071620"/>
            <wp:effectExtent l="0" t="0" r="10160" b="0"/>
            <wp:wrapTight wrapText="bothSides">
              <wp:wrapPolygon>
                <wp:start x="0" y="0"/>
                <wp:lineTo x="0" y="21526"/>
                <wp:lineTo x="21495" y="21526"/>
                <wp:lineTo x="21495" y="0"/>
                <wp:lineTo x="0" y="0"/>
              </wp:wrapPolygon>
            </wp:wrapTight>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22"/>
                    <a:stretch>
                      <a:fillRect/>
                    </a:stretch>
                  </pic:blipFill>
                  <pic:spPr>
                    <a:xfrm>
                      <a:off x="0" y="0"/>
                      <a:ext cx="5742940" cy="4071620"/>
                    </a:xfrm>
                    <a:prstGeom prst="rect">
                      <a:avLst/>
                    </a:prstGeom>
                    <a:noFill/>
                    <a:ln>
                      <a:noFill/>
                    </a:ln>
                  </pic:spPr>
                </pic:pic>
              </a:graphicData>
            </a:graphic>
          </wp:anchor>
        </w:drawing>
      </w:r>
    </w:p>
    <w:p>
      <w:pPr>
        <w:spacing w:line="600" w:lineRule="exact"/>
        <w:jc w:val="center"/>
        <w:outlineLvl w:val="0"/>
        <w:rPr>
          <w:rFonts w:hint="eastAsia" w:eastAsia="黑体"/>
          <w:sz w:val="44"/>
          <w:szCs w:val="44"/>
        </w:rPr>
      </w:pPr>
      <w:r>
        <w:drawing>
          <wp:anchor distT="0" distB="0" distL="114300" distR="114300" simplePos="0" relativeHeight="251678720" behindDoc="1" locked="0" layoutInCell="1" allowOverlap="1">
            <wp:simplePos x="0" y="0"/>
            <wp:positionH relativeFrom="column">
              <wp:posOffset>-233680</wp:posOffset>
            </wp:positionH>
            <wp:positionV relativeFrom="paragraph">
              <wp:posOffset>4625975</wp:posOffset>
            </wp:positionV>
            <wp:extent cx="5742940" cy="4018915"/>
            <wp:effectExtent l="0" t="0" r="10160" b="0"/>
            <wp:wrapTight wrapText="bothSides">
              <wp:wrapPolygon>
                <wp:start x="0" y="0"/>
                <wp:lineTo x="0" y="21501"/>
                <wp:lineTo x="21495" y="21501"/>
                <wp:lineTo x="21495" y="0"/>
                <wp:lineTo x="0" y="0"/>
              </wp:wrapPolygon>
            </wp:wrapTight>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23"/>
                    <a:stretch>
                      <a:fillRect/>
                    </a:stretch>
                  </pic:blipFill>
                  <pic:spPr>
                    <a:xfrm>
                      <a:off x="0" y="0"/>
                      <a:ext cx="5742940" cy="4018915"/>
                    </a:xfrm>
                    <a:prstGeom prst="rect">
                      <a:avLst/>
                    </a:prstGeom>
                    <a:noFill/>
                    <a:ln>
                      <a:noFill/>
                    </a:ln>
                  </pic:spPr>
                </pic:pic>
              </a:graphicData>
            </a:graphic>
          </wp:anchor>
        </w:drawing>
      </w:r>
      <w:r>
        <w:drawing>
          <wp:anchor distT="0" distB="0" distL="114300" distR="114300" simplePos="0" relativeHeight="251677696" behindDoc="1" locked="0" layoutInCell="1" allowOverlap="1">
            <wp:simplePos x="0" y="0"/>
            <wp:positionH relativeFrom="column">
              <wp:posOffset>-225425</wp:posOffset>
            </wp:positionH>
            <wp:positionV relativeFrom="paragraph">
              <wp:posOffset>184785</wp:posOffset>
            </wp:positionV>
            <wp:extent cx="5716905" cy="4278630"/>
            <wp:effectExtent l="0" t="0" r="17145" b="0"/>
            <wp:wrapTight wrapText="bothSides">
              <wp:wrapPolygon>
                <wp:start x="0" y="0"/>
                <wp:lineTo x="0" y="21542"/>
                <wp:lineTo x="21521" y="21542"/>
                <wp:lineTo x="21521" y="0"/>
                <wp:lineTo x="0" y="0"/>
              </wp:wrapPolygon>
            </wp:wrapTight>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24"/>
                    <a:stretch>
                      <a:fillRect/>
                    </a:stretch>
                  </pic:blipFill>
                  <pic:spPr>
                    <a:xfrm>
                      <a:off x="0" y="0"/>
                      <a:ext cx="5716905" cy="4278630"/>
                    </a:xfrm>
                    <a:prstGeom prst="rect">
                      <a:avLst/>
                    </a:prstGeom>
                    <a:noFill/>
                    <a:ln>
                      <a:noFill/>
                    </a:ln>
                  </pic:spPr>
                </pic:pic>
              </a:graphicData>
            </a:graphic>
          </wp:anchor>
        </w:drawing>
      </w:r>
    </w:p>
    <w:p>
      <w:pPr>
        <w:spacing w:line="600" w:lineRule="exact"/>
        <w:jc w:val="center"/>
        <w:outlineLvl w:val="0"/>
        <w:rPr>
          <w:rFonts w:hint="eastAsia" w:eastAsia="黑体"/>
          <w:sz w:val="44"/>
          <w:szCs w:val="44"/>
        </w:rPr>
      </w:pPr>
      <w:bookmarkStart w:id="64" w:name="_Toc27363"/>
      <w:r>
        <w:rPr>
          <w:rFonts w:hint="eastAsia" w:eastAsia="黑体"/>
          <w:sz w:val="44"/>
          <w:szCs w:val="44"/>
        </w:rPr>
        <w:t>第五部分 附表</w:t>
      </w:r>
      <w:bookmarkEnd w:id="60"/>
      <w:bookmarkEnd w:id="63"/>
      <w:bookmarkEnd w:id="64"/>
      <w:bookmarkStart w:id="65" w:name="_Toc15396619"/>
    </w:p>
    <w:p>
      <w:pPr>
        <w:pStyle w:val="14"/>
        <w:adjustRightInd w:val="0"/>
        <w:snapToGrid w:val="0"/>
        <w:spacing w:line="560" w:lineRule="exact"/>
        <w:jc w:val="left"/>
        <w:rPr>
          <w:rFonts w:eastAsia="仿宋_GB2312" w:cs="仿宋_GB2312"/>
          <w:sz w:val="32"/>
          <w:szCs w:val="32"/>
        </w:rPr>
      </w:pPr>
    </w:p>
    <w:p>
      <w:pPr>
        <w:pStyle w:val="4"/>
        <w:rPr>
          <w:rStyle w:val="37"/>
          <w:rFonts w:hint="eastAsia" w:ascii="仿宋" w:hAnsi="仿宋" w:eastAsia="仿宋"/>
          <w:b w:val="0"/>
          <w:bCs w:val="0"/>
        </w:rPr>
      </w:pPr>
      <w:bookmarkStart w:id="66" w:name="_Toc14128"/>
      <w:r>
        <w:rPr>
          <w:rStyle w:val="37"/>
          <w:rFonts w:hint="eastAsia" w:ascii="仿宋" w:hAnsi="仿宋" w:eastAsia="仿宋"/>
          <w:b w:val="0"/>
          <w:bCs w:val="0"/>
        </w:rPr>
        <w:t>一、收入支出决算总表</w:t>
      </w:r>
      <w:bookmarkEnd w:id="65"/>
      <w:bookmarkEnd w:id="66"/>
    </w:p>
    <w:p>
      <w:pPr>
        <w:pStyle w:val="4"/>
        <w:rPr>
          <w:rStyle w:val="37"/>
          <w:rFonts w:hint="eastAsia" w:ascii="仿宋" w:hAnsi="仿宋" w:eastAsia="仿宋"/>
          <w:b w:val="0"/>
          <w:bCs w:val="0"/>
        </w:rPr>
      </w:pPr>
      <w:bookmarkStart w:id="67" w:name="_Toc15396620"/>
      <w:bookmarkStart w:id="68" w:name="_Toc9008"/>
      <w:r>
        <w:rPr>
          <w:rStyle w:val="37"/>
          <w:rFonts w:hint="eastAsia" w:ascii="仿宋" w:hAnsi="仿宋" w:eastAsia="仿宋"/>
          <w:b w:val="0"/>
          <w:bCs w:val="0"/>
        </w:rPr>
        <w:t>二、收入决算表</w:t>
      </w:r>
      <w:bookmarkEnd w:id="67"/>
      <w:bookmarkEnd w:id="68"/>
    </w:p>
    <w:p>
      <w:pPr>
        <w:pStyle w:val="4"/>
        <w:rPr>
          <w:rStyle w:val="37"/>
          <w:rFonts w:hint="eastAsia" w:ascii="仿宋" w:hAnsi="仿宋" w:eastAsia="仿宋"/>
          <w:b w:val="0"/>
          <w:bCs w:val="0"/>
        </w:rPr>
      </w:pPr>
      <w:bookmarkStart w:id="69" w:name="_Toc4521"/>
      <w:bookmarkStart w:id="70" w:name="_Toc15396621"/>
      <w:r>
        <w:rPr>
          <w:rStyle w:val="37"/>
          <w:rFonts w:hint="eastAsia" w:ascii="仿宋" w:hAnsi="仿宋" w:eastAsia="仿宋"/>
          <w:b w:val="0"/>
          <w:bCs w:val="0"/>
        </w:rPr>
        <w:t>三、支出决算表</w:t>
      </w:r>
      <w:bookmarkEnd w:id="69"/>
      <w:bookmarkEnd w:id="70"/>
    </w:p>
    <w:p>
      <w:pPr>
        <w:pStyle w:val="4"/>
        <w:rPr>
          <w:rStyle w:val="37"/>
          <w:rFonts w:hint="eastAsia" w:ascii="仿宋" w:hAnsi="仿宋" w:eastAsia="仿宋"/>
          <w:b w:val="0"/>
          <w:bCs w:val="0"/>
        </w:rPr>
      </w:pPr>
      <w:bookmarkStart w:id="71" w:name="_Toc15396622"/>
      <w:bookmarkStart w:id="72" w:name="_Toc32579"/>
      <w:r>
        <w:rPr>
          <w:rStyle w:val="37"/>
          <w:rFonts w:hint="eastAsia" w:ascii="仿宋" w:hAnsi="仿宋" w:eastAsia="仿宋"/>
          <w:b w:val="0"/>
          <w:bCs w:val="0"/>
        </w:rPr>
        <w:t>四、财政拨款收入支出决算总表</w:t>
      </w:r>
      <w:bookmarkEnd w:id="71"/>
      <w:bookmarkEnd w:id="72"/>
    </w:p>
    <w:p>
      <w:pPr>
        <w:pStyle w:val="4"/>
        <w:rPr>
          <w:rStyle w:val="37"/>
          <w:rFonts w:hint="eastAsia" w:ascii="仿宋" w:hAnsi="仿宋" w:eastAsia="仿宋"/>
          <w:b w:val="0"/>
          <w:bCs w:val="0"/>
        </w:rPr>
      </w:pPr>
      <w:bookmarkStart w:id="73" w:name="_Toc15396623"/>
      <w:bookmarkStart w:id="74" w:name="_Toc23065"/>
      <w:r>
        <w:rPr>
          <w:rStyle w:val="37"/>
          <w:rFonts w:hint="eastAsia" w:ascii="仿宋" w:hAnsi="仿宋" w:eastAsia="仿宋"/>
          <w:b w:val="0"/>
          <w:bCs w:val="0"/>
        </w:rPr>
        <w:t>五、财政拨款支出决算明细表</w:t>
      </w:r>
      <w:bookmarkEnd w:id="73"/>
      <w:bookmarkEnd w:id="74"/>
      <w:bookmarkStart w:id="75" w:name="_Toc15396624"/>
    </w:p>
    <w:p>
      <w:pPr>
        <w:pStyle w:val="4"/>
        <w:rPr>
          <w:rStyle w:val="37"/>
          <w:rFonts w:hint="eastAsia" w:ascii="仿宋" w:hAnsi="仿宋" w:eastAsia="仿宋"/>
          <w:b w:val="0"/>
          <w:bCs w:val="0"/>
        </w:rPr>
      </w:pPr>
      <w:bookmarkStart w:id="76" w:name="_Toc12952"/>
      <w:r>
        <w:rPr>
          <w:rStyle w:val="37"/>
          <w:rFonts w:hint="eastAsia" w:ascii="仿宋" w:hAnsi="仿宋" w:eastAsia="仿宋"/>
          <w:b w:val="0"/>
          <w:bCs w:val="0"/>
        </w:rPr>
        <w:t>六、一般公共预算财政拨款支出决算表</w:t>
      </w:r>
      <w:bookmarkEnd w:id="75"/>
      <w:bookmarkEnd w:id="76"/>
    </w:p>
    <w:p>
      <w:pPr>
        <w:pStyle w:val="4"/>
        <w:rPr>
          <w:rStyle w:val="37"/>
          <w:rFonts w:hint="eastAsia" w:ascii="仿宋" w:hAnsi="仿宋" w:eastAsia="仿宋"/>
          <w:b w:val="0"/>
          <w:bCs w:val="0"/>
        </w:rPr>
      </w:pPr>
      <w:bookmarkStart w:id="77" w:name="_Toc12867"/>
      <w:bookmarkStart w:id="78" w:name="_Toc15396625"/>
      <w:r>
        <w:rPr>
          <w:rStyle w:val="37"/>
          <w:rFonts w:hint="eastAsia" w:ascii="仿宋" w:hAnsi="仿宋" w:eastAsia="仿宋"/>
          <w:b w:val="0"/>
          <w:bCs w:val="0"/>
        </w:rPr>
        <w:t>七、一般公共预算财政拨款支出决算明细表</w:t>
      </w:r>
      <w:bookmarkEnd w:id="77"/>
      <w:bookmarkEnd w:id="78"/>
    </w:p>
    <w:p>
      <w:pPr>
        <w:pStyle w:val="4"/>
        <w:rPr>
          <w:rStyle w:val="37"/>
          <w:rFonts w:hint="eastAsia" w:ascii="仿宋" w:hAnsi="仿宋" w:eastAsia="仿宋"/>
          <w:b w:val="0"/>
          <w:bCs w:val="0"/>
        </w:rPr>
      </w:pPr>
      <w:bookmarkStart w:id="79" w:name="_Toc2880"/>
      <w:bookmarkStart w:id="80" w:name="_Toc15396626"/>
      <w:r>
        <w:rPr>
          <w:rStyle w:val="37"/>
          <w:rFonts w:hint="eastAsia" w:ascii="仿宋" w:hAnsi="仿宋" w:eastAsia="仿宋"/>
          <w:b w:val="0"/>
          <w:bCs w:val="0"/>
        </w:rPr>
        <w:t>八、一般公共预算财政拨款基本支出决算表</w:t>
      </w:r>
      <w:bookmarkEnd w:id="79"/>
      <w:bookmarkEnd w:id="80"/>
    </w:p>
    <w:p>
      <w:pPr>
        <w:pStyle w:val="4"/>
        <w:rPr>
          <w:rStyle w:val="37"/>
          <w:rFonts w:hint="eastAsia" w:ascii="仿宋" w:hAnsi="仿宋" w:eastAsia="仿宋"/>
          <w:b w:val="0"/>
          <w:bCs w:val="0"/>
        </w:rPr>
      </w:pPr>
      <w:bookmarkStart w:id="81" w:name="_Toc24062"/>
      <w:bookmarkStart w:id="82" w:name="_Toc15396627"/>
      <w:r>
        <w:rPr>
          <w:rStyle w:val="37"/>
          <w:rFonts w:hint="eastAsia" w:ascii="仿宋" w:hAnsi="仿宋" w:eastAsia="仿宋"/>
          <w:b w:val="0"/>
          <w:bCs w:val="0"/>
        </w:rPr>
        <w:t>九、一般公共预算财政拨款项目支出决算表</w:t>
      </w:r>
      <w:bookmarkEnd w:id="81"/>
      <w:bookmarkEnd w:id="82"/>
    </w:p>
    <w:p>
      <w:pPr>
        <w:pStyle w:val="4"/>
        <w:rPr>
          <w:rStyle w:val="37"/>
          <w:rFonts w:hint="eastAsia" w:ascii="仿宋" w:hAnsi="仿宋" w:eastAsia="仿宋"/>
          <w:b w:val="0"/>
          <w:bCs w:val="0"/>
        </w:rPr>
      </w:pPr>
      <w:bookmarkStart w:id="83" w:name="_Toc15396628"/>
      <w:bookmarkStart w:id="84" w:name="_Toc23439"/>
      <w:r>
        <w:rPr>
          <w:rStyle w:val="37"/>
          <w:rFonts w:hint="eastAsia" w:ascii="仿宋" w:hAnsi="仿宋" w:eastAsia="仿宋"/>
          <w:b w:val="0"/>
          <w:bCs w:val="0"/>
        </w:rPr>
        <w:t>十、</w:t>
      </w:r>
      <w:bookmarkEnd w:id="83"/>
      <w:r>
        <w:rPr>
          <w:rStyle w:val="37"/>
          <w:rFonts w:hint="eastAsia" w:ascii="仿宋" w:hAnsi="仿宋" w:eastAsia="仿宋"/>
          <w:b w:val="0"/>
          <w:bCs w:val="0"/>
        </w:rPr>
        <w:t>政府性基金预算财政拨款收入支出决算表</w:t>
      </w:r>
      <w:bookmarkEnd w:id="84"/>
    </w:p>
    <w:p>
      <w:pPr>
        <w:pStyle w:val="4"/>
        <w:rPr>
          <w:rStyle w:val="37"/>
          <w:rFonts w:hint="eastAsia" w:ascii="仿宋" w:hAnsi="仿宋" w:eastAsia="仿宋"/>
          <w:b w:val="0"/>
          <w:bCs w:val="0"/>
        </w:rPr>
      </w:pPr>
      <w:bookmarkStart w:id="85" w:name="_Toc15396629"/>
      <w:bookmarkStart w:id="86" w:name="_Toc5291"/>
      <w:r>
        <w:rPr>
          <w:rStyle w:val="37"/>
          <w:rFonts w:hint="eastAsia" w:ascii="仿宋" w:hAnsi="仿宋" w:eastAsia="仿宋"/>
          <w:b w:val="0"/>
          <w:bCs w:val="0"/>
        </w:rPr>
        <w:t>十一、</w:t>
      </w:r>
      <w:bookmarkEnd w:id="85"/>
      <w:r>
        <w:rPr>
          <w:rStyle w:val="37"/>
          <w:rFonts w:hint="eastAsia" w:ascii="仿宋" w:hAnsi="仿宋" w:eastAsia="仿宋"/>
          <w:b w:val="0"/>
          <w:bCs w:val="0"/>
        </w:rPr>
        <w:t>国有资本经营预算财政拨款收入支出决算表</w:t>
      </w:r>
      <w:bookmarkEnd w:id="86"/>
    </w:p>
    <w:p>
      <w:pPr>
        <w:pStyle w:val="4"/>
        <w:rPr>
          <w:rStyle w:val="37"/>
          <w:rFonts w:hint="eastAsia" w:ascii="仿宋" w:hAnsi="仿宋" w:eastAsia="仿宋"/>
          <w:b w:val="0"/>
          <w:bCs w:val="0"/>
        </w:rPr>
      </w:pPr>
      <w:bookmarkStart w:id="87" w:name="_Toc15396630"/>
      <w:bookmarkStart w:id="88" w:name="_Toc23131"/>
      <w:r>
        <w:rPr>
          <w:rStyle w:val="37"/>
          <w:rFonts w:hint="eastAsia" w:ascii="仿宋" w:hAnsi="仿宋" w:eastAsia="仿宋"/>
          <w:b w:val="0"/>
          <w:bCs w:val="0"/>
        </w:rPr>
        <w:t>十二、</w:t>
      </w:r>
      <w:bookmarkEnd w:id="87"/>
      <w:r>
        <w:rPr>
          <w:rStyle w:val="37"/>
          <w:rFonts w:hint="eastAsia" w:ascii="仿宋" w:hAnsi="仿宋" w:eastAsia="仿宋"/>
          <w:b w:val="0"/>
          <w:bCs w:val="0"/>
        </w:rPr>
        <w:t>国有资本经营预算财政拨款支出决算表</w:t>
      </w:r>
      <w:bookmarkEnd w:id="88"/>
    </w:p>
    <w:p>
      <w:pPr>
        <w:pStyle w:val="4"/>
        <w:rPr>
          <w:rStyle w:val="37"/>
          <w:rFonts w:hint="eastAsia" w:ascii="仿宋" w:hAnsi="仿宋" w:eastAsia="仿宋"/>
          <w:b w:val="0"/>
          <w:bCs w:val="0"/>
        </w:rPr>
      </w:pPr>
      <w:bookmarkStart w:id="89" w:name="_Toc15396631"/>
      <w:bookmarkStart w:id="90" w:name="_Toc25328"/>
      <w:r>
        <w:rPr>
          <w:rStyle w:val="37"/>
          <w:rFonts w:hint="eastAsia" w:ascii="仿宋" w:hAnsi="仿宋" w:eastAsia="仿宋"/>
          <w:b w:val="0"/>
          <w:bCs w:val="0"/>
        </w:rPr>
        <w:t>十三、</w:t>
      </w:r>
      <w:bookmarkEnd w:id="89"/>
      <w:r>
        <w:rPr>
          <w:rStyle w:val="37"/>
          <w:rFonts w:hint="eastAsia" w:ascii="仿宋" w:hAnsi="仿宋" w:eastAsia="仿宋"/>
          <w:b w:val="0"/>
          <w:bCs w:val="0"/>
        </w:rPr>
        <w:t>财政拨款“三公”经费支出决算表</w:t>
      </w:r>
      <w:bookmarkEnd w:id="90"/>
    </w:p>
    <w:p/>
    <w:sectPr>
      <w:footerReference r:id="rId7" w:type="first"/>
      <w:footerReference r:id="rId6" w:type="default"/>
      <w:pgSz w:w="11906" w:h="16838"/>
      <w:pgMar w:top="1440" w:right="1800" w:bottom="1440" w:left="1800" w:header="851" w:footer="992" w:gutter="0"/>
      <w:pgNumType w:fmt="numberInDash" w:start="1"/>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
    <w:altName w:val="Segoe Print"/>
    <w:panose1 w:val="00000000000000000000"/>
    <w:charset w:val="00"/>
    <w:family w:val="roma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Calibri Light">
    <w:panose1 w:val="020F0302020204030204"/>
    <w:charset w:val="00"/>
    <w:family w:val="auto"/>
    <w:pitch w:val="default"/>
    <w:sig w:usb0="A00002EF" w:usb1="4000207B" w:usb2="00000000" w:usb3="00000000" w:csb0="2000019F" w:csb1="00000000"/>
  </w:font>
  <w:font w:name="方正小标宋简体">
    <w:altName w:val="Arial Unicode MS"/>
    <w:panose1 w:val="02010601030101010101"/>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jc w:val="cente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8" name="文本框 1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0"/>
                          </w:pPr>
                          <w:r>
                            <w:fldChar w:fldCharType="begin"/>
                          </w:r>
                          <w:r>
                            <w:instrText xml:space="preserve"> PAGE  \* MERGEFORMAT </w:instrText>
                          </w:r>
                          <w:r>
                            <w:fldChar w:fldCharType="separate"/>
                          </w:r>
                          <w:r>
                            <w:t>- 1 -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3z1oQ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C989aEMQIAAGMEAAAOAAAAAAAAAAEAIAAAAB8BAABkcnMvZTJvRG9jLnhtbFBLBQYA&#10;AAAABgAGAFkBAADCBQAAAAA=&#10;">
              <v:fill on="f" focussize="0,0"/>
              <v:stroke on="f" weight="0.5pt"/>
              <v:imagedata o:title=""/>
              <o:lock v:ext="edit" aspectratio="f"/>
              <v:textbox inset="0mm,0mm,0mm,0mm" style="mso-fit-shape-to-text:t;">
                <w:txbxContent>
                  <w:p>
                    <w:pPr>
                      <w:pStyle w:val="10"/>
                    </w:pPr>
                    <w:r>
                      <w:fldChar w:fldCharType="begin"/>
                    </w:r>
                    <w:r>
                      <w:instrText xml:space="preserve"> PAGE  \* MERGEFORMAT </w:instrText>
                    </w:r>
                    <w:r>
                      <w:fldChar w:fldCharType="separate"/>
                    </w:r>
                    <w:r>
                      <w:t>- 1 -</w:t>
                    </w:r>
                    <w:r>
                      <w:fldChar w:fldCharType="end"/>
                    </w:r>
                  </w:p>
                </w:txbxContent>
              </v:textbox>
            </v:shape>
          </w:pict>
        </mc:Fallback>
      </mc:AlternateContent>
    </w:r>
  </w:p>
  <w:p>
    <w:pPr>
      <w:pStyle w:val="1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p>
  <w:p>
    <w:pPr>
      <w:pStyle w:val="10"/>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9" name="文本框 1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0"/>
                          </w:pPr>
                          <w:r>
                            <w:fldChar w:fldCharType="begin"/>
                          </w:r>
                          <w:r>
                            <w:instrText xml:space="preserve"> PAGE  \* MERGEFORMAT </w:instrText>
                          </w:r>
                          <w:r>
                            <w:fldChar w:fldCharType="separate"/>
                          </w:r>
                          <w:r>
                            <w:t>- 1 -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9bQWsyAgAAYwQAAA4AAABkcnMvZTJvRG9jLnhtbK1UzY7TMBC+I/EO&#10;lu80aRGrUj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1tBazICAABjBAAADgAAAAAAAAABACAAAAAfAQAAZHJzL2Uyb0RvYy54bWxQSwUG&#10;AAAAAAYABgBZAQAAwwUAAAAA&#10;">
              <v:fill on="f" focussize="0,0"/>
              <v:stroke on="f" weight="0.5pt"/>
              <v:imagedata o:title=""/>
              <o:lock v:ext="edit" aspectratio="f"/>
              <v:textbox inset="0mm,0mm,0mm,0mm" style="mso-fit-shape-to-text:t;">
                <w:txbxContent>
                  <w:p>
                    <w:pPr>
                      <w:pStyle w:val="10"/>
                    </w:pPr>
                    <w:r>
                      <w:fldChar w:fldCharType="begin"/>
                    </w:r>
                    <w:r>
                      <w:instrText xml:space="preserve"> PAGE  \* MERGEFORMAT </w:instrText>
                    </w:r>
                    <w:r>
                      <w:fldChar w:fldCharType="separate"/>
                    </w:r>
                    <w:r>
                      <w:t>- 1 -</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jc w:val="center"/>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20" name="文本框 2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0"/>
                          </w:pPr>
                          <w:r>
                            <w:fldChar w:fldCharType="begin"/>
                          </w:r>
                          <w:r>
                            <w:instrText xml:space="preserve"> PAGE  \* MERGEFORMAT </w:instrText>
                          </w:r>
                          <w:r>
                            <w:fldChar w:fldCharType="separate"/>
                          </w:r>
                          <w:r>
                            <w:t>- 2 -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R3mOYy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1HeY5jICAABjBAAADgAAAAAAAAABACAAAAAfAQAAZHJzL2Uyb0RvYy54bWxQSwUG&#10;AAAAAAYABgBZAQAAwwUAAAAA&#10;">
              <v:fill on="f" focussize="0,0"/>
              <v:stroke on="f" weight="0.5pt"/>
              <v:imagedata o:title=""/>
              <o:lock v:ext="edit" aspectratio="f"/>
              <v:textbox inset="0mm,0mm,0mm,0mm" style="mso-fit-shape-to-text:t;">
                <w:txbxContent>
                  <w:p>
                    <w:pPr>
                      <w:pStyle w:val="10"/>
                    </w:pPr>
                    <w:r>
                      <w:fldChar w:fldCharType="begin"/>
                    </w:r>
                    <w:r>
                      <w:instrText xml:space="preserve"> PAGE  \* MERGEFORMAT </w:instrText>
                    </w:r>
                    <w:r>
                      <w:fldChar w:fldCharType="separate"/>
                    </w:r>
                    <w:r>
                      <w:t>- 2 -</w:t>
                    </w:r>
                    <w:r>
                      <w:fldChar w:fldCharType="end"/>
                    </w:r>
                  </w:p>
                </w:txbxContent>
              </v:textbox>
            </v:shape>
          </w:pict>
        </mc:Fallback>
      </mc:AlternateContent>
    </w:r>
  </w:p>
  <w:p>
    <w:pPr>
      <w:pStyle w:val="1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21" name="文本框 2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0"/>
                          </w:pPr>
                          <w:r>
                            <w:fldChar w:fldCharType="begin"/>
                          </w:r>
                          <w:r>
                            <w:instrText xml:space="preserve"> PAGE  \* MERGEFORMAT </w:instrText>
                          </w:r>
                          <w:r>
                            <w:fldChar w:fldCharType="separate"/>
                          </w:r>
                          <w:r>
                            <w:t>- 1 -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lt8PCTICAABjBAAADgAAAAAAAAABACAAAAAfAQAAZHJzL2Uyb0RvYy54bWxQSwUG&#10;AAAAAAYABgBZAQAAwwUAAAAA&#10;">
              <v:fill on="f" focussize="0,0"/>
              <v:stroke on="f" weight="0.5pt"/>
              <v:imagedata o:title=""/>
              <o:lock v:ext="edit" aspectratio="f"/>
              <v:textbox inset="0mm,0mm,0mm,0mm" style="mso-fit-shape-to-text:t;">
                <w:txbxContent>
                  <w:p>
                    <w:pPr>
                      <w:pStyle w:val="10"/>
                    </w:pPr>
                    <w:r>
                      <w:fldChar w:fldCharType="begin"/>
                    </w:r>
                    <w:r>
                      <w:instrText xml:space="preserve"> PAGE  \* MERGEFORMAT </w:instrText>
                    </w:r>
                    <w:r>
                      <w:fldChar w:fldCharType="separate"/>
                    </w:r>
                    <w:r>
                      <w:t>- 1 -</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1361C"/>
    <w:rsid w:val="000222C6"/>
    <w:rsid w:val="0002549F"/>
    <w:rsid w:val="000468DB"/>
    <w:rsid w:val="0006487A"/>
    <w:rsid w:val="00065F8F"/>
    <w:rsid w:val="00070A43"/>
    <w:rsid w:val="000768F2"/>
    <w:rsid w:val="0009184B"/>
    <w:rsid w:val="00094236"/>
    <w:rsid w:val="0009593C"/>
    <w:rsid w:val="00097322"/>
    <w:rsid w:val="000A6A92"/>
    <w:rsid w:val="000B047F"/>
    <w:rsid w:val="000B5923"/>
    <w:rsid w:val="000B5A48"/>
    <w:rsid w:val="000B6FF3"/>
    <w:rsid w:val="000C3467"/>
    <w:rsid w:val="000C3CA6"/>
    <w:rsid w:val="000D1267"/>
    <w:rsid w:val="000D1D50"/>
    <w:rsid w:val="000D5782"/>
    <w:rsid w:val="000E6613"/>
    <w:rsid w:val="000E7119"/>
    <w:rsid w:val="00114E9B"/>
    <w:rsid w:val="00142216"/>
    <w:rsid w:val="00144D6A"/>
    <w:rsid w:val="0014729F"/>
    <w:rsid w:val="00157BAB"/>
    <w:rsid w:val="001654D1"/>
    <w:rsid w:val="00174518"/>
    <w:rsid w:val="0018106D"/>
    <w:rsid w:val="001877A7"/>
    <w:rsid w:val="00191536"/>
    <w:rsid w:val="00196687"/>
    <w:rsid w:val="001C0962"/>
    <w:rsid w:val="001D7531"/>
    <w:rsid w:val="001E737D"/>
    <w:rsid w:val="001F0592"/>
    <w:rsid w:val="001F7506"/>
    <w:rsid w:val="002006CD"/>
    <w:rsid w:val="00202B36"/>
    <w:rsid w:val="00204B7A"/>
    <w:rsid w:val="00204CDE"/>
    <w:rsid w:val="0021101A"/>
    <w:rsid w:val="00220536"/>
    <w:rsid w:val="00235629"/>
    <w:rsid w:val="00260C38"/>
    <w:rsid w:val="002616C0"/>
    <w:rsid w:val="00265372"/>
    <w:rsid w:val="002662AA"/>
    <w:rsid w:val="00280496"/>
    <w:rsid w:val="00294DC9"/>
    <w:rsid w:val="00295495"/>
    <w:rsid w:val="002A31DE"/>
    <w:rsid w:val="002B2613"/>
    <w:rsid w:val="002D6D05"/>
    <w:rsid w:val="002F1818"/>
    <w:rsid w:val="002F567B"/>
    <w:rsid w:val="003216A9"/>
    <w:rsid w:val="00335A74"/>
    <w:rsid w:val="0036561B"/>
    <w:rsid w:val="0037013F"/>
    <w:rsid w:val="00380C92"/>
    <w:rsid w:val="003A484F"/>
    <w:rsid w:val="003A4883"/>
    <w:rsid w:val="003B0BE0"/>
    <w:rsid w:val="003B0C1B"/>
    <w:rsid w:val="003B688C"/>
    <w:rsid w:val="003C0291"/>
    <w:rsid w:val="003C39AE"/>
    <w:rsid w:val="003C7B60"/>
    <w:rsid w:val="003D0C0F"/>
    <w:rsid w:val="003D1FB2"/>
    <w:rsid w:val="003D66DA"/>
    <w:rsid w:val="003E1310"/>
    <w:rsid w:val="003E6F55"/>
    <w:rsid w:val="00406254"/>
    <w:rsid w:val="004223DE"/>
    <w:rsid w:val="00434489"/>
    <w:rsid w:val="00437085"/>
    <w:rsid w:val="00443880"/>
    <w:rsid w:val="004464F4"/>
    <w:rsid w:val="00471401"/>
    <w:rsid w:val="00473F31"/>
    <w:rsid w:val="0048263A"/>
    <w:rsid w:val="00487E5D"/>
    <w:rsid w:val="004A711F"/>
    <w:rsid w:val="004B199D"/>
    <w:rsid w:val="004B4690"/>
    <w:rsid w:val="004E0A2D"/>
    <w:rsid w:val="004E206B"/>
    <w:rsid w:val="004E6DF7"/>
    <w:rsid w:val="004F0FBD"/>
    <w:rsid w:val="00505A47"/>
    <w:rsid w:val="00507004"/>
    <w:rsid w:val="00512FDA"/>
    <w:rsid w:val="00520DA0"/>
    <w:rsid w:val="005664BB"/>
    <w:rsid w:val="00566FFA"/>
    <w:rsid w:val="0057481D"/>
    <w:rsid w:val="0058486E"/>
    <w:rsid w:val="00585B33"/>
    <w:rsid w:val="0059014D"/>
    <w:rsid w:val="005B5C64"/>
    <w:rsid w:val="005C5337"/>
    <w:rsid w:val="005C6BD0"/>
    <w:rsid w:val="005D1C8B"/>
    <w:rsid w:val="005D468D"/>
    <w:rsid w:val="005D5CED"/>
    <w:rsid w:val="005F1A4C"/>
    <w:rsid w:val="00605688"/>
    <w:rsid w:val="006070AF"/>
    <w:rsid w:val="00607E6C"/>
    <w:rsid w:val="006101B1"/>
    <w:rsid w:val="00614E44"/>
    <w:rsid w:val="0062270A"/>
    <w:rsid w:val="00622830"/>
    <w:rsid w:val="00623DA0"/>
    <w:rsid w:val="00630AEF"/>
    <w:rsid w:val="006325F8"/>
    <w:rsid w:val="00633463"/>
    <w:rsid w:val="00634C9A"/>
    <w:rsid w:val="006440E4"/>
    <w:rsid w:val="0066343B"/>
    <w:rsid w:val="00664777"/>
    <w:rsid w:val="006748A4"/>
    <w:rsid w:val="00681A31"/>
    <w:rsid w:val="00683E73"/>
    <w:rsid w:val="006A3141"/>
    <w:rsid w:val="006A5E34"/>
    <w:rsid w:val="006B2422"/>
    <w:rsid w:val="006B2B9A"/>
    <w:rsid w:val="006C1937"/>
    <w:rsid w:val="006F020C"/>
    <w:rsid w:val="007127B7"/>
    <w:rsid w:val="0071798E"/>
    <w:rsid w:val="007416B6"/>
    <w:rsid w:val="00746F48"/>
    <w:rsid w:val="0075404D"/>
    <w:rsid w:val="0076182A"/>
    <w:rsid w:val="00767B7E"/>
    <w:rsid w:val="007770C3"/>
    <w:rsid w:val="00784D24"/>
    <w:rsid w:val="00785FBA"/>
    <w:rsid w:val="00786E4A"/>
    <w:rsid w:val="007875EB"/>
    <w:rsid w:val="0079426B"/>
    <w:rsid w:val="007D1682"/>
    <w:rsid w:val="007D312A"/>
    <w:rsid w:val="007D3F19"/>
    <w:rsid w:val="007E23B0"/>
    <w:rsid w:val="007E23E5"/>
    <w:rsid w:val="007F1991"/>
    <w:rsid w:val="007F2C2F"/>
    <w:rsid w:val="007F55FC"/>
    <w:rsid w:val="007F5665"/>
    <w:rsid w:val="00800112"/>
    <w:rsid w:val="00813348"/>
    <w:rsid w:val="008253BB"/>
    <w:rsid w:val="0083706E"/>
    <w:rsid w:val="0083795B"/>
    <w:rsid w:val="008408F6"/>
    <w:rsid w:val="008423A5"/>
    <w:rsid w:val="00850625"/>
    <w:rsid w:val="00853718"/>
    <w:rsid w:val="00855221"/>
    <w:rsid w:val="00860645"/>
    <w:rsid w:val="00871F71"/>
    <w:rsid w:val="00872FD8"/>
    <w:rsid w:val="00885AF4"/>
    <w:rsid w:val="008939CD"/>
    <w:rsid w:val="008B768C"/>
    <w:rsid w:val="008C4DB1"/>
    <w:rsid w:val="008C4EAF"/>
    <w:rsid w:val="008C5176"/>
    <w:rsid w:val="008C7FD0"/>
    <w:rsid w:val="008E1DE7"/>
    <w:rsid w:val="008E707C"/>
    <w:rsid w:val="00900B08"/>
    <w:rsid w:val="00902155"/>
    <w:rsid w:val="00902FA3"/>
    <w:rsid w:val="00923564"/>
    <w:rsid w:val="0092392E"/>
    <w:rsid w:val="009315F9"/>
    <w:rsid w:val="00933499"/>
    <w:rsid w:val="00935C98"/>
    <w:rsid w:val="00946945"/>
    <w:rsid w:val="00951248"/>
    <w:rsid w:val="0095152F"/>
    <w:rsid w:val="00954C49"/>
    <w:rsid w:val="00955E37"/>
    <w:rsid w:val="0097099F"/>
    <w:rsid w:val="00971997"/>
    <w:rsid w:val="00971FFC"/>
    <w:rsid w:val="0098660A"/>
    <w:rsid w:val="009931C3"/>
    <w:rsid w:val="009B2C43"/>
    <w:rsid w:val="009B4EAE"/>
    <w:rsid w:val="009B7573"/>
    <w:rsid w:val="009C22F4"/>
    <w:rsid w:val="009C2A4B"/>
    <w:rsid w:val="009C2E98"/>
    <w:rsid w:val="009D3447"/>
    <w:rsid w:val="009D4711"/>
    <w:rsid w:val="009F1185"/>
    <w:rsid w:val="009F18CD"/>
    <w:rsid w:val="009F2A13"/>
    <w:rsid w:val="009F7527"/>
    <w:rsid w:val="00A04EB0"/>
    <w:rsid w:val="00A13CC1"/>
    <w:rsid w:val="00A16847"/>
    <w:rsid w:val="00A237D8"/>
    <w:rsid w:val="00A268C4"/>
    <w:rsid w:val="00A307CD"/>
    <w:rsid w:val="00A331C8"/>
    <w:rsid w:val="00A40A00"/>
    <w:rsid w:val="00A4142F"/>
    <w:rsid w:val="00A422EB"/>
    <w:rsid w:val="00A45BB7"/>
    <w:rsid w:val="00A56DF2"/>
    <w:rsid w:val="00A56E6E"/>
    <w:rsid w:val="00A67AB5"/>
    <w:rsid w:val="00A733B2"/>
    <w:rsid w:val="00A741C2"/>
    <w:rsid w:val="00A91760"/>
    <w:rsid w:val="00A93B00"/>
    <w:rsid w:val="00A93C21"/>
    <w:rsid w:val="00AB64C9"/>
    <w:rsid w:val="00AC3C6A"/>
    <w:rsid w:val="00AD5620"/>
    <w:rsid w:val="00AD656B"/>
    <w:rsid w:val="00AD7C1B"/>
    <w:rsid w:val="00AE16BA"/>
    <w:rsid w:val="00AE1EBE"/>
    <w:rsid w:val="00B03C9D"/>
    <w:rsid w:val="00B060AE"/>
    <w:rsid w:val="00B10517"/>
    <w:rsid w:val="00B14E76"/>
    <w:rsid w:val="00B161B8"/>
    <w:rsid w:val="00B2048C"/>
    <w:rsid w:val="00B310B9"/>
    <w:rsid w:val="00B35F3F"/>
    <w:rsid w:val="00B36CBB"/>
    <w:rsid w:val="00B425E0"/>
    <w:rsid w:val="00B440AA"/>
    <w:rsid w:val="00B44B70"/>
    <w:rsid w:val="00B53C56"/>
    <w:rsid w:val="00B57DAF"/>
    <w:rsid w:val="00B77EA6"/>
    <w:rsid w:val="00B81598"/>
    <w:rsid w:val="00B841F1"/>
    <w:rsid w:val="00B922A3"/>
    <w:rsid w:val="00B944D6"/>
    <w:rsid w:val="00BB4DF0"/>
    <w:rsid w:val="00BC289F"/>
    <w:rsid w:val="00BC2D50"/>
    <w:rsid w:val="00BC5361"/>
    <w:rsid w:val="00BC5460"/>
    <w:rsid w:val="00BC6B50"/>
    <w:rsid w:val="00BD0E25"/>
    <w:rsid w:val="00BF5BD6"/>
    <w:rsid w:val="00C03E31"/>
    <w:rsid w:val="00C33E72"/>
    <w:rsid w:val="00C354B2"/>
    <w:rsid w:val="00C35554"/>
    <w:rsid w:val="00C42709"/>
    <w:rsid w:val="00C533CC"/>
    <w:rsid w:val="00C5751C"/>
    <w:rsid w:val="00C61BFC"/>
    <w:rsid w:val="00C62B85"/>
    <w:rsid w:val="00C65438"/>
    <w:rsid w:val="00C87FD8"/>
    <w:rsid w:val="00C91381"/>
    <w:rsid w:val="00C91CBB"/>
    <w:rsid w:val="00CB4E70"/>
    <w:rsid w:val="00CC09B6"/>
    <w:rsid w:val="00CC666F"/>
    <w:rsid w:val="00CD1E3F"/>
    <w:rsid w:val="00CE44F6"/>
    <w:rsid w:val="00CE49DA"/>
    <w:rsid w:val="00CE7B61"/>
    <w:rsid w:val="00D00095"/>
    <w:rsid w:val="00D02FE1"/>
    <w:rsid w:val="00D114F0"/>
    <w:rsid w:val="00D20620"/>
    <w:rsid w:val="00D254F7"/>
    <w:rsid w:val="00D26091"/>
    <w:rsid w:val="00D2685C"/>
    <w:rsid w:val="00D34E7C"/>
    <w:rsid w:val="00D35489"/>
    <w:rsid w:val="00D36AFE"/>
    <w:rsid w:val="00D51276"/>
    <w:rsid w:val="00D5444D"/>
    <w:rsid w:val="00D7035F"/>
    <w:rsid w:val="00DA634F"/>
    <w:rsid w:val="00DA65AC"/>
    <w:rsid w:val="00DB1913"/>
    <w:rsid w:val="00DC2C99"/>
    <w:rsid w:val="00DC410D"/>
    <w:rsid w:val="00DC5A81"/>
    <w:rsid w:val="00DC68CA"/>
    <w:rsid w:val="00DC7CBA"/>
    <w:rsid w:val="00DD73B7"/>
    <w:rsid w:val="00DF28BC"/>
    <w:rsid w:val="00DF34B9"/>
    <w:rsid w:val="00E01053"/>
    <w:rsid w:val="00E07ACF"/>
    <w:rsid w:val="00E331A1"/>
    <w:rsid w:val="00E33202"/>
    <w:rsid w:val="00E336A9"/>
    <w:rsid w:val="00E472B1"/>
    <w:rsid w:val="00E50624"/>
    <w:rsid w:val="00E54633"/>
    <w:rsid w:val="00E568DF"/>
    <w:rsid w:val="00E64269"/>
    <w:rsid w:val="00E82267"/>
    <w:rsid w:val="00E853CE"/>
    <w:rsid w:val="00E867B6"/>
    <w:rsid w:val="00EA010F"/>
    <w:rsid w:val="00ED1B63"/>
    <w:rsid w:val="00ED3C1F"/>
    <w:rsid w:val="00ED4085"/>
    <w:rsid w:val="00ED420E"/>
    <w:rsid w:val="00ED6FBE"/>
    <w:rsid w:val="00EE2F57"/>
    <w:rsid w:val="00EF4C34"/>
    <w:rsid w:val="00EF77C6"/>
    <w:rsid w:val="00F05438"/>
    <w:rsid w:val="00F1361C"/>
    <w:rsid w:val="00F156F0"/>
    <w:rsid w:val="00F160C7"/>
    <w:rsid w:val="00F2408F"/>
    <w:rsid w:val="00F240E9"/>
    <w:rsid w:val="00F36D8F"/>
    <w:rsid w:val="00F417B1"/>
    <w:rsid w:val="00F45853"/>
    <w:rsid w:val="00F602DF"/>
    <w:rsid w:val="00F754A1"/>
    <w:rsid w:val="00F81FD9"/>
    <w:rsid w:val="00F841AA"/>
    <w:rsid w:val="00F84A94"/>
    <w:rsid w:val="00F87E96"/>
    <w:rsid w:val="00FA23E8"/>
    <w:rsid w:val="00FD3CC1"/>
    <w:rsid w:val="00FF1E02"/>
    <w:rsid w:val="00FF30B4"/>
    <w:rsid w:val="012A5EC2"/>
    <w:rsid w:val="015975B8"/>
    <w:rsid w:val="02FEBE30"/>
    <w:rsid w:val="04916F1E"/>
    <w:rsid w:val="061E35DE"/>
    <w:rsid w:val="06200051"/>
    <w:rsid w:val="066E0107"/>
    <w:rsid w:val="07996F6E"/>
    <w:rsid w:val="07DFD8BA"/>
    <w:rsid w:val="09867E8F"/>
    <w:rsid w:val="0A2032A3"/>
    <w:rsid w:val="0CA8290A"/>
    <w:rsid w:val="0D35B1ED"/>
    <w:rsid w:val="0DDF33BD"/>
    <w:rsid w:val="0E254B6B"/>
    <w:rsid w:val="0F98263C"/>
    <w:rsid w:val="101860EC"/>
    <w:rsid w:val="101F47CC"/>
    <w:rsid w:val="10C055FF"/>
    <w:rsid w:val="11694EBD"/>
    <w:rsid w:val="11772AA4"/>
    <w:rsid w:val="118107EC"/>
    <w:rsid w:val="12E24EE2"/>
    <w:rsid w:val="13D50BC4"/>
    <w:rsid w:val="14B17F78"/>
    <w:rsid w:val="165E0673"/>
    <w:rsid w:val="16B831D5"/>
    <w:rsid w:val="16BB723D"/>
    <w:rsid w:val="17E50567"/>
    <w:rsid w:val="186504BB"/>
    <w:rsid w:val="19A445FC"/>
    <w:rsid w:val="1BE8440E"/>
    <w:rsid w:val="1CC6347C"/>
    <w:rsid w:val="1D155CEE"/>
    <w:rsid w:val="1D1638FE"/>
    <w:rsid w:val="1E312DEB"/>
    <w:rsid w:val="1E740ACF"/>
    <w:rsid w:val="1EC05A3F"/>
    <w:rsid w:val="1FD91AA0"/>
    <w:rsid w:val="1FF35744"/>
    <w:rsid w:val="1FF6BC77"/>
    <w:rsid w:val="2186353C"/>
    <w:rsid w:val="23860B96"/>
    <w:rsid w:val="23AA1961"/>
    <w:rsid w:val="240371BF"/>
    <w:rsid w:val="244F3473"/>
    <w:rsid w:val="24C97D99"/>
    <w:rsid w:val="25A718F0"/>
    <w:rsid w:val="25BB59F6"/>
    <w:rsid w:val="260F557C"/>
    <w:rsid w:val="26970054"/>
    <w:rsid w:val="27567996"/>
    <w:rsid w:val="281408E2"/>
    <w:rsid w:val="28341F69"/>
    <w:rsid w:val="29FD04D3"/>
    <w:rsid w:val="2BFF7BC6"/>
    <w:rsid w:val="2C8A61B5"/>
    <w:rsid w:val="2DF04E50"/>
    <w:rsid w:val="2E586DFA"/>
    <w:rsid w:val="2F040D46"/>
    <w:rsid w:val="2F6B035B"/>
    <w:rsid w:val="2FAE5751"/>
    <w:rsid w:val="2FB1A395"/>
    <w:rsid w:val="2FD9A7D8"/>
    <w:rsid w:val="2FDBF714"/>
    <w:rsid w:val="30AB6865"/>
    <w:rsid w:val="319F7F4E"/>
    <w:rsid w:val="32BD1EF1"/>
    <w:rsid w:val="3304709D"/>
    <w:rsid w:val="33A773CB"/>
    <w:rsid w:val="349D6851"/>
    <w:rsid w:val="35985088"/>
    <w:rsid w:val="35E6413B"/>
    <w:rsid w:val="36AA5135"/>
    <w:rsid w:val="36BE0DA7"/>
    <w:rsid w:val="376B6AA6"/>
    <w:rsid w:val="376D39B2"/>
    <w:rsid w:val="37E16F03"/>
    <w:rsid w:val="37F53A3B"/>
    <w:rsid w:val="389B6C89"/>
    <w:rsid w:val="38D469F0"/>
    <w:rsid w:val="39627CCD"/>
    <w:rsid w:val="397BAF1F"/>
    <w:rsid w:val="3AB79AF3"/>
    <w:rsid w:val="3AE834C0"/>
    <w:rsid w:val="3B7EF35A"/>
    <w:rsid w:val="3B9FDB6C"/>
    <w:rsid w:val="3BF5BC2F"/>
    <w:rsid w:val="3CEBA265"/>
    <w:rsid w:val="3D98207C"/>
    <w:rsid w:val="3DEE7CF3"/>
    <w:rsid w:val="3E740A63"/>
    <w:rsid w:val="3E78745D"/>
    <w:rsid w:val="3EE17838"/>
    <w:rsid w:val="3F55381A"/>
    <w:rsid w:val="3F7F7599"/>
    <w:rsid w:val="3FE24165"/>
    <w:rsid w:val="3FF4CAE0"/>
    <w:rsid w:val="3FF7B227"/>
    <w:rsid w:val="44E268DA"/>
    <w:rsid w:val="450D13D7"/>
    <w:rsid w:val="45506656"/>
    <w:rsid w:val="486A6C7A"/>
    <w:rsid w:val="4A627F82"/>
    <w:rsid w:val="4B0E749A"/>
    <w:rsid w:val="4B2477C4"/>
    <w:rsid w:val="4B4F25DA"/>
    <w:rsid w:val="4BE068DB"/>
    <w:rsid w:val="4D577224"/>
    <w:rsid w:val="4DBF1CEB"/>
    <w:rsid w:val="4DF0007C"/>
    <w:rsid w:val="4E733692"/>
    <w:rsid w:val="4E9A5707"/>
    <w:rsid w:val="4EAB630A"/>
    <w:rsid w:val="4ECE2238"/>
    <w:rsid w:val="4F833267"/>
    <w:rsid w:val="4FE9BD67"/>
    <w:rsid w:val="4FFB052F"/>
    <w:rsid w:val="502F019C"/>
    <w:rsid w:val="537E6D0A"/>
    <w:rsid w:val="53F74C96"/>
    <w:rsid w:val="54FD7D57"/>
    <w:rsid w:val="55170BA8"/>
    <w:rsid w:val="553218C9"/>
    <w:rsid w:val="567E1AA5"/>
    <w:rsid w:val="56E47B74"/>
    <w:rsid w:val="57175D52"/>
    <w:rsid w:val="57BD3DD4"/>
    <w:rsid w:val="57D72CAA"/>
    <w:rsid w:val="5ADE1FC9"/>
    <w:rsid w:val="5AF92295"/>
    <w:rsid w:val="5B250254"/>
    <w:rsid w:val="5BDD79E6"/>
    <w:rsid w:val="5BF561CA"/>
    <w:rsid w:val="5BFF5DFC"/>
    <w:rsid w:val="5CD71FC4"/>
    <w:rsid w:val="5D1F11B5"/>
    <w:rsid w:val="5D695134"/>
    <w:rsid w:val="5DAE1B18"/>
    <w:rsid w:val="5DE7D9E5"/>
    <w:rsid w:val="5EA902B4"/>
    <w:rsid w:val="5ECEC941"/>
    <w:rsid w:val="5FBF9FF3"/>
    <w:rsid w:val="5FCD4E2C"/>
    <w:rsid w:val="5FEF394A"/>
    <w:rsid w:val="5FF67715"/>
    <w:rsid w:val="60F224D1"/>
    <w:rsid w:val="62BF3928"/>
    <w:rsid w:val="63B3701E"/>
    <w:rsid w:val="647F5392"/>
    <w:rsid w:val="65E66580"/>
    <w:rsid w:val="664B1D71"/>
    <w:rsid w:val="664B4E8E"/>
    <w:rsid w:val="67277B67"/>
    <w:rsid w:val="67AA3209"/>
    <w:rsid w:val="698D0931"/>
    <w:rsid w:val="6A597B55"/>
    <w:rsid w:val="6A7FE5F3"/>
    <w:rsid w:val="6B053271"/>
    <w:rsid w:val="6BDD78B3"/>
    <w:rsid w:val="6C4A05C8"/>
    <w:rsid w:val="6C8742B8"/>
    <w:rsid w:val="6DBF5E93"/>
    <w:rsid w:val="6DFF077E"/>
    <w:rsid w:val="6E714EF0"/>
    <w:rsid w:val="6E7E3605"/>
    <w:rsid w:val="6E7FDCC7"/>
    <w:rsid w:val="6ED6A62E"/>
    <w:rsid w:val="6EE00B15"/>
    <w:rsid w:val="6F6FB3EB"/>
    <w:rsid w:val="6F8731EA"/>
    <w:rsid w:val="6FCE6052"/>
    <w:rsid w:val="6FD57C00"/>
    <w:rsid w:val="6FEFFFD8"/>
    <w:rsid w:val="6FF5CC65"/>
    <w:rsid w:val="6FFB47EC"/>
    <w:rsid w:val="6FFF034A"/>
    <w:rsid w:val="70484440"/>
    <w:rsid w:val="712A28F1"/>
    <w:rsid w:val="715C0E4B"/>
    <w:rsid w:val="71992E7C"/>
    <w:rsid w:val="72233669"/>
    <w:rsid w:val="72734D90"/>
    <w:rsid w:val="73160E6D"/>
    <w:rsid w:val="7332FE48"/>
    <w:rsid w:val="73AB61DA"/>
    <w:rsid w:val="73AD73D5"/>
    <w:rsid w:val="73B6EB34"/>
    <w:rsid w:val="73FA497D"/>
    <w:rsid w:val="744731E5"/>
    <w:rsid w:val="74BBD01D"/>
    <w:rsid w:val="74ED5379"/>
    <w:rsid w:val="75DEEEC2"/>
    <w:rsid w:val="75E32345"/>
    <w:rsid w:val="75E85C61"/>
    <w:rsid w:val="76E3355F"/>
    <w:rsid w:val="76FF5125"/>
    <w:rsid w:val="776F6FFA"/>
    <w:rsid w:val="778769C8"/>
    <w:rsid w:val="77A75DCA"/>
    <w:rsid w:val="77DC22F5"/>
    <w:rsid w:val="783E271A"/>
    <w:rsid w:val="78616DE9"/>
    <w:rsid w:val="78E875D7"/>
    <w:rsid w:val="79086DAD"/>
    <w:rsid w:val="79D7FD79"/>
    <w:rsid w:val="79EE5BA4"/>
    <w:rsid w:val="7A894339"/>
    <w:rsid w:val="7AD284E8"/>
    <w:rsid w:val="7AFF7572"/>
    <w:rsid w:val="7B6C7DFB"/>
    <w:rsid w:val="7BBFBED0"/>
    <w:rsid w:val="7BC3E394"/>
    <w:rsid w:val="7C1F3737"/>
    <w:rsid w:val="7CBFC87B"/>
    <w:rsid w:val="7CFE0F48"/>
    <w:rsid w:val="7D272ABC"/>
    <w:rsid w:val="7D7EC23E"/>
    <w:rsid w:val="7E8ADEBF"/>
    <w:rsid w:val="7EEF11D3"/>
    <w:rsid w:val="7EFE4840"/>
    <w:rsid w:val="7F0971A6"/>
    <w:rsid w:val="7F1D62E7"/>
    <w:rsid w:val="7F3F679B"/>
    <w:rsid w:val="7F4FC4EF"/>
    <w:rsid w:val="7F5E4D54"/>
    <w:rsid w:val="7F6E0135"/>
    <w:rsid w:val="7F79F205"/>
    <w:rsid w:val="7FA30C79"/>
    <w:rsid w:val="7FA79C44"/>
    <w:rsid w:val="7FAF8ABF"/>
    <w:rsid w:val="7FB7269E"/>
    <w:rsid w:val="7FC96657"/>
    <w:rsid w:val="7FDA9588"/>
    <w:rsid w:val="7FDF220F"/>
    <w:rsid w:val="7FEDC5F7"/>
    <w:rsid w:val="7FEDD9DE"/>
    <w:rsid w:val="7FF5890D"/>
    <w:rsid w:val="7FF93490"/>
    <w:rsid w:val="99FF2014"/>
    <w:rsid w:val="A6DD0D7F"/>
    <w:rsid w:val="ACFF4FBB"/>
    <w:rsid w:val="ADC6F725"/>
    <w:rsid w:val="B7CF06AB"/>
    <w:rsid w:val="B7CFA926"/>
    <w:rsid w:val="B7F8786B"/>
    <w:rsid w:val="BABB6AA1"/>
    <w:rsid w:val="BB2F4199"/>
    <w:rsid w:val="BCFFB442"/>
    <w:rsid w:val="BD079C78"/>
    <w:rsid w:val="BD733540"/>
    <w:rsid w:val="BF3735D5"/>
    <w:rsid w:val="BF7F09AC"/>
    <w:rsid w:val="BFD475C3"/>
    <w:rsid w:val="BFDE5EA6"/>
    <w:rsid w:val="CF6FC6F3"/>
    <w:rsid w:val="CFD3D3D7"/>
    <w:rsid w:val="CFDF1009"/>
    <w:rsid w:val="D7D7B16A"/>
    <w:rsid w:val="D8D6DB89"/>
    <w:rsid w:val="DB6F4CAB"/>
    <w:rsid w:val="DB777682"/>
    <w:rsid w:val="DD1FB521"/>
    <w:rsid w:val="DEFBFEAE"/>
    <w:rsid w:val="DF1F3B80"/>
    <w:rsid w:val="DF6F9789"/>
    <w:rsid w:val="DFE9BE81"/>
    <w:rsid w:val="DFFFA9E8"/>
    <w:rsid w:val="E5F4E9DC"/>
    <w:rsid w:val="E70FE695"/>
    <w:rsid w:val="EB2E368B"/>
    <w:rsid w:val="ECFED1BC"/>
    <w:rsid w:val="ED1D69BB"/>
    <w:rsid w:val="ED7FD312"/>
    <w:rsid w:val="EF2E1AC6"/>
    <w:rsid w:val="EF53993F"/>
    <w:rsid w:val="EF6FD633"/>
    <w:rsid w:val="EFBFB2F4"/>
    <w:rsid w:val="EFBFFA21"/>
    <w:rsid w:val="F2BEBCB8"/>
    <w:rsid w:val="F36FB518"/>
    <w:rsid w:val="F3DE1A04"/>
    <w:rsid w:val="F3F722E5"/>
    <w:rsid w:val="F4FBCD07"/>
    <w:rsid w:val="FA5F1E70"/>
    <w:rsid w:val="FA5FDB97"/>
    <w:rsid w:val="FB7F486A"/>
    <w:rsid w:val="FBFF5B2E"/>
    <w:rsid w:val="FD7FFE2B"/>
    <w:rsid w:val="FDEE196B"/>
    <w:rsid w:val="FDFE6575"/>
    <w:rsid w:val="FEDFDDC2"/>
    <w:rsid w:val="FEED32F6"/>
    <w:rsid w:val="FEF781DD"/>
    <w:rsid w:val="FF3F7E3F"/>
    <w:rsid w:val="FFBA12D7"/>
    <w:rsid w:val="FFCBD314"/>
    <w:rsid w:val="FFDFF91C"/>
    <w:rsid w:val="FFDFFAEE"/>
    <w:rsid w:val="FFEF6777"/>
    <w:rsid w:val="FFF9B57B"/>
    <w:rsid w:val="FFFD61D9"/>
    <w:rsid w:val="FFFD8F59"/>
    <w:rsid w:val="FFFF2BB1"/>
    <w:rsid w:val="FFFFB04D"/>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name="footnote text"/>
    <w:lsdException w:uiPriority="99" w:name="annotation text"/>
    <w:lsdException w:qFormat="1" w:unhideWhenUsed="0" w:uiPriority="99"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99"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8"/>
    <w:qFormat/>
    <w:uiPriority w:val="9"/>
    <w:pPr>
      <w:keepNext/>
      <w:keepLines/>
      <w:spacing w:before="340" w:after="330" w:line="578" w:lineRule="auto"/>
      <w:outlineLvl w:val="0"/>
    </w:pPr>
    <w:rPr>
      <w:b/>
      <w:bCs/>
      <w:kern w:val="44"/>
      <w:sz w:val="44"/>
      <w:szCs w:val="44"/>
    </w:rPr>
  </w:style>
  <w:style w:type="paragraph" w:styleId="4">
    <w:name w:val="heading 2"/>
    <w:basedOn w:val="1"/>
    <w:next w:val="1"/>
    <w:link w:val="37"/>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5">
    <w:name w:val="heading 3"/>
    <w:basedOn w:val="1"/>
    <w:next w:val="1"/>
    <w:link w:val="32"/>
    <w:unhideWhenUsed/>
    <w:qFormat/>
    <w:uiPriority w:val="9"/>
    <w:pPr>
      <w:keepNext/>
      <w:keepLines/>
      <w:spacing w:before="260" w:after="260" w:line="416" w:lineRule="auto"/>
      <w:outlineLvl w:val="2"/>
    </w:pPr>
    <w:rPr>
      <w:b/>
      <w:bCs/>
      <w:sz w:val="32"/>
      <w:szCs w:val="32"/>
    </w:rPr>
  </w:style>
  <w:style w:type="character" w:default="1" w:styleId="16">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25"/>
    <w:qFormat/>
    <w:uiPriority w:val="99"/>
    <w:pPr>
      <w:spacing w:beforeLines="30"/>
    </w:pPr>
    <w:rPr>
      <w:rFonts w:ascii="仿宋_GB2312" w:eastAsia="仿宋_GB2312"/>
      <w:kern w:val="0"/>
      <w:sz w:val="30"/>
    </w:rPr>
  </w:style>
  <w:style w:type="paragraph" w:styleId="6">
    <w:name w:val="Body Text Indent"/>
    <w:basedOn w:val="1"/>
    <w:next w:val="7"/>
    <w:qFormat/>
    <w:uiPriority w:val="0"/>
    <w:pPr>
      <w:spacing w:after="120"/>
      <w:ind w:left="200" w:leftChars="200"/>
    </w:pPr>
    <w:rPr>
      <w:rFonts w:ascii="仿宋_GB2312"/>
      <w:szCs w:val="32"/>
    </w:rPr>
  </w:style>
  <w:style w:type="paragraph" w:styleId="7">
    <w:name w:val="Body Text First Indent 2"/>
    <w:basedOn w:val="6"/>
    <w:unhideWhenUsed/>
    <w:qFormat/>
    <w:uiPriority w:val="99"/>
    <w:pPr>
      <w:ind w:firstLine="420" w:firstLineChars="200"/>
    </w:pPr>
  </w:style>
  <w:style w:type="paragraph" w:styleId="8">
    <w:name w:val="toc 3"/>
    <w:basedOn w:val="1"/>
    <w:next w:val="1"/>
    <w:unhideWhenUsed/>
    <w:qFormat/>
    <w:uiPriority w:val="39"/>
    <w:pPr>
      <w:tabs>
        <w:tab w:val="right" w:leader="dot" w:pos="8296"/>
      </w:tabs>
      <w:ind w:left="840" w:leftChars="400"/>
    </w:pPr>
  </w:style>
  <w:style w:type="paragraph" w:styleId="9">
    <w:name w:val="Balloon Text"/>
    <w:basedOn w:val="1"/>
    <w:link w:val="31"/>
    <w:semiHidden/>
    <w:unhideWhenUsed/>
    <w:qFormat/>
    <w:uiPriority w:val="99"/>
    <w:rPr>
      <w:sz w:val="18"/>
      <w:szCs w:val="18"/>
    </w:rPr>
  </w:style>
  <w:style w:type="paragraph" w:styleId="10">
    <w:name w:val="footer"/>
    <w:basedOn w:val="1"/>
    <w:link w:val="23"/>
    <w:qFormat/>
    <w:uiPriority w:val="99"/>
    <w:pPr>
      <w:tabs>
        <w:tab w:val="center" w:pos="4153"/>
        <w:tab w:val="right" w:pos="8306"/>
      </w:tabs>
      <w:snapToGrid w:val="0"/>
      <w:jc w:val="left"/>
    </w:pPr>
    <w:rPr>
      <w:rFonts w:ascii="Calibri" w:hAnsi="Calibri"/>
      <w:kern w:val="0"/>
      <w:sz w:val="18"/>
      <w:szCs w:val="18"/>
    </w:rPr>
  </w:style>
  <w:style w:type="paragraph" w:styleId="11">
    <w:name w:val="header"/>
    <w:basedOn w:val="1"/>
    <w:link w:val="21"/>
    <w:semiHidden/>
    <w:qFormat/>
    <w:uiPriority w:val="99"/>
    <w:pPr>
      <w:pBdr>
        <w:bottom w:val="single" w:color="auto" w:sz="6" w:space="1"/>
      </w:pBdr>
      <w:tabs>
        <w:tab w:val="center" w:pos="4153"/>
        <w:tab w:val="right" w:pos="8306"/>
      </w:tabs>
      <w:snapToGrid w:val="0"/>
      <w:jc w:val="center"/>
    </w:pPr>
    <w:rPr>
      <w:rFonts w:ascii="Calibri" w:hAnsi="Calibri"/>
      <w:kern w:val="0"/>
      <w:sz w:val="18"/>
      <w:szCs w:val="18"/>
    </w:rPr>
  </w:style>
  <w:style w:type="paragraph" w:styleId="12">
    <w:name w:val="toc 1"/>
    <w:basedOn w:val="1"/>
    <w:next w:val="1"/>
    <w:unhideWhenUsed/>
    <w:qFormat/>
    <w:uiPriority w:val="39"/>
    <w:pPr>
      <w:tabs>
        <w:tab w:val="right" w:leader="dot" w:pos="8296"/>
      </w:tabs>
      <w:spacing w:before="93"/>
      <w:jc w:val="center"/>
    </w:pPr>
    <w:rPr>
      <w:rFonts w:ascii="仿宋" w:hAnsi="仿宋" w:eastAsia="仿宋"/>
      <w:sz w:val="28"/>
      <w:szCs w:val="28"/>
    </w:rPr>
  </w:style>
  <w:style w:type="paragraph" w:styleId="13">
    <w:name w:val="footnote text"/>
    <w:basedOn w:val="1"/>
    <w:next w:val="7"/>
    <w:semiHidden/>
    <w:qFormat/>
    <w:uiPriority w:val="0"/>
    <w:pPr>
      <w:snapToGrid w:val="0"/>
      <w:jc w:val="left"/>
    </w:pPr>
    <w:rPr>
      <w:sz w:val="18"/>
      <w:szCs w:val="18"/>
    </w:rPr>
  </w:style>
  <w:style w:type="paragraph" w:styleId="14">
    <w:name w:val="toc 2"/>
    <w:basedOn w:val="1"/>
    <w:next w:val="1"/>
    <w:unhideWhenUsed/>
    <w:qFormat/>
    <w:uiPriority w:val="39"/>
    <w:pPr>
      <w:tabs>
        <w:tab w:val="right" w:leader="dot" w:pos="8296"/>
      </w:tabs>
      <w:ind w:left="420" w:leftChars="200"/>
    </w:pPr>
  </w:style>
  <w:style w:type="character" w:styleId="17">
    <w:name w:val="Strong"/>
    <w:basedOn w:val="16"/>
    <w:qFormat/>
    <w:uiPriority w:val="99"/>
    <w:rPr>
      <w:b/>
    </w:rPr>
  </w:style>
  <w:style w:type="character" w:styleId="18">
    <w:name w:val="Hyperlink"/>
    <w:basedOn w:val="16"/>
    <w:unhideWhenUsed/>
    <w:qFormat/>
    <w:uiPriority w:val="99"/>
    <w:rPr>
      <w:color w:val="0000FF" w:themeColor="hyperlink"/>
      <w:u w:val="single"/>
      <w14:textFill>
        <w14:solidFill>
          <w14:schemeClr w14:val="hlink"/>
        </w14:solidFill>
      </w14:textFill>
    </w:rPr>
  </w:style>
  <w:style w:type="paragraph" w:customStyle="1" w:styleId="19">
    <w:name w:val="标题 5（有编号）（绿盟科技）"/>
    <w:next w:val="1"/>
    <w:qFormat/>
    <w:uiPriority w:val="99"/>
    <w:pPr>
      <w:keepNext/>
      <w:keepLines/>
      <w:widowControl w:val="0"/>
      <w:spacing w:before="280" w:after="156" w:line="377" w:lineRule="auto"/>
      <w:outlineLvl w:val="4"/>
    </w:pPr>
    <w:rPr>
      <w:rFonts w:ascii="Arial" w:hAnsi="Arial" w:eastAsia="黑体" w:cs="Times New Roman"/>
      <w:b/>
      <w:kern w:val="2"/>
      <w:sz w:val="24"/>
      <w:szCs w:val="28"/>
      <w:lang w:val="en-US" w:eastAsia="zh-CN" w:bidi="ar-SA"/>
    </w:rPr>
  </w:style>
  <w:style w:type="character" w:customStyle="1" w:styleId="20">
    <w:name w:val="Header Char"/>
    <w:basedOn w:val="16"/>
    <w:semiHidden/>
    <w:qFormat/>
    <w:uiPriority w:val="99"/>
    <w:rPr>
      <w:rFonts w:ascii="Times New Roman" w:hAnsi="Times New Roman"/>
      <w:sz w:val="18"/>
      <w:szCs w:val="18"/>
    </w:rPr>
  </w:style>
  <w:style w:type="character" w:customStyle="1" w:styleId="21">
    <w:name w:val="页眉 字符"/>
    <w:link w:val="11"/>
    <w:semiHidden/>
    <w:qFormat/>
    <w:locked/>
    <w:uiPriority w:val="99"/>
    <w:rPr>
      <w:sz w:val="18"/>
    </w:rPr>
  </w:style>
  <w:style w:type="character" w:customStyle="1" w:styleId="22">
    <w:name w:val="Footer Char"/>
    <w:basedOn w:val="16"/>
    <w:semiHidden/>
    <w:qFormat/>
    <w:uiPriority w:val="99"/>
    <w:rPr>
      <w:rFonts w:ascii="Times New Roman" w:hAnsi="Times New Roman"/>
      <w:sz w:val="18"/>
      <w:szCs w:val="18"/>
    </w:rPr>
  </w:style>
  <w:style w:type="character" w:customStyle="1" w:styleId="23">
    <w:name w:val="页脚 字符"/>
    <w:link w:val="10"/>
    <w:qFormat/>
    <w:locked/>
    <w:uiPriority w:val="99"/>
    <w:rPr>
      <w:sz w:val="18"/>
    </w:rPr>
  </w:style>
  <w:style w:type="character" w:customStyle="1" w:styleId="24">
    <w:name w:val="Body Text Char"/>
    <w:basedOn w:val="16"/>
    <w:semiHidden/>
    <w:qFormat/>
    <w:uiPriority w:val="99"/>
    <w:rPr>
      <w:rFonts w:ascii="Times New Roman" w:hAnsi="Times New Roman"/>
      <w:szCs w:val="24"/>
    </w:rPr>
  </w:style>
  <w:style w:type="character" w:customStyle="1" w:styleId="25">
    <w:name w:val="正文文本 字符"/>
    <w:link w:val="2"/>
    <w:qFormat/>
    <w:locked/>
    <w:uiPriority w:val="99"/>
    <w:rPr>
      <w:rFonts w:ascii="仿宋_GB2312" w:hAnsi="Times New Roman" w:eastAsia="仿宋_GB2312"/>
      <w:sz w:val="24"/>
    </w:rPr>
  </w:style>
  <w:style w:type="paragraph" w:customStyle="1" w:styleId="26">
    <w:name w:val="Default"/>
    <w:qFormat/>
    <w:uiPriority w:val="99"/>
    <w:pPr>
      <w:widowControl w:val="0"/>
      <w:autoSpaceDE w:val="0"/>
      <w:autoSpaceDN w:val="0"/>
      <w:adjustRightInd w:val="0"/>
    </w:pPr>
    <w:rPr>
      <w:rFonts w:ascii="仿宋" w:hAnsi="Calibri" w:eastAsia="仿宋" w:cs="仿宋"/>
      <w:color w:val="000000"/>
      <w:sz w:val="24"/>
      <w:szCs w:val="24"/>
      <w:lang w:val="en-US" w:eastAsia="zh-CN" w:bidi="ar-SA"/>
    </w:rPr>
  </w:style>
  <w:style w:type="paragraph" w:styleId="27">
    <w:name w:val="List Paragraph"/>
    <w:basedOn w:val="1"/>
    <w:qFormat/>
    <w:uiPriority w:val="34"/>
    <w:pPr>
      <w:ind w:firstLine="420" w:firstLineChars="200"/>
    </w:pPr>
  </w:style>
  <w:style w:type="character" w:customStyle="1" w:styleId="28">
    <w:name w:val="标题 1 字符"/>
    <w:basedOn w:val="16"/>
    <w:link w:val="3"/>
    <w:qFormat/>
    <w:uiPriority w:val="9"/>
    <w:rPr>
      <w:rFonts w:ascii="Times New Roman" w:hAnsi="Times New Roman"/>
      <w:b/>
      <w:bCs/>
      <w:kern w:val="44"/>
      <w:sz w:val="44"/>
      <w:szCs w:val="44"/>
    </w:rPr>
  </w:style>
  <w:style w:type="character" w:customStyle="1" w:styleId="29">
    <w:name w:val="标题 2 字符"/>
    <w:basedOn w:val="16"/>
    <w:link w:val="4"/>
    <w:qFormat/>
    <w:uiPriority w:val="9"/>
    <w:rPr>
      <w:rFonts w:asciiTheme="majorHAnsi" w:hAnsiTheme="majorHAnsi" w:eastAsiaTheme="majorEastAsia" w:cstheme="majorBidi"/>
      <w:b/>
      <w:bCs/>
      <w:kern w:val="2"/>
      <w:sz w:val="32"/>
      <w:szCs w:val="32"/>
    </w:rPr>
  </w:style>
  <w:style w:type="paragraph" w:customStyle="1" w:styleId="30">
    <w:name w:val="TOC 标题1"/>
    <w:basedOn w:val="3"/>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31">
    <w:name w:val="批注框文本 字符"/>
    <w:basedOn w:val="16"/>
    <w:link w:val="9"/>
    <w:semiHidden/>
    <w:qFormat/>
    <w:uiPriority w:val="99"/>
    <w:rPr>
      <w:rFonts w:ascii="Times New Roman" w:hAnsi="Times New Roman"/>
      <w:kern w:val="2"/>
      <w:sz w:val="18"/>
      <w:szCs w:val="18"/>
    </w:rPr>
  </w:style>
  <w:style w:type="character" w:customStyle="1" w:styleId="32">
    <w:name w:val="标题 3 字符"/>
    <w:basedOn w:val="16"/>
    <w:link w:val="5"/>
    <w:qFormat/>
    <w:uiPriority w:val="9"/>
    <w:rPr>
      <w:rFonts w:ascii="Times New Roman" w:hAnsi="Times New Roman"/>
      <w:b/>
      <w:bCs/>
      <w:kern w:val="2"/>
      <w:sz w:val="32"/>
      <w:szCs w:val="32"/>
    </w:rPr>
  </w:style>
  <w:style w:type="paragraph" w:customStyle="1" w:styleId="33">
    <w:name w:val="TOC 标题2"/>
    <w:basedOn w:val="3"/>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paragraph" w:customStyle="1" w:styleId="34">
    <w:name w:val="四号正文"/>
    <w:basedOn w:val="1"/>
    <w:qFormat/>
    <w:uiPriority w:val="0"/>
    <w:pPr>
      <w:spacing w:line="360" w:lineRule="auto"/>
    </w:pPr>
    <w:rPr>
      <w:rFonts w:ascii="??" w:hAnsi="??"/>
      <w:color w:val="000000"/>
      <w:kern w:val="0"/>
      <w:sz w:val="28"/>
      <w:szCs w:val="21"/>
      <w:lang w:val="zh-CN"/>
    </w:rPr>
  </w:style>
  <w:style w:type="paragraph" w:customStyle="1" w:styleId="35">
    <w:name w:val="WPSOffice手动目录 2"/>
    <w:qFormat/>
    <w:uiPriority w:val="99"/>
    <w:pPr>
      <w:ind w:left="200" w:leftChars="200"/>
    </w:pPr>
    <w:rPr>
      <w:rFonts w:ascii="Times New Roman" w:hAnsi="Times New Roman" w:eastAsia="宋体" w:cs="Times New Roman"/>
      <w:kern w:val="0"/>
      <w:sz w:val="20"/>
      <w:szCs w:val="20"/>
      <w:lang w:val="en-US" w:eastAsia="zh-CN" w:bidi="ar-SA"/>
    </w:rPr>
  </w:style>
  <w:style w:type="paragraph" w:customStyle="1" w:styleId="36">
    <w:name w:val="WPSOffice手动目录 1"/>
    <w:qFormat/>
    <w:uiPriority w:val="99"/>
    <w:rPr>
      <w:rFonts w:ascii="Times New Roman" w:hAnsi="Times New Roman" w:eastAsia="宋体" w:cs="Times New Roman"/>
      <w:kern w:val="0"/>
      <w:sz w:val="20"/>
      <w:szCs w:val="20"/>
      <w:lang w:val="en-US" w:eastAsia="zh-CN" w:bidi="ar-SA"/>
    </w:rPr>
  </w:style>
  <w:style w:type="character" w:customStyle="1" w:styleId="37">
    <w:name w:val="Heading 2 Char"/>
    <w:basedOn w:val="16"/>
    <w:link w:val="4"/>
    <w:qFormat/>
    <w:locked/>
    <w:uiPriority w:val="99"/>
    <w:rPr>
      <w:rFonts w:ascii="Calibri Light" w:hAnsi="Calibri Light" w:eastAsia="宋体" w:cs="Times New Roman"/>
      <w:b/>
      <w:bCs/>
      <w:sz w:val="32"/>
      <w:szCs w:val="32"/>
    </w:rPr>
  </w:style>
</w:styles>
</file>

<file path=word/_rels/document.xml.rels><?xml version="1.0" encoding="UTF-8" standalone="yes"?>
<Relationships xmlns="http://schemas.openxmlformats.org/package/2006/relationships"><Relationship Id="rId9" Type="http://schemas.openxmlformats.org/officeDocument/2006/relationships/chart" Target="charts/chart1.xml"/><Relationship Id="rId8" Type="http://schemas.openxmlformats.org/officeDocument/2006/relationships/theme" Target="theme/theme1.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6" Type="http://schemas.openxmlformats.org/officeDocument/2006/relationships/fontTable" Target="fontTable.xml"/><Relationship Id="rId25" Type="http://schemas.openxmlformats.org/officeDocument/2006/relationships/customXml" Target="../customXml/item1.xml"/><Relationship Id="rId24" Type="http://schemas.openxmlformats.org/officeDocument/2006/relationships/image" Target="media/image9.png"/><Relationship Id="rId23" Type="http://schemas.openxmlformats.org/officeDocument/2006/relationships/image" Target="media/image8.png"/><Relationship Id="rId22" Type="http://schemas.openxmlformats.org/officeDocument/2006/relationships/image" Target="media/image7.png"/><Relationship Id="rId21" Type="http://schemas.openxmlformats.org/officeDocument/2006/relationships/image" Target="media/image6.png"/><Relationship Id="rId20" Type="http://schemas.openxmlformats.org/officeDocument/2006/relationships/image" Target="media/image5.png"/><Relationship Id="rId2" Type="http://schemas.openxmlformats.org/officeDocument/2006/relationships/settings" Target="settings.xml"/><Relationship Id="rId19" Type="http://schemas.openxmlformats.org/officeDocument/2006/relationships/image" Target="media/image4.png"/><Relationship Id="rId18" Type="http://schemas.openxmlformats.org/officeDocument/2006/relationships/image" Target="media/image3.png"/><Relationship Id="rId17" Type="http://schemas.openxmlformats.org/officeDocument/2006/relationships/image" Target="media/image2.png"/><Relationship Id="rId16" Type="http://schemas.openxmlformats.org/officeDocument/2006/relationships/image" Target="media/image1.png"/><Relationship Id="rId15" Type="http://schemas.openxmlformats.org/officeDocument/2006/relationships/chart" Target="charts/chart7.xml"/><Relationship Id="rId14" Type="http://schemas.openxmlformats.org/officeDocument/2006/relationships/chart" Target="charts/chart6.xml"/><Relationship Id="rId13" Type="http://schemas.openxmlformats.org/officeDocument/2006/relationships/chart" Target="charts/chart5.xml"/><Relationship Id="rId12" Type="http://schemas.openxmlformats.org/officeDocument/2006/relationships/chart" Target="charts/chart4.xml"/><Relationship Id="rId11" Type="http://schemas.openxmlformats.org/officeDocument/2006/relationships/chart" Target="charts/chart3.xml"/><Relationship Id="rId10" Type="http://schemas.openxmlformats.org/officeDocument/2006/relationships/chart" Target="charts/chart2.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1" Type="http://schemas.openxmlformats.org/officeDocument/2006/relationships/oleObject" Target="file:///C:\Users\Admin\Desktop\2025.09.08\&#20915;&#31639;&#22270;&#34920;(1)(1).et"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C:\Users\Admin\Desktop\2025.09.08\&#20915;&#31639;&#22270;&#34920;(1)(1).et"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C:\Users\Admin\Desktop\2025.09.08\&#20915;&#31639;&#22270;&#34920;(1)(1).et"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file:///C:\Users\Admin\Desktop\2025.09.08\&#20915;&#31639;&#22270;&#34920;(1)(1).et" TargetMode="External"/></Relationships>
</file>

<file path=word/charts/_rels/chart5.xml.rels><?xml version="1.0" encoding="UTF-8" standalone="yes"?>
<Relationships xmlns="http://schemas.openxmlformats.org/package/2006/relationships"><Relationship Id="rId1" Type="http://schemas.openxmlformats.org/officeDocument/2006/relationships/oleObject" Target="file:///C:\Users\Admin\Desktop\2025.09.08\&#20915;&#31639;&#22270;&#34920;(1)(1).et" TargetMode="External"/></Relationships>
</file>

<file path=word/charts/_rels/chart6.xml.rels><?xml version="1.0" encoding="UTF-8" standalone="yes"?>
<Relationships xmlns="http://schemas.openxmlformats.org/package/2006/relationships"><Relationship Id="rId1" Type="http://schemas.openxmlformats.org/officeDocument/2006/relationships/oleObject" Target="file:///C:\Users\Admin\Desktop\2025.09.08\&#20915;&#31639;&#22270;&#34920;(1)(1).et" TargetMode="External"/></Relationships>
</file>

<file path=word/charts/_rels/chart7.xml.rels><?xml version="1.0" encoding="UTF-8" standalone="yes"?>
<Relationships xmlns="http://schemas.openxmlformats.org/package/2006/relationships"><Relationship Id="rId1" Type="http://schemas.openxmlformats.org/officeDocument/2006/relationships/oleObject" Target="file:///C:\Users\Admin\Desktop\2025.09.08\&#20915;&#31639;&#22270;&#34920;(1)(1).et"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algn="ctr" defTabSz="914400">
              <a:defRPr lang="zh-CN" sz="1200" b="0" i="0" u="none" strike="noStrike" kern="1200" spc="0" baseline="0">
                <a:solidFill>
                  <a:schemeClr val="tx1">
                    <a:lumMod val="65000"/>
                    <a:lumOff val="35000"/>
                  </a:schemeClr>
                </a:solidFill>
                <a:latin typeface="+mn-lt"/>
                <a:ea typeface="+mn-ea"/>
                <a:cs typeface="+mn-cs"/>
              </a:defRPr>
            </a:pPr>
            <a:r>
              <a:rPr altLang="en-US" sz="1200" b="0" i="0" u="none" strike="noStrike" baseline="0">
                <a:solidFill>
                  <a:srgbClr val="333333"/>
                </a:solidFill>
                <a:latin typeface="宋体" panose="02010600030101010101" charset="-122"/>
                <a:ea typeface="宋体" panose="02010600030101010101" charset="-122"/>
                <a:cs typeface="宋体" panose="02010600030101010101" charset="-122"/>
              </a:rPr>
              <a:t>收、支决算总计变动情况图 </a:t>
            </a:r>
            <a:r>
              <a:rPr lang="en-US" altLang="zh-CN" sz="1200" b="0" i="0" u="none" strike="noStrike" baseline="0">
                <a:solidFill>
                  <a:srgbClr val="333333"/>
                </a:solidFill>
                <a:latin typeface="宋体" panose="02010600030101010101" charset="-122"/>
                <a:ea typeface="宋体" panose="02010600030101010101" charset="-122"/>
                <a:cs typeface="宋体" panose="02010600030101010101" charset="-122"/>
              </a:rPr>
              <a:t>                 </a:t>
            </a:r>
            <a:r>
              <a:rPr altLang="en-US" sz="1200" b="0" i="0" u="none" strike="noStrike" baseline="0">
                <a:solidFill>
                  <a:srgbClr val="333333"/>
                </a:solidFill>
                <a:latin typeface="宋体" panose="02010600030101010101" charset="-122"/>
                <a:ea typeface="宋体" panose="02010600030101010101" charset="-122"/>
                <a:cs typeface="宋体" panose="02010600030101010101" charset="-122"/>
              </a:rPr>
              <a:t>单位：万元</a:t>
            </a:r>
            <a:endParaRPr altLang="en-US" sz="1200" b="0" i="0" u="none" strike="noStrike" baseline="0">
              <a:solidFill>
                <a:srgbClr val="000000"/>
              </a:solidFill>
              <a:effectLst/>
              <a:latin typeface="宋体" panose="02010600030101010101" charset="-122"/>
              <a:ea typeface="宋体" panose="02010600030101010101" charset="-122"/>
              <a:cs typeface="宋体" panose="02010600030101010101" charset="-122"/>
            </a:endParaRPr>
          </a:p>
        </c:rich>
      </c:tx>
      <c:layout>
        <c:manualLayout>
          <c:xMode val="edge"/>
          <c:yMode val="edge"/>
          <c:x val="0.26919332198985"/>
          <c:y val="0.015083213977778"/>
        </c:manualLayout>
      </c:layout>
      <c:overlay val="0"/>
    </c:title>
    <c:autoTitleDeleted val="0"/>
    <c:plotArea>
      <c:layout/>
      <c:barChart>
        <c:barDir val="col"/>
        <c:grouping val="clustered"/>
        <c:varyColors val="0"/>
        <c:ser>
          <c:idx val="0"/>
          <c:order val="0"/>
          <c:tx>
            <c:strRef>
              <c:f>'[决算图表(1)(1).et]Sheet1'!$H$5</c:f>
              <c:strCache>
                <c:ptCount val="1"/>
                <c:pt idx="0">
                  <c:v>2023年</c:v>
                </c:pt>
              </c:strCache>
            </c:strRef>
          </c:tx>
          <c:spPr>
            <a:solidFill>
              <a:schemeClr val="accent1"/>
            </a:solidFill>
            <a:ln>
              <a:noFill/>
            </a:ln>
            <a:effectLst/>
          </c:spPr>
          <c:invertIfNegative val="0"/>
          <c:dLbls>
            <c:numFmt formatCode="General" sourceLinked="1"/>
            <c:spPr>
              <a:noFill/>
              <a:ln>
                <a:noFill/>
              </a:ln>
              <a:effectLst/>
            </c:spPr>
            <c:txPr>
              <a:bodyPr rot="0" spcFirstLastPara="0" vertOverflow="ellipsis" horzOverflow="overflow"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ext>
            </c:extLst>
          </c:dLbls>
          <c:cat>
            <c:strRef>
              <c:f>'[决算图表(1)(1).et]Sheet1'!$I$4:$J$4</c:f>
              <c:strCache>
                <c:ptCount val="2"/>
                <c:pt idx="0">
                  <c:v>收入</c:v>
                </c:pt>
                <c:pt idx="1">
                  <c:v>支出</c:v>
                </c:pt>
              </c:strCache>
            </c:strRef>
          </c:cat>
          <c:val>
            <c:numRef>
              <c:f>'[决算图表(1)(1).et]Sheet1'!$I$5:$J$5</c:f>
              <c:numCache>
                <c:formatCode>#,##0.00</c:formatCode>
                <c:ptCount val="2"/>
                <c:pt idx="0">
                  <c:v>3339.9</c:v>
                </c:pt>
                <c:pt idx="1">
                  <c:v>3339.9</c:v>
                </c:pt>
              </c:numCache>
            </c:numRef>
          </c:val>
        </c:ser>
        <c:ser>
          <c:idx val="1"/>
          <c:order val="1"/>
          <c:tx>
            <c:strRef>
              <c:f>'[决算图表(1)(1).et]Sheet1'!$H$6</c:f>
              <c:strCache>
                <c:ptCount val="1"/>
                <c:pt idx="0">
                  <c:v>2024年</c:v>
                </c:pt>
              </c:strCache>
            </c:strRef>
          </c:tx>
          <c:spPr>
            <a:solidFill>
              <a:schemeClr val="accent2"/>
            </a:solidFill>
            <a:ln>
              <a:noFill/>
            </a:ln>
            <a:effectLst/>
          </c:spPr>
          <c:invertIfNegative val="0"/>
          <c:dLbls>
            <c:dLbl>
              <c:idx val="0"/>
              <c:layout>
                <c:manualLayout>
                  <c:x val="0.0144508670520231"/>
                  <c:y val="0"/>
                </c:manualLayout>
              </c:layout>
              <c:numFmt formatCode="General" sourceLinked="1"/>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extLst>
                <c:ext xmlns:c15="http://schemas.microsoft.com/office/drawing/2012/chart" uri="{CE6537A1-D6FC-4f65-9D91-7224C49458BB}">
                  <c15:layout/>
                </c:ext>
              </c:extLst>
            </c:dLbl>
            <c:dLbl>
              <c:idx val="1"/>
              <c:layout>
                <c:manualLayout>
                  <c:x val="0.0240847784200385"/>
                  <c:y val="0"/>
                </c:manualLayout>
              </c:layout>
              <c:numFmt formatCode="General" sourceLinked="1"/>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extLst>
                <c:ext xmlns:c15="http://schemas.microsoft.com/office/drawing/2012/chart" uri="{CE6537A1-D6FC-4f65-9D91-7224C49458BB}">
                  <c15:layout/>
                </c:ext>
              </c:extLst>
            </c:dLbl>
            <c:numFmt formatCode="General" sourceLinked="1"/>
            <c:spPr>
              <a:noFill/>
              <a:ln>
                <a:noFill/>
              </a:ln>
              <a:effectLst/>
            </c:spPr>
            <c:txPr>
              <a:bodyPr rot="0" spcFirstLastPara="0" vertOverflow="ellipsis" horzOverflow="overflow"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ext>
            </c:extLst>
          </c:dLbls>
          <c:cat>
            <c:strRef>
              <c:f>'[决算图表(1)(1).et]Sheet1'!$I$4:$J$4</c:f>
              <c:strCache>
                <c:ptCount val="2"/>
                <c:pt idx="0">
                  <c:v>收入</c:v>
                </c:pt>
                <c:pt idx="1">
                  <c:v>支出</c:v>
                </c:pt>
              </c:strCache>
            </c:strRef>
          </c:cat>
          <c:val>
            <c:numRef>
              <c:f>'[决算图表(1)(1).et]Sheet1'!$I$6:$J$6</c:f>
              <c:numCache>
                <c:formatCode>#,##0.00</c:formatCode>
                <c:ptCount val="2"/>
                <c:pt idx="0">
                  <c:v>3151.31</c:v>
                </c:pt>
                <c:pt idx="1">
                  <c:v>3151.31</c:v>
                </c:pt>
              </c:numCache>
            </c:numRef>
          </c:val>
        </c:ser>
        <c:ser>
          <c:idx val="2"/>
          <c:order val="2"/>
          <c:tx>
            <c:strRef>
              <c:f>'[决算图表(1)(1).et]Sheet1'!$H$7</c:f>
              <c:strCache>
                <c:ptCount val="1"/>
                <c:pt idx="0">
                  <c:v/>
                </c:pt>
              </c:strCache>
            </c:strRef>
          </c:tx>
          <c:invertIfNegative val="0"/>
          <c:dLbls>
            <c:delete val="1"/>
          </c:dLbls>
          <c:cat>
            <c:strRef>
              <c:f>'[决算图表(1)(1).et]Sheet1'!$I$4:$J$4</c:f>
              <c:strCache>
                <c:ptCount val="2"/>
                <c:pt idx="0">
                  <c:v>收入</c:v>
                </c:pt>
                <c:pt idx="1">
                  <c:v>支出</c:v>
                </c:pt>
              </c:strCache>
            </c:strRef>
          </c:cat>
          <c:val>
            <c:numRef>
              <c:f>'[决算图表(1)(1).et]Sheet1'!$I$7:$J$7</c:f>
              <c:numCache>
                <c:formatCode>General</c:formatCode>
                <c:ptCount val="2"/>
              </c:numCache>
            </c:numRef>
          </c:val>
        </c:ser>
        <c:dLbls>
          <c:showLegendKey val="0"/>
          <c:showVal val="0"/>
          <c:showCatName val="0"/>
          <c:showSerName val="0"/>
          <c:showPercent val="0"/>
          <c:showBubbleSize val="0"/>
        </c:dLbls>
        <c:gapWidth val="219"/>
        <c:overlap val="-27"/>
        <c:axId val="965068871"/>
        <c:axId val="422281751"/>
      </c:barChart>
      <c:catAx>
        <c:axId val="965068871"/>
        <c:scaling>
          <c:orientation val="minMax"/>
        </c:scaling>
        <c:delete val="0"/>
        <c:axPos val="b"/>
        <c:majorTickMark val="none"/>
        <c:minorTickMark val="none"/>
        <c:tickLblPos val="nextTo"/>
        <c:spPr>
          <a:noFill/>
          <a:ln w="9525" cap="flat" cmpd="sng" algn="ctr">
            <a:solidFill>
              <a:schemeClr val="tx1">
                <a:lumMod val="15000"/>
                <a:lumOff val="85000"/>
              </a:schemeClr>
            </a:solidFill>
            <a:prstDash val="solid"/>
            <a:round/>
          </a:ln>
          <a:effectLst/>
        </c:spPr>
        <c:txPr>
          <a:bodyPr rot="-60000000" spcFirstLastPara="0" vertOverflow="ellipsis" horzOverflow="overflow"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422281751"/>
        <c:crosses val="autoZero"/>
        <c:auto val="1"/>
        <c:lblAlgn val="ctr"/>
        <c:lblOffset val="100"/>
        <c:noMultiLvlLbl val="0"/>
      </c:catAx>
      <c:valAx>
        <c:axId val="422281751"/>
        <c:scaling>
          <c:orientation val="minMax"/>
        </c:scaling>
        <c:delete val="0"/>
        <c:axPos val="l"/>
        <c:majorGridlines>
          <c:spPr>
            <a:ln w="9525" cap="flat" cmpd="sng" algn="ctr">
              <a:solidFill>
                <a:schemeClr val="tx1">
                  <a:lumMod val="15000"/>
                  <a:lumOff val="85000"/>
                </a:schemeClr>
              </a:solidFill>
              <a:prstDash val="solid"/>
              <a:round/>
            </a:ln>
            <a:effectLst/>
          </c:spPr>
        </c:majorGridlines>
        <c:numFmt formatCode="#,##0.00" sourceLinked="1"/>
        <c:majorTickMark val="none"/>
        <c:minorTickMark val="none"/>
        <c:tickLblPos val="nextTo"/>
        <c:spPr>
          <a:noFill/>
          <a:ln w="6350" cap="flat" cmpd="sng" algn="ctr">
            <a:noFill/>
            <a:prstDash val="solid"/>
            <a:round/>
          </a:ln>
          <a:effectLst/>
        </c:spPr>
        <c:txPr>
          <a:bodyPr rot="-60000000" spcFirstLastPara="0" vertOverflow="ellipsis" horzOverflow="overflow"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965068871"/>
        <c:crosses val="autoZero"/>
        <c:crossBetween val="between"/>
      </c:valAx>
      <c:spPr>
        <a:noFill/>
        <a:ln>
          <a:noFill/>
        </a:ln>
        <a:effectLst/>
      </c:spPr>
    </c:plotArea>
    <c:legend>
      <c:legendPos val="r"/>
      <c:legendEntry>
        <c:idx val="2"/>
        <c:delete val="1"/>
      </c:legendEntry>
      <c:layout>
        <c:manualLayout>
          <c:xMode val="edge"/>
          <c:yMode val="edge"/>
          <c:x val="0.79"/>
          <c:y val="0.795"/>
          <c:w val="0.20275"/>
          <c:h val="0.18475"/>
        </c:manualLayout>
      </c:layout>
      <c:overlay val="0"/>
      <c:spPr>
        <a:noFill/>
        <a:ln>
          <a:noFill/>
        </a:ln>
        <a:effectLst/>
      </c:spPr>
      <c:txPr>
        <a:bodyPr rot="0" spcFirstLastPara="0" vertOverflow="ellipsis" horzOverflow="overflow"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rgbClr val="F9FBFA"/>
    </a:solidFill>
    <a:ln w="9525" cap="flat" cmpd="sng" algn="ctr">
      <a:solidFill>
        <a:schemeClr val="tx1">
          <a:lumMod val="15000"/>
          <a:lumOff val="85000"/>
        </a:schemeClr>
      </a:solidFill>
      <a:prstDash val="solid"/>
      <a:round/>
    </a:ln>
    <a:effectLst/>
  </c:spPr>
  <c:txPr>
    <a:bodyPr rot="0" spcFirstLastPara="0" vertOverflow="ellipsis" horzOverflow="overflow" vert="horz" wrap="square" anchor="ctr" anchorCtr="1"/>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rPr sz="1400" b="0" i="0" u="none" strike="noStrike" baseline="0">
                <a:solidFill>
                  <a:srgbClr val="333333"/>
                </a:solidFill>
                <a:latin typeface="宋体" panose="02010600030101010101" charset="-122"/>
                <a:ea typeface="宋体" panose="02010600030101010101" charset="-122"/>
                <a:cs typeface="宋体" panose="02010600030101010101" charset="-122"/>
              </a:rPr>
              <a:t>收入决算结构图</a:t>
            </a:r>
            <a:endParaRPr sz="1400" b="0" i="0" u="none" strike="noStrike" baseline="0">
              <a:solidFill>
                <a:srgbClr val="333333"/>
              </a:solidFill>
              <a:latin typeface="宋体" panose="02010600030101010101" charset="-122"/>
              <a:ea typeface="宋体" panose="02010600030101010101" charset="-122"/>
              <a:cs typeface="宋体" panose="02010600030101010101" charset="-122"/>
            </a:endParaRPr>
          </a:p>
          <a:p>
            <a:pPr defTabSz="914400">
              <a:defRPr lang="zh-CN" sz="1400" b="0" i="0" u="none" strike="noStrike" kern="1200" spc="0" baseline="0">
                <a:solidFill>
                  <a:schemeClr val="tx1">
                    <a:lumMod val="65000"/>
                    <a:lumOff val="35000"/>
                  </a:schemeClr>
                </a:solidFill>
                <a:latin typeface="+mn-lt"/>
                <a:ea typeface="+mn-ea"/>
                <a:cs typeface="+mn-cs"/>
              </a:defRPr>
            </a:pPr>
            <a:r>
              <a:rPr sz="1400" b="0" i="0" u="none" strike="noStrike" baseline="0">
                <a:solidFill>
                  <a:srgbClr val="333333"/>
                </a:solidFill>
                <a:latin typeface="宋体" panose="02010600030101010101" charset="-122"/>
                <a:ea typeface="宋体" panose="02010600030101010101" charset="-122"/>
                <a:cs typeface="宋体" panose="02010600030101010101" charset="-122"/>
              </a:rPr>
              <a:t>单位：万元</a:t>
            </a:r>
            <a:endParaRPr sz="1200" b="0" i="0" u="none" strike="noStrike" baseline="0">
              <a:solidFill>
                <a:srgbClr val="000000"/>
              </a:solidFill>
              <a:latin typeface="宋体" panose="02010600030101010101" charset="-122"/>
              <a:ea typeface="宋体" panose="02010600030101010101" charset="-122"/>
              <a:cs typeface="宋体" panose="02010600030101010101" charset="-122"/>
            </a:endParaRPr>
          </a:p>
        </c:rich>
      </c:tx>
      <c:layout>
        <c:manualLayout>
          <c:xMode val="edge"/>
          <c:yMode val="edge"/>
          <c:x val="0.315451486658306"/>
          <c:y val="0.00663716814159292"/>
        </c:manualLayout>
      </c:layout>
      <c:overlay val="0"/>
      <c:spPr>
        <a:noFill/>
        <a:ln>
          <a:noFill/>
        </a:ln>
        <a:effectLst/>
      </c:spPr>
    </c:title>
    <c:autoTitleDeleted val="0"/>
    <c:plotArea>
      <c:layout>
        <c:manualLayout>
          <c:layoutTarget val="inner"/>
          <c:xMode val="edge"/>
          <c:yMode val="edge"/>
          <c:x val="0.284353831182604"/>
          <c:y val="0.221206497433927"/>
          <c:w val="0.506731549067316"/>
          <c:h val="0.632388663967611"/>
        </c:manualLayout>
      </c:layout>
      <c:pieChart>
        <c:varyColors val="1"/>
        <c:ser>
          <c:idx val="0"/>
          <c:order val="0"/>
          <c:explosion val="0"/>
          <c:dPt>
            <c:idx val="0"/>
            <c:bubble3D val="0"/>
            <c:explosion val="0"/>
            <c:spPr>
              <a:solidFill>
                <a:schemeClr val="accent1"/>
              </a:solidFill>
              <a:ln w="19050">
                <a:solidFill>
                  <a:schemeClr val="lt1"/>
                </a:solidFill>
              </a:ln>
              <a:effectLst/>
            </c:spPr>
          </c:dPt>
          <c:dPt>
            <c:idx val="1"/>
            <c:bubble3D val="0"/>
            <c:explosion val="0"/>
            <c:spPr>
              <a:solidFill>
                <a:schemeClr val="accent2"/>
              </a:solidFill>
              <a:ln w="19050">
                <a:solidFill>
                  <a:schemeClr val="lt1"/>
                </a:solidFill>
              </a:ln>
              <a:effectLst/>
            </c:spPr>
          </c:dPt>
          <c:dPt>
            <c:idx val="2"/>
            <c:bubble3D val="0"/>
            <c:explosion val="0"/>
          </c:dPt>
          <c:dPt>
            <c:idx val="3"/>
            <c:bubble3D val="0"/>
            <c:explosion val="0"/>
          </c:dPt>
          <c:dPt>
            <c:idx val="4"/>
            <c:bubble3D val="0"/>
            <c:explosion val="0"/>
          </c:dPt>
          <c:dPt>
            <c:idx val="5"/>
            <c:bubble3D val="0"/>
            <c:explosion val="0"/>
          </c:dPt>
          <c:dPt>
            <c:idx val="6"/>
            <c:bubble3D val="0"/>
            <c:explosion val="0"/>
          </c:dPt>
          <c:dPt>
            <c:idx val="7"/>
            <c:bubble3D val="0"/>
            <c:explosion val="0"/>
          </c:dPt>
          <c:dLbls>
            <c:numFmt formatCode="General" sourceLinked="1"/>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solidFill>
                    <a:latin typeface="+mn-lt"/>
                    <a:ea typeface="+mn-ea"/>
                    <a:cs typeface="+mn-cs"/>
                  </a:defRPr>
                </a:pPr>
              </a:p>
            </c:txPr>
            <c:dLblPos val="bestFit"/>
            <c:showLegendKey val="0"/>
            <c:showVal val="1"/>
            <c:showCatName val="0"/>
            <c:showSerName val="0"/>
            <c:showPercent val="1"/>
            <c:showBubbleSize val="0"/>
            <c:showLeaderLines val="1"/>
            <c:extLst>
              <c:ext xmlns:c15="http://schemas.microsoft.com/office/drawing/2012/chart" uri="{CE6537A1-D6FC-4f65-9D91-7224C49458BB}">
                <c15:layout/>
                <c15:showLeaderLines val="1"/>
                <c15:leaderLines>
                  <c:spPr>
                    <a:ln w="9525" cap="flat" cmpd="sng" algn="ctr">
                      <a:solidFill>
                        <a:srgbClr val="000000">
                          <a:alpha val="100000"/>
                        </a:srgbClr>
                      </a:solidFill>
                      <a:prstDash val="solid"/>
                      <a:round/>
                    </a:ln>
                  </c:spPr>
                </c15:leaderLines>
              </c:ext>
            </c:extLst>
          </c:dLbls>
          <c:cat>
            <c:strRef>
              <c:f>'[决算图表(1)(1).et]Sheet1'!$B$80:$B$87</c:f>
              <c:strCache>
                <c:ptCount val="8"/>
                <c:pt idx="0">
                  <c:v>一般公共预算财政拨款收入</c:v>
                </c:pt>
                <c:pt idx="1">
                  <c:v>政府性基金预算财政拨款收入</c:v>
                </c:pt>
                <c:pt idx="2">
                  <c:v>国有资本经营预算财政拨款收入</c:v>
                </c:pt>
                <c:pt idx="3">
                  <c:v>上级补助收入</c:v>
                </c:pt>
                <c:pt idx="4">
                  <c:v>事业收入</c:v>
                </c:pt>
                <c:pt idx="5">
                  <c:v>经营收入</c:v>
                </c:pt>
                <c:pt idx="6">
                  <c:v>附属单位上缴收入</c:v>
                </c:pt>
                <c:pt idx="7">
                  <c:v>其他收入</c:v>
                </c:pt>
              </c:strCache>
            </c:strRef>
          </c:cat>
          <c:val>
            <c:numRef>
              <c:f>'[决算图表(1)(1).et]Sheet1'!$C$80:$C$87</c:f>
              <c:numCache>
                <c:formatCode>#,##0.00</c:formatCode>
                <c:ptCount val="8"/>
                <c:pt idx="0">
                  <c:v>3151.31</c:v>
                </c:pt>
              </c:numCache>
            </c:numRef>
          </c:val>
        </c:ser>
        <c:dLbls>
          <c:showLegendKey val="0"/>
          <c:showVal val="0"/>
          <c:showCatName val="0"/>
          <c:showSerName val="0"/>
          <c:showPercent val="0"/>
          <c:showBubbleSize val="0"/>
          <c:showLeaderLines val="1"/>
        </c:dLbls>
        <c:firstSliceAng val="0"/>
      </c:pieChart>
      <c:spPr>
        <a:noFill/>
        <a:ln>
          <a:noFill/>
        </a:ln>
        <a:effectLst/>
      </c:spPr>
    </c:plotArea>
    <c:legend>
      <c:legendPos val="r"/>
      <c:legendEntry>
        <c:idx val="1"/>
        <c:delete val="1"/>
      </c:legendEntry>
      <c:legendEntry>
        <c:idx val="2"/>
        <c:delete val="1"/>
      </c:legendEntry>
      <c:legendEntry>
        <c:idx val="3"/>
        <c:delete val="1"/>
      </c:legendEntry>
      <c:legendEntry>
        <c:idx val="4"/>
        <c:delete val="1"/>
      </c:legendEntry>
      <c:legendEntry>
        <c:idx val="5"/>
        <c:delete val="1"/>
      </c:legendEntry>
      <c:legendEntry>
        <c:idx val="6"/>
        <c:delete val="1"/>
      </c:legendEntry>
      <c:legendEntry>
        <c:idx val="7"/>
        <c:delete val="1"/>
      </c:legendEntry>
      <c:layout>
        <c:manualLayout>
          <c:xMode val="edge"/>
          <c:yMode val="edge"/>
          <c:x val="0.00575"/>
          <c:y val="0.83825"/>
          <c:w val="0.98625"/>
          <c:h val="0.15075"/>
        </c:manualLayout>
      </c:layout>
      <c:overlay val="0"/>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rgbClr val="F9FBFA"/>
    </a:solidFill>
    <a:ln w="9525" cap="flat" cmpd="sng" algn="ctr">
      <a:solidFill>
        <a:schemeClr val="tx1">
          <a:lumMod val="15000"/>
          <a:lumOff val="85000"/>
        </a:schemeClr>
      </a:solidFill>
      <a:prstDash val="solid"/>
      <a:round/>
    </a:ln>
    <a:effectLst/>
  </c:spPr>
  <c:txPr>
    <a:bodyPr wrap="square"/>
    <a:lstStyle/>
    <a:p>
      <a:pPr>
        <a:defRPr lang="zh-CN"/>
      </a:pPr>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rPr sz="1400" b="0" i="0" u="none" strike="noStrike" baseline="0">
                <a:solidFill>
                  <a:srgbClr val="333333"/>
                </a:solidFill>
                <a:latin typeface="宋体" panose="02010600030101010101" charset="-122"/>
                <a:ea typeface="宋体" panose="02010600030101010101" charset="-122"/>
                <a:cs typeface="宋体" panose="02010600030101010101" charset="-122"/>
              </a:rPr>
              <a:t>支出决算结构图</a:t>
            </a:r>
            <a:endParaRPr sz="1400" b="0" i="0" u="none" strike="noStrike" baseline="0">
              <a:solidFill>
                <a:srgbClr val="333333"/>
              </a:solidFill>
              <a:latin typeface="宋体" panose="02010600030101010101" charset="-122"/>
              <a:ea typeface="宋体" panose="02010600030101010101" charset="-122"/>
              <a:cs typeface="宋体" panose="02010600030101010101" charset="-122"/>
            </a:endParaRPr>
          </a:p>
          <a:p>
            <a:pPr defTabSz="914400">
              <a:defRPr lang="zh-CN" sz="1400" b="0" i="0" u="none" strike="noStrike" kern="1200" spc="0" baseline="0">
                <a:solidFill>
                  <a:schemeClr val="tx1">
                    <a:lumMod val="65000"/>
                    <a:lumOff val="35000"/>
                  </a:schemeClr>
                </a:solidFill>
                <a:latin typeface="+mn-lt"/>
                <a:ea typeface="+mn-ea"/>
                <a:cs typeface="+mn-cs"/>
              </a:defRPr>
            </a:pPr>
            <a:r>
              <a:rPr sz="1400" b="0" i="0" u="none" strike="noStrike" baseline="0">
                <a:solidFill>
                  <a:srgbClr val="333333"/>
                </a:solidFill>
                <a:latin typeface="宋体" panose="02010600030101010101" charset="-122"/>
                <a:ea typeface="宋体" panose="02010600030101010101" charset="-122"/>
                <a:cs typeface="宋体" panose="02010600030101010101" charset="-122"/>
              </a:rPr>
              <a:t>单位：万元</a:t>
            </a:r>
            <a:endParaRPr sz="1200" b="0" i="0" u="none" strike="noStrike" baseline="0">
              <a:solidFill>
                <a:srgbClr val="000000"/>
              </a:solidFill>
              <a:latin typeface="宋体" panose="02010600030101010101" charset="-122"/>
              <a:ea typeface="宋体" panose="02010600030101010101" charset="-122"/>
              <a:cs typeface="宋体" panose="02010600030101010101" charset="-122"/>
            </a:endParaRPr>
          </a:p>
        </c:rich>
      </c:tx>
      <c:layout>
        <c:manualLayout>
          <c:xMode val="edge"/>
          <c:yMode val="edge"/>
          <c:x val="0.3820604882994"/>
          <c:y val="0.00727272727272727"/>
        </c:manualLayout>
      </c:layout>
      <c:overlay val="0"/>
      <c:spPr>
        <a:noFill/>
        <a:ln>
          <a:noFill/>
        </a:ln>
        <a:effectLst/>
      </c:spPr>
    </c:title>
    <c:autoTitleDeleted val="0"/>
    <c:plotArea>
      <c:layout>
        <c:manualLayout>
          <c:layoutTarget val="inner"/>
          <c:xMode val="edge"/>
          <c:yMode val="edge"/>
          <c:x val="0.313572140133946"/>
          <c:y val="0.251555677703948"/>
          <c:w val="0.410206978119456"/>
          <c:h val="0.620585998658018"/>
        </c:manualLayout>
      </c:layout>
      <c:pieChart>
        <c:varyColors val="1"/>
        <c:ser>
          <c:idx val="0"/>
          <c:order val="0"/>
          <c:explosion val="0"/>
          <c:dPt>
            <c:idx val="0"/>
            <c:bubble3D val="0"/>
            <c:explosion val="0"/>
            <c:spPr>
              <a:solidFill>
                <a:schemeClr val="accent1"/>
              </a:solidFill>
              <a:ln w="19050">
                <a:solidFill>
                  <a:schemeClr val="lt1"/>
                </a:solidFill>
              </a:ln>
              <a:effectLst/>
            </c:spPr>
          </c:dPt>
          <c:dPt>
            <c:idx val="1"/>
            <c:bubble3D val="0"/>
            <c:explosion val="0"/>
            <c:spPr>
              <a:solidFill>
                <a:schemeClr val="accent2"/>
              </a:solidFill>
              <a:ln w="19050">
                <a:solidFill>
                  <a:schemeClr val="lt1"/>
                </a:solidFill>
              </a:ln>
              <a:effectLst/>
            </c:spPr>
          </c:dPt>
          <c:dPt>
            <c:idx val="2"/>
            <c:bubble3D val="0"/>
            <c:explosion val="0"/>
            <c:spPr>
              <a:solidFill>
                <a:schemeClr val="accent3"/>
              </a:solidFill>
              <a:ln w="19050">
                <a:solidFill>
                  <a:schemeClr val="lt1"/>
                </a:solidFill>
              </a:ln>
              <a:effectLst/>
            </c:spPr>
          </c:dPt>
          <c:dPt>
            <c:idx val="3"/>
            <c:bubble3D val="0"/>
            <c:explosion val="0"/>
            <c:spPr>
              <a:solidFill>
                <a:schemeClr val="accent4"/>
              </a:solidFill>
              <a:ln w="19050">
                <a:solidFill>
                  <a:schemeClr val="lt1"/>
                </a:solidFill>
              </a:ln>
              <a:effectLst/>
            </c:spPr>
          </c:dPt>
          <c:dLbls>
            <c:dLbl>
              <c:idx val="0"/>
              <c:layout/>
              <c:tx>
                <c:rich>
                  <a:bodyPr rot="0" spcFirstLastPara="0" vertOverflow="ellipsis" vert="horz" wrap="square" lIns="38100" tIns="19050" rIns="38100" bIns="19050" anchor="ctr" anchorCtr="1"/>
                  <a:lstStyle/>
                  <a:p>
                    <a:pPr defTabSz="914400">
                      <a:defRPr lang="zh-CN" sz="1000" b="0" i="0" u="none" strike="noStrike" kern="1200" baseline="0">
                        <a:solidFill>
                          <a:schemeClr val="tx1"/>
                        </a:solidFill>
                        <a:latin typeface="+mn-lt"/>
                        <a:ea typeface="+mn-ea"/>
                        <a:cs typeface="+mn-cs"/>
                      </a:defRPr>
                    </a:pPr>
                    <a:r>
                      <a:t>2,788.49, 88</a:t>
                    </a:r>
                    <a:r>
                      <a:rPr lang="en-US" altLang="zh-CN"/>
                      <a:t>.5</a:t>
                    </a:r>
                    <a:r>
                      <a:t>%</a:t>
                    </a:r>
                  </a:p>
                </c:rich>
              </c:tx>
              <c:dLblPos val="bestFit"/>
              <c:showLegendKey val="0"/>
              <c:showVal val="1"/>
              <c:showCatName val="0"/>
              <c:showSerName val="0"/>
              <c:showPercent val="1"/>
              <c:showBubbleSize val="0"/>
              <c:extLst>
                <c:ext xmlns:c15="http://schemas.microsoft.com/office/drawing/2012/chart" uri="{CE6537A1-D6FC-4f65-9D91-7224C49458BB}"/>
              </c:extLst>
            </c:dLbl>
            <c:dLbl>
              <c:idx val="1"/>
              <c:layout>
                <c:manualLayout>
                  <c:x val="-0.0751683183477747"/>
                  <c:y val="0.0481977130765432"/>
                </c:manualLayout>
              </c:layout>
              <c:tx>
                <c:rich>
                  <a:bodyPr rot="0" spcFirstLastPara="0" vertOverflow="ellipsis" vert="horz" wrap="square" lIns="38100" tIns="19050" rIns="38100" bIns="19050" anchor="ctr" anchorCtr="1"/>
                  <a:lstStyle/>
                  <a:p>
                    <a:pPr defTabSz="914400">
                      <a:defRPr lang="zh-CN" sz="1000" b="0" i="0" u="none" strike="noStrike" kern="1200" baseline="0">
                        <a:solidFill>
                          <a:schemeClr val="tx1"/>
                        </a:solidFill>
                        <a:latin typeface="+mn-lt"/>
                        <a:ea typeface="+mn-ea"/>
                        <a:cs typeface="+mn-cs"/>
                      </a:defRPr>
                    </a:pPr>
                    <a:r>
                      <a:t>362.82, 1</a:t>
                    </a:r>
                    <a:r>
                      <a:rPr lang="en-US" altLang="zh-CN"/>
                      <a:t>1.5</a:t>
                    </a:r>
                    <a:r>
                      <a:t>%</a:t>
                    </a:r>
                  </a:p>
                </c:rich>
              </c:tx>
              <c:dLblPos val="bestFit"/>
              <c:showLegendKey val="0"/>
              <c:showVal val="1"/>
              <c:showCatName val="0"/>
              <c:showSerName val="0"/>
              <c:showPercent val="1"/>
              <c:showBubbleSize val="0"/>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solidFill>
                    <a:latin typeface="+mn-lt"/>
                    <a:ea typeface="+mn-ea"/>
                    <a:cs typeface="+mn-cs"/>
                  </a:defRPr>
                </a:pPr>
              </a:p>
            </c:txPr>
            <c:dLblPos val="bestFit"/>
            <c:showLegendKey val="0"/>
            <c:showVal val="1"/>
            <c:showCatName val="0"/>
            <c:showSerName val="0"/>
            <c:showPercent val="1"/>
            <c:showBubbleSize val="0"/>
            <c:showLeaderLines val="1"/>
            <c:extLst>
              <c:ext xmlns:c15="http://schemas.microsoft.com/office/drawing/2012/chart" uri="{CE6537A1-D6FC-4f65-9D91-7224C49458BB}">
                <c15:layout/>
                <c15:showLeaderLines val="1"/>
                <c15:leaderLines/>
              </c:ext>
            </c:extLst>
          </c:dLbls>
          <c:cat>
            <c:strRef>
              <c:f>'[决算图表(1)(1).et]Sheet1'!$B$99:$B$102</c:f>
              <c:strCache>
                <c:ptCount val="4"/>
                <c:pt idx="0">
                  <c:v>基本支出</c:v>
                </c:pt>
                <c:pt idx="1">
                  <c:v>项目支出</c:v>
                </c:pt>
                <c:pt idx="2">
                  <c:v>经营支出</c:v>
                </c:pt>
                <c:pt idx="3">
                  <c:v>对附属单位补助支出</c:v>
                </c:pt>
              </c:strCache>
            </c:strRef>
          </c:cat>
          <c:val>
            <c:numRef>
              <c:f>'[决算图表(1)(1).et]Sheet1'!$C$99:$C$102</c:f>
              <c:numCache>
                <c:formatCode>#,##0.00</c:formatCode>
                <c:ptCount val="4"/>
                <c:pt idx="0">
                  <c:v>2788.49</c:v>
                </c:pt>
                <c:pt idx="1" c:formatCode="General">
                  <c:v>362.82</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r"/>
      <c:legendEntry>
        <c:idx val="2"/>
        <c:delete val="1"/>
      </c:legendEntry>
      <c:legendEntry>
        <c:idx val="3"/>
        <c:delete val="1"/>
      </c:legendEntry>
      <c:layout>
        <c:manualLayout>
          <c:xMode val="edge"/>
          <c:yMode val="edge"/>
          <c:x val="0.00425"/>
          <c:y val="0.90225"/>
          <c:w val="0.9895"/>
          <c:h val="0.0835"/>
        </c:manualLayout>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rgbClr val="F9FBFA"/>
    </a:solidFill>
    <a:ln w="9525" cap="flat" cmpd="sng" algn="ctr">
      <a:solidFill>
        <a:schemeClr val="tx1">
          <a:lumMod val="15000"/>
          <a:lumOff val="85000"/>
        </a:schemeClr>
      </a:solidFill>
      <a:prstDash val="solid"/>
      <a:round/>
    </a:ln>
    <a:effectLst/>
  </c:spPr>
  <c:txPr>
    <a:bodyPr wrap="square"/>
    <a:lstStyle/>
    <a:p>
      <a:pPr>
        <a:defRPr lang="zh-CN"/>
      </a:pPr>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rPr sz="1400" b="0" i="0" u="none" strike="noStrike" baseline="0">
                <a:solidFill>
                  <a:srgbClr val="333333"/>
                </a:solidFill>
                <a:latin typeface="宋体" panose="02010600030101010101" charset="-122"/>
                <a:ea typeface="宋体" panose="02010600030101010101" charset="-122"/>
                <a:cs typeface="宋体" panose="02010600030101010101" charset="-122"/>
              </a:rPr>
              <a:t>财政拨款收、支决算总计变动情况图</a:t>
            </a:r>
            <a:endParaRPr sz="1400" b="0" i="0" u="none" strike="noStrike" baseline="0">
              <a:solidFill>
                <a:srgbClr val="333333"/>
              </a:solidFill>
              <a:latin typeface="宋体" panose="02010600030101010101" charset="-122"/>
              <a:ea typeface="宋体" panose="02010600030101010101" charset="-122"/>
              <a:cs typeface="宋体" panose="02010600030101010101" charset="-122"/>
            </a:endParaRPr>
          </a:p>
          <a:p>
            <a:pPr defTabSz="914400">
              <a:defRPr lang="zh-CN" sz="1400" b="0" i="0" u="none" strike="noStrike" kern="1200" spc="0" baseline="0">
                <a:solidFill>
                  <a:schemeClr val="tx1">
                    <a:lumMod val="65000"/>
                    <a:lumOff val="35000"/>
                  </a:schemeClr>
                </a:solidFill>
                <a:latin typeface="+mn-lt"/>
                <a:ea typeface="+mn-ea"/>
                <a:cs typeface="+mn-cs"/>
              </a:defRPr>
            </a:pPr>
            <a:r>
              <a:rPr sz="1400" b="0" i="0" u="none" strike="noStrike" baseline="0">
                <a:solidFill>
                  <a:srgbClr val="333333"/>
                </a:solidFill>
                <a:latin typeface="宋体" panose="02010600030101010101" charset="-122"/>
                <a:ea typeface="宋体" panose="02010600030101010101" charset="-122"/>
                <a:cs typeface="宋体" panose="02010600030101010101" charset="-122"/>
              </a:rPr>
              <a:t>单位</a:t>
            </a:r>
            <a:r>
              <a:rPr lang="en-US" altLang="zh-CN" sz="1400" b="0" i="0" u="none" strike="noStrike" baseline="0">
                <a:solidFill>
                  <a:srgbClr val="333333"/>
                </a:solidFill>
                <a:latin typeface="Calibri" panose="020F0502020204030204" pitchFamily="2" charset="0"/>
                <a:ea typeface="Calibri" panose="020F0502020204030204" pitchFamily="2" charset="0"/>
                <a:cs typeface="Calibri" panose="020F0502020204030204" pitchFamily="2" charset="0"/>
              </a:rPr>
              <a:t>:</a:t>
            </a:r>
            <a:r>
              <a:rPr altLang="en-US" sz="1400" b="0" i="0" u="none" strike="noStrike" baseline="0">
                <a:solidFill>
                  <a:srgbClr val="333333"/>
                </a:solidFill>
                <a:latin typeface="宋体" panose="02010600030101010101" charset="-122"/>
                <a:ea typeface="宋体" panose="02010600030101010101" charset="-122"/>
                <a:cs typeface="宋体" panose="02010600030101010101" charset="-122"/>
              </a:rPr>
              <a:t>万元</a:t>
            </a:r>
            <a:endParaRPr lang="en-US" altLang="zh-CN" sz="1200" b="0" i="0" u="none" strike="noStrike" baseline="0">
              <a:solidFill>
                <a:srgbClr val="000000"/>
              </a:solidFill>
              <a:latin typeface="宋体" panose="02010600030101010101" charset="-122"/>
              <a:ea typeface="宋体" panose="02010600030101010101" charset="-122"/>
              <a:cs typeface="宋体" panose="02010600030101010101" charset="-122"/>
            </a:endParaRPr>
          </a:p>
        </c:rich>
      </c:tx>
      <c:layout/>
      <c:overlay val="0"/>
      <c:spPr>
        <a:noFill/>
        <a:ln>
          <a:noFill/>
        </a:ln>
        <a:effectLst/>
      </c:spPr>
    </c:title>
    <c:autoTitleDeleted val="0"/>
    <c:plotArea>
      <c:layout>
        <c:manualLayout>
          <c:layoutTarget val="inner"/>
          <c:xMode val="edge"/>
          <c:yMode val="edge"/>
          <c:x val="0.0701105045932632"/>
          <c:y val="0.205156950672646"/>
          <c:w val="0.899001464518706"/>
          <c:h val="0.619843049327354"/>
        </c:manualLayout>
      </c:layout>
      <c:barChart>
        <c:barDir val="col"/>
        <c:grouping val="clustered"/>
        <c:varyColors val="0"/>
        <c:ser>
          <c:idx val="0"/>
          <c:order val="0"/>
          <c:tx>
            <c:strRef>
              <c:f>'[决算图表(1)(1).et]Sheet1'!$H$48</c:f>
              <c:strCache>
                <c:ptCount val="1"/>
                <c:pt idx="0">
                  <c:v>2023年</c:v>
                </c:pt>
              </c:strCache>
            </c:strRef>
          </c:tx>
          <c:spPr>
            <a:solidFill>
              <a:schemeClr val="accent1"/>
            </a:solidFill>
            <a:ln>
              <a:noFill/>
            </a:ln>
            <a:effectLst/>
          </c:spPr>
          <c:invertIfNegative val="0"/>
          <c:dLbls>
            <c:dLbl>
              <c:idx val="0"/>
              <c:layout>
                <c:manualLayout>
                  <c:x val="0.000940788803941549"/>
                  <c:y val="0"/>
                </c:manualLayout>
              </c:layout>
              <c:numFmt formatCode="General" sourceLinked="1"/>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extLst>
                <c:ext xmlns:c15="http://schemas.microsoft.com/office/drawing/2012/chart" uri="{CE6537A1-D6FC-4f65-9D91-7224C49458BB}">
                  <c15:layout/>
                </c:ext>
              </c:extLst>
            </c:dLbl>
            <c:numFmt formatCode="General" sourceLinked="1"/>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ext>
            </c:extLst>
          </c:dLbls>
          <c:cat>
            <c:strRef>
              <c:f>'[决算图表(1)(1).et]Sheet1'!$G$49:$G$50</c:f>
              <c:strCache>
                <c:ptCount val="2"/>
                <c:pt idx="0">
                  <c:v>收入</c:v>
                </c:pt>
                <c:pt idx="1">
                  <c:v>支出</c:v>
                </c:pt>
              </c:strCache>
            </c:strRef>
          </c:cat>
          <c:val>
            <c:numRef>
              <c:f>'[决算图表(1)(1).et]Sheet1'!$H$49:$H$50</c:f>
              <c:numCache>
                <c:formatCode>#,##0.00</c:formatCode>
                <c:ptCount val="2"/>
                <c:pt idx="0">
                  <c:v>3339.9</c:v>
                </c:pt>
                <c:pt idx="1">
                  <c:v>3339.9</c:v>
                </c:pt>
              </c:numCache>
            </c:numRef>
          </c:val>
        </c:ser>
        <c:ser>
          <c:idx val="1"/>
          <c:order val="1"/>
          <c:tx>
            <c:strRef>
              <c:f>'[决算图表(1)(1).et]Sheet1'!$I$48</c:f>
              <c:strCache>
                <c:ptCount val="1"/>
                <c:pt idx="0">
                  <c:v>2024年</c:v>
                </c:pt>
              </c:strCache>
            </c:strRef>
          </c:tx>
          <c:spPr>
            <a:solidFill>
              <a:schemeClr val="accent2"/>
            </a:solidFill>
            <a:ln>
              <a:noFill/>
            </a:ln>
            <a:effectLst/>
          </c:spPr>
          <c:invertIfNegative val="0"/>
          <c:dLbls>
            <c:dLbl>
              <c:idx val="0"/>
              <c:layout>
                <c:manualLayout>
                  <c:x val="0.00692943902948743"/>
                  <c:y val="0.00524704853519895"/>
                </c:manualLayout>
              </c:layout>
              <c:numFmt formatCode="General" sourceLinked="1"/>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extLst>
                <c:ext xmlns:c15="http://schemas.microsoft.com/office/drawing/2012/chart" uri="{CE6537A1-D6FC-4f65-9D91-7224C49458BB}">
                  <c15:layout/>
                </c:ext>
              </c:extLst>
            </c:dLbl>
            <c:dLbl>
              <c:idx val="1"/>
              <c:layout>
                <c:manualLayout>
                  <c:x val="0.0123379768445899"/>
                  <c:y val="0.00380589044300873"/>
                </c:manualLayout>
              </c:layout>
              <c:numFmt formatCode="General" sourceLinked="1"/>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extLst>
                <c:ext xmlns:c15="http://schemas.microsoft.com/office/drawing/2012/chart" uri="{CE6537A1-D6FC-4f65-9D91-7224C49458BB}">
                  <c15:layout/>
                </c:ext>
              </c:extLst>
            </c:dLbl>
            <c:numFmt formatCode="General" sourceLinked="1"/>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ext>
            </c:extLst>
          </c:dLbls>
          <c:cat>
            <c:strRef>
              <c:f>'[决算图表(1)(1).et]Sheet1'!$G$49:$G$50</c:f>
              <c:strCache>
                <c:ptCount val="2"/>
                <c:pt idx="0">
                  <c:v>收入</c:v>
                </c:pt>
                <c:pt idx="1">
                  <c:v>支出</c:v>
                </c:pt>
              </c:strCache>
            </c:strRef>
          </c:cat>
          <c:val>
            <c:numRef>
              <c:f>'[决算图表(1)(1).et]Sheet1'!$I$49:$I$50</c:f>
              <c:numCache>
                <c:formatCode>#,##0.00</c:formatCode>
                <c:ptCount val="2"/>
                <c:pt idx="0">
                  <c:v>3151.31</c:v>
                </c:pt>
                <c:pt idx="1">
                  <c:v>3151.31</c:v>
                </c:pt>
              </c:numCache>
            </c:numRef>
          </c:val>
        </c:ser>
        <c:dLbls>
          <c:showLegendKey val="0"/>
          <c:showVal val="0"/>
          <c:showCatName val="0"/>
          <c:showSerName val="0"/>
          <c:showPercent val="0"/>
          <c:showBubbleSize val="0"/>
        </c:dLbls>
        <c:gapWidth val="219"/>
        <c:overlap val="-27"/>
        <c:axId val="586183199"/>
        <c:axId val="488770828"/>
      </c:barChart>
      <c:catAx>
        <c:axId val="586183199"/>
        <c:scaling>
          <c:orientation val="minMax"/>
        </c:scaling>
        <c:delete val="0"/>
        <c:axPos val="b"/>
        <c:majorTickMark val="none"/>
        <c:minorTickMark val="none"/>
        <c:tickLblPos val="nextTo"/>
        <c:spPr>
          <a:noFill/>
          <a:ln w="9525" cap="flat" cmpd="sng" algn="ctr">
            <a:solidFill>
              <a:schemeClr val="tx1">
                <a:lumMod val="15000"/>
                <a:lumOff val="85000"/>
              </a:schemeClr>
            </a:solidFill>
            <a:prstDash val="solid"/>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488770828"/>
        <c:crosses val="autoZero"/>
        <c:auto val="1"/>
        <c:lblAlgn val="ctr"/>
        <c:lblOffset val="100"/>
        <c:noMultiLvlLbl val="0"/>
      </c:catAx>
      <c:valAx>
        <c:axId val="488770828"/>
        <c:scaling>
          <c:orientation val="minMax"/>
        </c:scaling>
        <c:delete val="0"/>
        <c:axPos val="l"/>
        <c:majorGridlines>
          <c:spPr>
            <a:ln w="9525" cap="flat" cmpd="sng" algn="ctr">
              <a:solidFill>
                <a:schemeClr val="tx1">
                  <a:lumMod val="15000"/>
                  <a:lumOff val="85000"/>
                </a:schemeClr>
              </a:solidFill>
              <a:prstDash val="solid"/>
              <a:round/>
            </a:ln>
            <a:effectLst/>
          </c:spPr>
        </c:majorGridlines>
        <c:numFmt formatCode="#,##0.00" sourceLinked="1"/>
        <c:majorTickMark val="none"/>
        <c:minorTickMark val="none"/>
        <c:tickLblPos val="nextTo"/>
        <c:spPr>
          <a:noFill/>
          <a:ln w="6350" cap="flat" cmpd="sng" algn="ctr">
            <a:noFill/>
            <a:prstDash val="solid"/>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586183199"/>
        <c:crosses val="autoZero"/>
        <c:crossBetween val="between"/>
      </c:valAx>
      <c:spPr>
        <a:noFill/>
        <a:ln>
          <a:noFill/>
        </a:ln>
        <a:effectLst/>
      </c:spPr>
    </c:plotArea>
    <c:legend>
      <c:legendPos val="r"/>
      <c:layout>
        <c:manualLayout>
          <c:xMode val="edge"/>
          <c:yMode val="edge"/>
          <c:x val="0.74825"/>
          <c:y val="0.84275"/>
          <c:w val="0.1875"/>
          <c:h val="0.14925"/>
        </c:manualLayout>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rgbClr val="F9FBFA"/>
    </a:solidFill>
    <a:ln w="9525" cap="flat" cmpd="sng" algn="ctr">
      <a:noFill/>
      <a:prstDash val="solid"/>
      <a:round/>
    </a:ln>
    <a:effectLst/>
  </c:spPr>
  <c:txPr>
    <a:bodyPr wrap="square"/>
    <a:lstStyle/>
    <a:p>
      <a:pPr>
        <a:defRPr lang="zh-CN"/>
      </a:pPr>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algn="ctr" defTabSz="914400">
              <a:defRPr lang="zh-CN" sz="1400" b="0" i="0" u="none" strike="noStrike" kern="1200" spc="0" baseline="0">
                <a:solidFill>
                  <a:sysClr val="windowText" lastClr="000000"/>
                </a:solidFill>
                <a:latin typeface="宋体" panose="02010600030101010101" charset="-122"/>
                <a:ea typeface="宋体" panose="02010600030101010101" charset="-122"/>
                <a:cs typeface="宋体" panose="02010600030101010101" charset="-122"/>
                <a:sym typeface="宋体" panose="02010600030101010101" charset="-122"/>
              </a:defRPr>
            </a:pPr>
            <a:r>
              <a:rPr sz="1400" b="0" i="0" u="none" strike="noStrike" baseline="0">
                <a:solidFill>
                  <a:srgbClr val="000000"/>
                </a:solidFill>
                <a:latin typeface="宋体" panose="02010600030101010101" charset="-122"/>
                <a:ea typeface="宋体" panose="02010600030101010101" charset="-122"/>
                <a:cs typeface="宋体" panose="02010600030101010101" charset="-122"/>
                <a:sym typeface="宋体" panose="02010600030101010101" charset="-122"/>
              </a:rPr>
              <a:t>一般公共预算财政拨款支出决算变动情况</a:t>
            </a:r>
            <a:endParaRPr sz="1400" b="0" i="0" u="none" strike="noStrike" baseline="0">
              <a:solidFill>
                <a:srgbClr val="000000"/>
              </a:solidFill>
              <a:latin typeface="宋体" panose="02010600030101010101" charset="-122"/>
              <a:ea typeface="宋体" panose="02010600030101010101" charset="-122"/>
              <a:cs typeface="宋体" panose="02010600030101010101" charset="-122"/>
              <a:sym typeface="宋体" panose="02010600030101010101" charset="-122"/>
            </a:endParaRPr>
          </a:p>
          <a:p>
            <a:pPr algn="ctr" defTabSz="914400">
              <a:defRPr lang="zh-CN" sz="1400" b="0" i="0" u="none" strike="noStrike" kern="1200" spc="0" baseline="0">
                <a:solidFill>
                  <a:sysClr val="windowText" lastClr="000000"/>
                </a:solidFill>
                <a:latin typeface="宋体" panose="02010600030101010101" charset="-122"/>
                <a:ea typeface="宋体" panose="02010600030101010101" charset="-122"/>
                <a:cs typeface="宋体" panose="02010600030101010101" charset="-122"/>
                <a:sym typeface="宋体" panose="02010600030101010101" charset="-122"/>
              </a:defRPr>
            </a:pPr>
            <a:r>
              <a:rPr sz="1400" b="0" i="0" u="none" strike="noStrike" baseline="0">
                <a:solidFill>
                  <a:srgbClr val="000000"/>
                </a:solidFill>
                <a:latin typeface="宋体" panose="02010600030101010101" charset="-122"/>
                <a:ea typeface="宋体" panose="02010600030101010101" charset="-122"/>
                <a:cs typeface="宋体" panose="02010600030101010101" charset="-122"/>
                <a:sym typeface="宋体" panose="02010600030101010101" charset="-122"/>
              </a:rPr>
              <a:t>单位：万元</a:t>
            </a:r>
            <a:endParaRPr sz="1200" b="0" i="0" u="none" strike="noStrike" baseline="0">
              <a:solidFill>
                <a:srgbClr val="000000"/>
              </a:solidFill>
              <a:effectLst/>
              <a:latin typeface="宋体" panose="02010600030101010101" charset="-122"/>
              <a:ea typeface="宋体" panose="02010600030101010101" charset="-122"/>
              <a:cs typeface="宋体" panose="02010600030101010101" charset="-122"/>
              <a:sym typeface="宋体" panose="02010600030101010101" charset="-122"/>
            </a:endParaRPr>
          </a:p>
        </c:rich>
      </c:tx>
      <c:layout>
        <c:manualLayout>
          <c:xMode val="edge"/>
          <c:yMode val="edge"/>
          <c:x val="0.136276979597711"/>
          <c:y val="0.00673551863493489"/>
        </c:manualLayout>
      </c:layout>
      <c:overlay val="0"/>
    </c:title>
    <c:autoTitleDeleted val="0"/>
    <c:plotArea>
      <c:layout>
        <c:manualLayout>
          <c:layoutTarget val="inner"/>
          <c:xMode val="edge"/>
          <c:yMode val="edge"/>
          <c:x val="0.144579710144928"/>
          <c:y val="0.248880931065354"/>
          <c:w val="0.837449275362319"/>
          <c:h val="0.611459265890779"/>
        </c:manualLayout>
      </c:layout>
      <c:barChart>
        <c:barDir val="col"/>
        <c:grouping val="clustered"/>
        <c:varyColors val="0"/>
        <c:ser>
          <c:idx val="0"/>
          <c:order val="0"/>
          <c:tx>
            <c:strRef>
              <c:f>'[决算图表(1)(1).et]Sheet1'!$B$123</c:f>
              <c:strCache>
                <c:ptCount val="1"/>
                <c:pt idx="0">
                  <c:v>支出</c:v>
                </c:pt>
              </c:strCache>
            </c:strRef>
          </c:tx>
          <c:spPr>
            <a:solidFill>
              <a:schemeClr val="accent1"/>
            </a:solidFill>
            <a:ln>
              <a:noFill/>
            </a:ln>
            <a:effectLst/>
          </c:spPr>
          <c:invertIfNegative val="0"/>
          <c:dPt>
            <c:idx val="0"/>
            <c:invertIfNegative val="0"/>
            <c:bubble3D val="0"/>
            <c:explosion val="0"/>
            <c:spPr>
              <a:solidFill>
                <a:schemeClr val="accent1"/>
              </a:solidFill>
              <a:ln>
                <a:noFill/>
              </a:ln>
              <a:effectLst/>
            </c:spPr>
          </c:dPt>
          <c:dLbls>
            <c:numFmt formatCode="General" sourceLinked="1"/>
            <c:spPr>
              <a:noFill/>
              <a:ln>
                <a:noFill/>
              </a:ln>
              <a:effectLst/>
            </c:spPr>
            <c:txPr>
              <a:bodyPr rot="0" spcFirstLastPara="0" vertOverflow="ellipsis" horzOverflow="overflow" vert="horz" wrap="square" lIns="38100" tIns="19050" rIns="38100" bIns="19050" anchor="ctr" anchorCtr="1"/>
              <a:lstStyle/>
              <a:p>
                <a:pPr>
                  <a:defRPr lang="zh-CN" sz="900" b="0" i="0" u="none" strike="noStrike" kern="1200" baseline="0">
                    <a:solidFill>
                      <a:sysClr val="windowText" lastClr="000000"/>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ext>
            </c:extLst>
          </c:dLbls>
          <c:cat>
            <c:strRef>
              <c:f>'[决算图表(1)(1).et]Sheet1'!$C$122:$D$122</c:f>
              <c:strCache>
                <c:ptCount val="2"/>
                <c:pt idx="0">
                  <c:v>2023年</c:v>
                </c:pt>
                <c:pt idx="1">
                  <c:v>2024年</c:v>
                </c:pt>
              </c:strCache>
            </c:strRef>
          </c:cat>
          <c:val>
            <c:numRef>
              <c:f>'[决算图表(1)(1).et]Sheet1'!$C$123:$D$123</c:f>
              <c:numCache>
                <c:formatCode>#,##0.00</c:formatCode>
                <c:ptCount val="2"/>
                <c:pt idx="0">
                  <c:v>3339.9</c:v>
                </c:pt>
                <c:pt idx="1">
                  <c:v>3151.31</c:v>
                </c:pt>
              </c:numCache>
            </c:numRef>
          </c:val>
        </c:ser>
        <c:dLbls>
          <c:showLegendKey val="0"/>
          <c:showVal val="0"/>
          <c:showCatName val="0"/>
          <c:showSerName val="0"/>
          <c:showPercent val="0"/>
          <c:showBubbleSize val="0"/>
        </c:dLbls>
        <c:gapWidth val="219"/>
        <c:overlap val="-27"/>
        <c:axId val="412162088"/>
        <c:axId val="250878692"/>
      </c:barChart>
      <c:catAx>
        <c:axId val="412162088"/>
        <c:scaling>
          <c:orientation val="minMax"/>
        </c:scaling>
        <c:delete val="1"/>
        <c:axPos val="b"/>
        <c:title>
          <c:tx>
            <c:rich>
              <a:bodyPr rot="0" spcFirstLastPara="0" vertOverflow="ellipsis" vert="horz" wrap="square" anchor="ctr" anchorCtr="1"/>
              <a:lstStyle/>
              <a:p>
                <a:pPr defTabSz="914400">
                  <a:defRPr lang="zh-CN" sz="1000" b="1" i="0" u="none" strike="noStrike" kern="1200" baseline="0">
                    <a:solidFill>
                      <a:sysClr val="windowText" lastClr="000000"/>
                    </a:solidFill>
                    <a:latin typeface="+mn-lt"/>
                    <a:ea typeface="+mn-ea"/>
                    <a:cs typeface="+mn-cs"/>
                  </a:defRPr>
                </a:pPr>
                <a:r>
                  <a:rPr lang="en-US" altLang="zh-CN" sz="1000" b="0" i="0" u="none" strike="noStrike" baseline="0">
                    <a:solidFill>
                      <a:srgbClr val="000000"/>
                    </a:solidFill>
                    <a:uFillTx/>
                    <a:latin typeface="Calibri" panose="020F0502020204030204" pitchFamily="2" charset="0"/>
                    <a:ea typeface="Calibri" panose="020F0502020204030204" pitchFamily="2" charset="0"/>
                    <a:cs typeface="Calibri" panose="020F0502020204030204" pitchFamily="2" charset="0"/>
                  </a:rPr>
                  <a:t>            2023</a:t>
                </a:r>
                <a:r>
                  <a:rPr altLang="en-US" sz="1000" b="0" i="0" u="none" strike="noStrike" baseline="0">
                    <a:solidFill>
                      <a:srgbClr val="000000"/>
                    </a:solidFill>
                    <a:uFillTx/>
                    <a:latin typeface="宋体" panose="02010600030101010101" charset="-122"/>
                    <a:ea typeface="宋体" panose="02010600030101010101" charset="-122"/>
                    <a:cs typeface="宋体" panose="02010600030101010101" charset="-122"/>
                  </a:rPr>
                  <a:t>年</a:t>
                </a:r>
                <a:r>
                  <a:rPr lang="en-US" altLang="zh-CN" sz="1000" b="0" i="0" u="none" strike="noStrike" baseline="0">
                    <a:solidFill>
                      <a:srgbClr val="000000"/>
                    </a:solidFill>
                    <a:uFillTx/>
                    <a:latin typeface="Calibri" panose="020F0502020204030204" pitchFamily="2" charset="0"/>
                    <a:ea typeface="Calibri" panose="020F0502020204030204" pitchFamily="2" charset="0"/>
                    <a:cs typeface="Calibri" panose="020F0502020204030204" pitchFamily="2" charset="0"/>
                  </a:rPr>
                  <a:t>                                                 2024</a:t>
                </a:r>
                <a:r>
                  <a:rPr altLang="en-US" sz="1000" b="0" i="0" u="none" strike="noStrike" baseline="0">
                    <a:solidFill>
                      <a:srgbClr val="000000"/>
                    </a:solidFill>
                    <a:latin typeface="宋体" panose="02010600030101010101" charset="-122"/>
                    <a:ea typeface="宋体" panose="02010600030101010101" charset="-122"/>
                    <a:cs typeface="宋体" panose="02010600030101010101" charset="-122"/>
                  </a:rPr>
                  <a:t>年</a:t>
                </a:r>
                <a:endParaRPr lang="en-US" altLang="en-US" sz="1200" b="0" i="0" u="none" strike="noStrike" baseline="0">
                  <a:solidFill>
                    <a:srgbClr val="000000"/>
                  </a:solidFill>
                  <a:latin typeface="宋体" panose="02010600030101010101" charset="-122"/>
                  <a:ea typeface="宋体" panose="02010600030101010101" charset="-122"/>
                  <a:cs typeface="宋体" panose="02010600030101010101" charset="-122"/>
                </a:endParaRPr>
              </a:p>
            </c:rich>
          </c:tx>
          <c:layout>
            <c:manualLayout>
              <c:xMode val="edge"/>
              <c:yMode val="edge"/>
              <c:x val="0.238152703140864"/>
              <c:y val="0.888913427561837"/>
            </c:manualLayout>
          </c:layout>
          <c:overlay val="0"/>
        </c:title>
        <c:majorTickMark val="none"/>
        <c:minorTickMark val="none"/>
        <c:tickLblPos val="nextTo"/>
        <c:txPr>
          <a:bodyPr rot="-60000000" spcFirstLastPara="0" vertOverflow="ellipsis" vert="horz" wrap="square" anchor="ctr" anchorCtr="1"/>
          <a:lstStyle/>
          <a:p>
            <a:pPr>
              <a:defRPr lang="zh-CN" sz="1000" b="0" i="0" u="none" strike="noStrike" kern="1200" baseline="0">
                <a:solidFill>
                  <a:srgbClr val="000000">
                    <a:alpha val="100000"/>
                  </a:srgbClr>
                </a:solidFill>
                <a:latin typeface="+mn-lt"/>
                <a:ea typeface="+mn-ea"/>
                <a:cs typeface="+mn-cs"/>
              </a:defRPr>
            </a:pPr>
          </a:p>
        </c:txPr>
        <c:crossAx val="250878692"/>
        <c:crosses val="autoZero"/>
        <c:auto val="1"/>
        <c:lblAlgn val="ctr"/>
        <c:lblOffset val="100"/>
        <c:noMultiLvlLbl val="0"/>
      </c:catAx>
      <c:valAx>
        <c:axId val="250878692"/>
        <c:scaling>
          <c:orientation val="minMax"/>
        </c:scaling>
        <c:delete val="0"/>
        <c:axPos val="l"/>
        <c:majorGridlines>
          <c:spPr>
            <a:ln w="9525" cap="flat" cmpd="sng" algn="ctr">
              <a:solidFill>
                <a:schemeClr val="tx1">
                  <a:lumMod val="15000"/>
                  <a:lumOff val="85000"/>
                </a:schemeClr>
              </a:solidFill>
              <a:prstDash val="solid"/>
              <a:round/>
            </a:ln>
            <a:effectLst/>
          </c:spPr>
        </c:majorGridlines>
        <c:numFmt formatCode="#,##0.00" sourceLinked="1"/>
        <c:majorTickMark val="none"/>
        <c:minorTickMark val="none"/>
        <c:tickLblPos val="nextTo"/>
        <c:spPr>
          <a:noFill/>
          <a:ln w="6350" cap="flat" cmpd="sng" algn="ctr">
            <a:noFill/>
            <a:prstDash val="solid"/>
            <a:round/>
          </a:ln>
          <a:effectLst/>
        </c:spPr>
        <c:txPr>
          <a:bodyPr rot="-60000000" spcFirstLastPara="0" vertOverflow="ellipsis" horzOverflow="overflow" vert="horz" wrap="square" anchor="ctr" anchorCtr="1"/>
          <a:lstStyle/>
          <a:p>
            <a:pPr>
              <a:defRPr lang="zh-CN" sz="900" b="0" i="0" u="none" strike="noStrike" kern="1200" baseline="0">
                <a:solidFill>
                  <a:sysClr val="windowText" lastClr="000000"/>
                </a:solidFill>
                <a:latin typeface="+mn-lt"/>
                <a:ea typeface="+mn-ea"/>
                <a:cs typeface="+mn-cs"/>
              </a:defRPr>
            </a:pPr>
          </a:p>
        </c:txPr>
        <c:crossAx val="412162088"/>
        <c:crosses val="autoZero"/>
        <c:crossBetween val="between"/>
      </c:valAx>
      <c:spPr>
        <a:noFill/>
        <a:ln>
          <a:noFill/>
        </a:ln>
        <a:effectLst/>
      </c:spPr>
    </c:plotArea>
    <c:plotVisOnly val="1"/>
    <c:dispBlanksAs val="gap"/>
    <c:showDLblsOverMax val="0"/>
  </c:chart>
  <c:spPr>
    <a:solidFill>
      <a:srgbClr val="F9FBFA"/>
    </a:solidFill>
    <a:ln w="9525" cap="flat" cmpd="sng" algn="ctr">
      <a:solidFill>
        <a:schemeClr val="tx1">
          <a:lumMod val="15000"/>
          <a:lumOff val="85000"/>
        </a:schemeClr>
      </a:solidFill>
      <a:prstDash val="solid"/>
      <a:round/>
    </a:ln>
    <a:effectLst/>
  </c:spPr>
  <c:txPr>
    <a:bodyPr rot="0" spcFirstLastPara="0" vertOverflow="ellipsis" horzOverflow="overflow" vert="horz" wrap="square" anchor="ctr" anchorCtr="1"/>
    <a:lstStyle/>
    <a:p>
      <a:pPr>
        <a:defRPr lang="zh-CN">
          <a:solidFill>
            <a:sysClr val="windowText" lastClr="000000"/>
          </a:solidFill>
        </a:defRPr>
      </a:pPr>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rPr sz="1400" b="0" i="0" u="none" strike="noStrike" baseline="0">
                <a:solidFill>
                  <a:srgbClr val="333333"/>
                </a:solidFill>
                <a:latin typeface="宋体" panose="02010600030101010101" charset="-122"/>
                <a:ea typeface="宋体" panose="02010600030101010101" charset="-122"/>
                <a:cs typeface="宋体" panose="02010600030101010101" charset="-122"/>
              </a:rPr>
              <a:t>一般公共预算财政拨款支出决算结构图</a:t>
            </a:r>
            <a:endParaRPr sz="1400" b="0" i="0" u="none" strike="noStrike" baseline="0">
              <a:solidFill>
                <a:srgbClr val="333333"/>
              </a:solidFill>
              <a:latin typeface="宋体" panose="02010600030101010101" charset="-122"/>
              <a:ea typeface="宋体" panose="02010600030101010101" charset="-122"/>
              <a:cs typeface="宋体" panose="02010600030101010101" charset="-122"/>
            </a:endParaRPr>
          </a:p>
          <a:p>
            <a:pPr defTabSz="914400">
              <a:defRPr lang="zh-CN" sz="1400" b="0" i="0" u="none" strike="noStrike" kern="1200" spc="0" baseline="0">
                <a:solidFill>
                  <a:schemeClr val="tx1">
                    <a:lumMod val="65000"/>
                    <a:lumOff val="35000"/>
                  </a:schemeClr>
                </a:solidFill>
                <a:latin typeface="+mn-lt"/>
                <a:ea typeface="+mn-ea"/>
                <a:cs typeface="+mn-cs"/>
              </a:defRPr>
            </a:pPr>
            <a:r>
              <a:rPr sz="1400" b="0" i="0" u="none" strike="noStrike" baseline="0">
                <a:solidFill>
                  <a:srgbClr val="333333"/>
                </a:solidFill>
                <a:latin typeface="宋体" panose="02010600030101010101" charset="-122"/>
                <a:ea typeface="宋体" panose="02010600030101010101" charset="-122"/>
                <a:cs typeface="宋体" panose="02010600030101010101" charset="-122"/>
              </a:rPr>
              <a:t>单位：万元</a:t>
            </a:r>
            <a:endParaRPr sz="1200" b="0" i="0" u="none" strike="noStrike" baseline="0">
              <a:solidFill>
                <a:srgbClr val="000000"/>
              </a:solidFill>
              <a:latin typeface="宋体" panose="02010600030101010101" charset="-122"/>
              <a:ea typeface="宋体" panose="02010600030101010101" charset="-122"/>
              <a:cs typeface="宋体" panose="02010600030101010101" charset="-122"/>
            </a:endParaRPr>
          </a:p>
        </c:rich>
      </c:tx>
      <c:layout>
        <c:manualLayout>
          <c:xMode val="edge"/>
          <c:yMode val="edge"/>
          <c:x val="0.194578499024865"/>
          <c:y val="0.0205730102083723"/>
        </c:manualLayout>
      </c:layout>
      <c:overlay val="0"/>
      <c:spPr>
        <a:noFill/>
        <a:ln>
          <a:noFill/>
        </a:ln>
        <a:effectLst/>
      </c:spPr>
    </c:title>
    <c:autoTitleDeleted val="0"/>
    <c:plotArea>
      <c:layout>
        <c:manualLayout>
          <c:layoutTarget val="inner"/>
          <c:xMode val="edge"/>
          <c:yMode val="edge"/>
          <c:x val="0.199120050282841"/>
          <c:y val="0.244981286151752"/>
          <c:w val="0.491891891891892"/>
          <c:h val="0.665702619938755"/>
        </c:manualLayout>
      </c:layout>
      <c:pieChart>
        <c:varyColors val="1"/>
        <c:ser>
          <c:idx val="0"/>
          <c:order val="0"/>
          <c:explosion val="0"/>
          <c:dPt>
            <c:idx val="0"/>
            <c:bubble3D val="0"/>
            <c:explosion val="0"/>
            <c:spPr>
              <a:solidFill>
                <a:schemeClr val="accent1"/>
              </a:solidFill>
              <a:ln w="19050">
                <a:solidFill>
                  <a:schemeClr val="lt1"/>
                </a:solidFill>
              </a:ln>
              <a:effectLst/>
            </c:spPr>
          </c:dPt>
          <c:dPt>
            <c:idx val="1"/>
            <c:bubble3D val="0"/>
            <c:explosion val="0"/>
            <c:spPr>
              <a:solidFill>
                <a:schemeClr val="accent2"/>
              </a:solidFill>
              <a:ln w="19050">
                <a:solidFill>
                  <a:schemeClr val="lt1"/>
                </a:solidFill>
              </a:ln>
              <a:effectLst/>
            </c:spPr>
          </c:dPt>
          <c:dPt>
            <c:idx val="2"/>
            <c:bubble3D val="0"/>
            <c:explosion val="0"/>
            <c:spPr>
              <a:solidFill>
                <a:schemeClr val="accent3"/>
              </a:solidFill>
              <a:ln w="19050">
                <a:solidFill>
                  <a:schemeClr val="lt1"/>
                </a:solidFill>
              </a:ln>
              <a:effectLst/>
            </c:spPr>
          </c:dPt>
          <c:dPt>
            <c:idx val="3"/>
            <c:bubble3D val="0"/>
            <c:explosion val="0"/>
            <c:spPr>
              <a:solidFill>
                <a:schemeClr val="accent4"/>
              </a:solidFill>
              <a:ln w="19050">
                <a:solidFill>
                  <a:schemeClr val="lt1"/>
                </a:solidFill>
              </a:ln>
              <a:effectLst/>
            </c:spPr>
          </c:dPt>
          <c:dPt>
            <c:idx val="4"/>
            <c:bubble3D val="0"/>
            <c:explosion val="0"/>
          </c:dPt>
          <c:dPt>
            <c:idx val="5"/>
            <c:bubble3D val="0"/>
            <c:explosion val="0"/>
          </c:dPt>
          <c:dLbls>
            <c:dLbl>
              <c:idx val="0"/>
              <c:layout/>
              <c:tx>
                <c:rich>
                  <a:bodyPr rot="0" spcFirstLastPara="0" vertOverflow="ellipsis" vert="horz" wrap="square" lIns="38100" tIns="19050" rIns="38100" bIns="19050" anchor="ctr" anchorCtr="1"/>
                  <a:lstStyle/>
                  <a:p>
                    <a:pPr defTabSz="914400">
                      <a:defRPr lang="zh-CN" sz="1000" b="0" i="0" u="none" strike="noStrike" kern="1200" baseline="0">
                        <a:solidFill>
                          <a:schemeClr val="tx1"/>
                        </a:solidFill>
                        <a:latin typeface="+mn-lt"/>
                        <a:ea typeface="+mn-ea"/>
                        <a:cs typeface="+mn-cs"/>
                      </a:defRPr>
                    </a:pPr>
                    <a:r>
                      <a:t>2,507.30, 79</a:t>
                    </a:r>
                    <a:r>
                      <a:rPr lang="en-US" altLang="zh-CN"/>
                      <a:t>.6</a:t>
                    </a:r>
                    <a:r>
                      <a:t>%</a:t>
                    </a:r>
                  </a:p>
                </c:rich>
              </c:tx>
              <c:dLblPos val="bestFit"/>
              <c:showLegendKey val="0"/>
              <c:showVal val="1"/>
              <c:showCatName val="0"/>
              <c:showSerName val="0"/>
              <c:showPercent val="1"/>
              <c:showBubbleSize val="0"/>
              <c:extLst>
                <c:ext xmlns:c15="http://schemas.microsoft.com/office/drawing/2012/chart" uri="{CE6537A1-D6FC-4f65-9D91-7224C49458BB}"/>
              </c:extLst>
            </c:dLbl>
            <c:dLbl>
              <c:idx val="1"/>
              <c:layout/>
              <c:tx>
                <c:rich>
                  <a:bodyPr rot="0" spcFirstLastPara="0" vertOverflow="ellipsis" vert="horz" wrap="square" lIns="38100" tIns="19050" rIns="38100" bIns="19050" anchor="ctr" anchorCtr="1"/>
                  <a:lstStyle/>
                  <a:p>
                    <a:pPr defTabSz="914400">
                      <a:defRPr lang="zh-CN" sz="1000" b="0" i="0" u="none" strike="noStrike" kern="1200" baseline="0">
                        <a:solidFill>
                          <a:schemeClr val="tx1"/>
                        </a:solidFill>
                        <a:latin typeface="+mn-lt"/>
                        <a:ea typeface="+mn-ea"/>
                        <a:cs typeface="+mn-cs"/>
                      </a:defRPr>
                    </a:pPr>
                    <a:r>
                      <a:t>305.83, </a:t>
                    </a:r>
                    <a:r>
                      <a:rPr lang="en-US" altLang="zh-CN"/>
                      <a:t>9.7</a:t>
                    </a:r>
                    <a:r>
                      <a:t>%</a:t>
                    </a:r>
                  </a:p>
                </c:rich>
              </c:tx>
              <c:dLblPos val="bestFit"/>
              <c:showLegendKey val="0"/>
              <c:showVal val="1"/>
              <c:showCatName val="0"/>
              <c:showSerName val="0"/>
              <c:showPercent val="1"/>
              <c:showBubbleSize val="0"/>
              <c:extLst>
                <c:ext xmlns:c15="http://schemas.microsoft.com/office/drawing/2012/chart" uri="{CE6537A1-D6FC-4f65-9D91-7224C49458BB}"/>
              </c:extLst>
            </c:dLbl>
            <c:dLbl>
              <c:idx val="3"/>
              <c:layout/>
              <c:tx>
                <c:rich>
                  <a:bodyPr rot="0" spcFirstLastPara="0" vertOverflow="ellipsis" vert="horz" wrap="square" lIns="38100" tIns="19050" rIns="38100" bIns="19050" anchor="ctr" anchorCtr="1"/>
                  <a:lstStyle/>
                  <a:p>
                    <a:pPr defTabSz="914400">
                      <a:defRPr lang="zh-CN" sz="1000" b="0" i="0" u="none" strike="noStrike" kern="1200" baseline="0">
                        <a:solidFill>
                          <a:schemeClr val="tx1"/>
                        </a:solidFill>
                        <a:latin typeface="+mn-lt"/>
                        <a:ea typeface="+mn-ea"/>
                        <a:cs typeface="+mn-cs"/>
                      </a:defRPr>
                    </a:pPr>
                    <a:r>
                      <a:t>181.12, </a:t>
                    </a:r>
                    <a:r>
                      <a:rPr lang="en-US" altLang="zh-CN"/>
                      <a:t>5.7</a:t>
                    </a:r>
                    <a:r>
                      <a:t>%</a:t>
                    </a:r>
                  </a:p>
                </c:rich>
              </c:tx>
              <c:dLblPos val="bestFit"/>
              <c:showLegendKey val="0"/>
              <c:showVal val="1"/>
              <c:showCatName val="0"/>
              <c:showSerName val="0"/>
              <c:showPercent val="1"/>
              <c:showBubbleSize val="0"/>
              <c:extLst>
                <c:ext xmlns:c15="http://schemas.microsoft.com/office/drawing/2012/chart" uri="{CE6537A1-D6FC-4f65-9D91-7224C49458BB}"/>
              </c:extLst>
            </c:dLbl>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solidFill>
                    <a:latin typeface="+mn-lt"/>
                    <a:ea typeface="+mn-ea"/>
                    <a:cs typeface="+mn-cs"/>
                  </a:defRPr>
                </a:pPr>
              </a:p>
            </c:txPr>
            <c:dLblPos val="bestFit"/>
            <c:showLegendKey val="0"/>
            <c:showVal val="1"/>
            <c:showCatName val="0"/>
            <c:showSerName val="0"/>
            <c:showPercent val="1"/>
            <c:showBubbleSize val="0"/>
            <c:showLeaderLines val="1"/>
            <c:extLst>
              <c:ext xmlns:c15="http://schemas.microsoft.com/office/drawing/2012/chart" uri="{CE6537A1-D6FC-4f65-9D91-7224C49458BB}">
                <c15:layout/>
                <c15:showLeaderLines val="1"/>
                <c15:leaderLines/>
              </c:ext>
            </c:extLst>
          </c:dLbls>
          <c:cat>
            <c:strRef>
              <c:f>'[决算图表(1)(1).et]Sheet1'!$I$75:$I$80</c:f>
              <c:strCache>
                <c:ptCount val="6"/>
                <c:pt idx="0">
                  <c:v>交通运输支出</c:v>
                </c:pt>
                <c:pt idx="1">
                  <c:v>社会保障和就业支出</c:v>
                </c:pt>
                <c:pt idx="2">
                  <c:v>卫生健康支出</c:v>
                </c:pt>
                <c:pt idx="3">
                  <c:v>住房保障支出</c:v>
                </c:pt>
              </c:strCache>
            </c:strRef>
          </c:cat>
          <c:val>
            <c:numRef>
              <c:f>'[决算图表(1)(1).et]Sheet1'!$J$75:$J$80</c:f>
              <c:numCache>
                <c:formatCode>#,##0.00</c:formatCode>
                <c:ptCount val="6"/>
                <c:pt idx="0">
                  <c:v>2507.3</c:v>
                </c:pt>
                <c:pt idx="1" c:formatCode="General">
                  <c:v>305.83</c:v>
                </c:pt>
                <c:pt idx="2" c:formatCode="General">
                  <c:v>157.06</c:v>
                </c:pt>
                <c:pt idx="3" c:formatCode="General">
                  <c:v>181.12</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r"/>
      <c:legendEntry>
        <c:idx val="4"/>
        <c:delete val="1"/>
      </c:legendEntry>
      <c:legendEntry>
        <c:idx val="5"/>
        <c:delete val="1"/>
      </c:legendEntry>
      <c:layout>
        <c:manualLayout>
          <c:xMode val="edge"/>
          <c:yMode val="edge"/>
          <c:x val="0.70225"/>
          <c:y val="0.7425"/>
          <c:w val="0.285"/>
          <c:h val="0.2455"/>
        </c:manualLayout>
      </c:layout>
      <c:overlay val="0"/>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rgbClr val="F9FBFA"/>
    </a:solidFill>
    <a:ln w="9525" cap="flat" cmpd="sng" algn="ctr">
      <a:solidFill>
        <a:schemeClr val="tx1">
          <a:lumMod val="15000"/>
          <a:lumOff val="85000"/>
        </a:schemeClr>
      </a:solidFill>
      <a:prstDash val="solid"/>
      <a:round/>
    </a:ln>
    <a:effectLst/>
  </c:spPr>
  <c:txPr>
    <a:bodyPr wrap="square"/>
    <a:lstStyle/>
    <a:p>
      <a:pPr>
        <a:defRPr lang="zh-CN"/>
      </a:pPr>
    </a:p>
  </c:txPr>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algn="ctr" defTabSz="914400">
              <a:defRPr lang="zh-CN" sz="1400" b="0" i="0" u="none" strike="noStrike" kern="1200" spc="0" baseline="0">
                <a:solidFill>
                  <a:schemeClr val="tx1">
                    <a:lumMod val="65000"/>
                    <a:lumOff val="35000"/>
                  </a:schemeClr>
                </a:solidFill>
                <a:latin typeface="+mn-lt"/>
                <a:ea typeface="+mn-ea"/>
                <a:cs typeface="+mn-cs"/>
              </a:defRPr>
            </a:pPr>
            <a:r>
              <a:rPr sz="1400" b="0" i="0" u="none" strike="noStrike" kern="1200" cap="none" spc="0" normalizeH="0" baseline="0">
                <a:solidFill>
                  <a:srgbClr val="333333"/>
                </a:solidFill>
                <a:effectLst/>
                <a:latin typeface="宋体" panose="02010600030101010101" charset="-122"/>
                <a:ea typeface="宋体" panose="02010600030101010101" charset="-122"/>
                <a:cs typeface="宋体" panose="02010600030101010101" charset="-122"/>
              </a:rPr>
              <a:t>“三公”经费财政拨款支出结构图</a:t>
            </a:r>
            <a:endParaRPr sz="1400" b="0" i="0" u="none" strike="noStrike" kern="1200" cap="none" spc="0" normalizeH="0" baseline="0">
              <a:solidFill>
                <a:srgbClr val="333333"/>
              </a:solidFill>
              <a:effectLst/>
              <a:latin typeface="宋体" panose="02010600030101010101" charset="-122"/>
              <a:ea typeface="宋体" panose="02010600030101010101" charset="-122"/>
              <a:cs typeface="宋体" panose="02010600030101010101" charset="-122"/>
            </a:endParaRPr>
          </a:p>
          <a:p>
            <a:pPr algn="ctr" defTabSz="914400">
              <a:defRPr lang="zh-CN" sz="1400" b="0" i="0" u="none" strike="noStrike" kern="1200" spc="0" baseline="0">
                <a:solidFill>
                  <a:schemeClr val="tx1">
                    <a:lumMod val="65000"/>
                    <a:lumOff val="35000"/>
                  </a:schemeClr>
                </a:solidFill>
                <a:latin typeface="+mn-lt"/>
                <a:ea typeface="+mn-ea"/>
                <a:cs typeface="+mn-cs"/>
              </a:defRPr>
            </a:pPr>
            <a:r>
              <a:rPr sz="1400" b="0" i="0" u="none" strike="noStrike" kern="1200" cap="none" spc="0" normalizeH="0" baseline="0">
                <a:solidFill>
                  <a:srgbClr val="333333"/>
                </a:solidFill>
                <a:effectLst/>
                <a:latin typeface="宋体" panose="02010600030101010101" charset="-122"/>
                <a:ea typeface="宋体" panose="02010600030101010101" charset="-122"/>
                <a:cs typeface="宋体" panose="02010600030101010101" charset="-122"/>
              </a:rPr>
              <a:t>单位：万元</a:t>
            </a:r>
            <a:endParaRPr sz="1200" b="0" i="0" u="none" strike="noStrike" kern="1200" cap="none" spc="0" normalizeH="0" baseline="0">
              <a:solidFill>
                <a:srgbClr val="000000"/>
              </a:solidFill>
              <a:effectLst/>
              <a:latin typeface="宋体" panose="02010600030101010101" charset="-122"/>
              <a:ea typeface="宋体" panose="02010600030101010101" charset="-122"/>
              <a:cs typeface="宋体" panose="02010600030101010101" charset="-122"/>
            </a:endParaRPr>
          </a:p>
        </c:rich>
      </c:tx>
      <c:layout/>
      <c:overlay val="0"/>
    </c:title>
    <c:autoTitleDeleted val="0"/>
    <c:plotArea>
      <c:layout>
        <c:manualLayout>
          <c:layoutTarget val="inner"/>
          <c:xMode val="edge"/>
          <c:yMode val="edge"/>
          <c:x val="0.248039652450595"/>
          <c:y val="0.214197773791607"/>
          <c:w val="0.477741407528642"/>
          <c:h val="0.688930847297616"/>
        </c:manualLayout>
      </c:layout>
      <c:pieChart>
        <c:varyColors val="1"/>
        <c:ser>
          <c:idx val="0"/>
          <c:order val="0"/>
          <c:spPr>
            <a:solidFill>
              <a:schemeClr val="accent1"/>
            </a:solidFill>
            <a:ln w="19050">
              <a:solidFill>
                <a:srgbClr val="FFFFFF">
                  <a:alpha val="100000"/>
                </a:srgbClr>
              </a:solidFill>
              <a:prstDash val="solid"/>
            </a:ln>
            <a:effectLst/>
          </c:spPr>
          <c:explosion val="0"/>
          <c:dPt>
            <c:idx val="0"/>
            <c:bubble3D val="0"/>
            <c:explosion val="0"/>
            <c:spPr>
              <a:solidFill>
                <a:schemeClr val="accent1"/>
              </a:solidFill>
              <a:ln w="19050">
                <a:solidFill>
                  <a:schemeClr val="lt1"/>
                </a:solidFill>
              </a:ln>
              <a:effectLst/>
            </c:spPr>
          </c:dPt>
          <c:dPt>
            <c:idx val="1"/>
            <c:bubble3D val="0"/>
            <c:explosion val="0"/>
            <c:spPr>
              <a:solidFill>
                <a:schemeClr val="accent2"/>
              </a:solidFill>
              <a:ln w="19050">
                <a:solidFill>
                  <a:schemeClr val="lt1"/>
                </a:solidFill>
              </a:ln>
              <a:effectLst/>
            </c:spPr>
          </c:dPt>
          <c:dPt>
            <c:idx val="2"/>
            <c:bubble3D val="0"/>
            <c:explosion val="0"/>
            <c:spPr>
              <a:solidFill>
                <a:schemeClr val="accent3"/>
              </a:solidFill>
              <a:ln w="19050">
                <a:solidFill>
                  <a:schemeClr val="lt1"/>
                </a:solidFill>
              </a:ln>
              <a:effectLst/>
            </c:spPr>
          </c:dPt>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solidFill>
                    <a:latin typeface="+mn-lt"/>
                    <a:ea typeface="+mn-ea"/>
                    <a:cs typeface="+mn-cs"/>
                  </a:defRPr>
                </a:pPr>
              </a:p>
            </c:txPr>
            <c:dLblPos val="bestFit"/>
            <c:showLegendKey val="0"/>
            <c:showVal val="1"/>
            <c:showCatName val="0"/>
            <c:showSerName val="0"/>
            <c:showPercent val="1"/>
            <c:showBubbleSize val="0"/>
            <c:showLeaderLines val="1"/>
            <c:extLst>
              <c:ext xmlns:c15="http://schemas.microsoft.com/office/drawing/2012/chart" uri="{CE6537A1-D6FC-4f65-9D91-7224C49458BB}">
                <c15:layout/>
                <c15:showLeaderLines val="1"/>
                <c15:leaderLines/>
              </c:ext>
            </c:extLst>
          </c:dLbls>
          <c:cat>
            <c:strRef>
              <c:f>'[决算图表(1)(1).et]Sheet1'!$B$145:$B$147</c:f>
              <c:strCache>
                <c:ptCount val="3"/>
                <c:pt idx="0">
                  <c:v>公务用车购置及运行维护费</c:v>
                </c:pt>
                <c:pt idx="1">
                  <c:v>公务接待费</c:v>
                </c:pt>
                <c:pt idx="2">
                  <c:v>因公出国（境）费支出决算</c:v>
                </c:pt>
              </c:strCache>
            </c:strRef>
          </c:cat>
          <c:val>
            <c:numRef>
              <c:f>'[决算图表(1)(1).et]Sheet1'!$C$145:$C$147</c:f>
              <c:numCache>
                <c:formatCode>General</c:formatCode>
                <c:ptCount val="3"/>
                <c:pt idx="0">
                  <c:v>17.34</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r"/>
      <c:legendEntry>
        <c:idx val="1"/>
        <c:delete val="1"/>
      </c:legendEntry>
      <c:legendEntry>
        <c:idx val="2"/>
        <c:delete val="1"/>
      </c:legendEntry>
      <c:layout>
        <c:manualLayout>
          <c:xMode val="edge"/>
          <c:yMode val="edge"/>
          <c:x val="0.0717371794871795"/>
          <c:y val="0.900626013904983"/>
          <c:w val="0.864"/>
          <c:h val="0.08825"/>
        </c:manualLayout>
      </c:layout>
      <c:overlay val="0"/>
      <c:txPr>
        <a:bodyPr rot="0" spcFirstLastPara="0" vertOverflow="ellipsis" horzOverflow="overflow"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rgbClr val="F9FBFA"/>
    </a:solidFill>
    <a:ln w="9525" cap="flat" cmpd="sng" algn="ctr">
      <a:solidFill>
        <a:srgbClr val="F9FBFA"/>
      </a:solidFill>
      <a:prstDash val="solid"/>
      <a:round/>
    </a:ln>
    <a:effectLst/>
  </c:spPr>
  <c:txPr>
    <a:bodyPr rot="0" spcFirstLastPara="0" vertOverflow="ellipsis" horzOverflow="overflow" vert="horz" wrap="square" anchor="ctr" anchorCtr="1"/>
    <a:lstStyle/>
    <a:p>
      <a:pPr>
        <a:defRPr lang="zh-CN" sz="900" kern="1200">
          <a:solidFill>
            <a:schemeClr val="tx1"/>
          </a:solidFill>
          <a:latin typeface="+mn-lt"/>
          <a:ea typeface="+mn-ea"/>
          <a:cs typeface="+mn-cs"/>
        </a:defRPr>
      </a:pPr>
    </a:p>
  </c:tx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四川省财政厅</Company>
  <Pages>21</Pages>
  <Words>4643</Words>
  <Characters>5071</Characters>
  <Lines>60</Lines>
  <Paragraphs>17</Paragraphs>
  <TotalTime>50</TotalTime>
  <ScaleCrop>false</ScaleCrop>
  <LinksUpToDate>false</LinksUpToDate>
  <CharactersWithSpaces>5250</CharactersWithSpaces>
  <Application>WPS Office_11.8.2.11473_F1E327BC-269C-435d-A152-05C5408002CA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2020-08-09T09:49:00Z</dcterms:created>
  <dc:creator>曹颖</dc:creator>
  <cp:lastModifiedBy>Dell</cp:lastModifiedBy>
  <cp:lastPrinted>2025-08-06T17:34:00Z</cp:lastPrinted>
  <dcterms:modified xsi:type="dcterms:W3CDTF">2025-09-18T07:46:30Z</dcterms:modified>
  <dc:title>四川省***</dc:title>
  <cp:revision>35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2052-11.8.2.11473</vt:lpwstr>
  </property>
  <property fmtid="{D5CDD505-2E9C-101B-9397-08002B2CF9AE}" pid="3" name="ICV">
    <vt:lpwstr>97C9AF380A0042BF9D0E1A439C368F4F</vt:lpwstr>
  </property>
  <property fmtid="{D5CDD505-2E9C-101B-9397-08002B2CF9AE}" pid="4" name="KSOTemplateDocerSaveRecord">
    <vt:lpwstr>eyJoZGlkIjoiMjRiN2I0NWNjYzc2ZDE0Zjk3OWRhMWM5ZmFjNTgwM2QiLCJ1c2VySWQiOiI0MjU0NzI2MTgifQ==</vt:lpwstr>
  </property>
</Properties>
</file>