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96597"/>
      <w:bookmarkStart w:id="1" w:name="_Toc15377193"/>
      <w:bookmarkStart w:id="2" w:name="_Toc15378441"/>
      <w:bookmarkStart w:id="3" w:name="_Toc15396475"/>
      <w:bookmarkStart w:id="4" w:name="_Toc15306267"/>
      <w:bookmarkStart w:id="5" w:name="_Toc15377425"/>
    </w:p>
    <w:p>
      <w:pPr>
        <w:pStyle w:val="2"/>
        <w:spacing w:before="93"/>
        <w:rPr>
          <w:rFonts w:ascii="Times New Roman" w:eastAsia="方正小标宋简体"/>
          <w:kern w:val="2"/>
          <w:sz w:val="72"/>
          <w:szCs w:val="72"/>
        </w:rPr>
      </w:pPr>
    </w:p>
    <w:p>
      <w:pPr>
        <w:pStyle w:val="2"/>
        <w:bidi w:val="0"/>
      </w:pPr>
    </w:p>
    <w:p>
      <w:pPr>
        <w:pStyle w:val="2"/>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2024年度阿坝藏族羌族自治州公路管理局松潘公路管理分局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- 16 -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- 21 -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- 21 -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77196"/>
      <w:bookmarkStart w:id="7" w:name="_Toc15396599"/>
      <w:r>
        <w:rPr>
          <w:rFonts w:hint="eastAsia" w:eastAsia="仿宋_GB2312" w:cs="仿宋_GB2312"/>
          <w:b/>
          <w:sz w:val="32"/>
          <w:szCs w:val="32"/>
        </w:rPr>
        <w:br w:type="page"/>
      </w:r>
    </w:p>
    <w:p>
      <w:pPr>
        <w:pStyle w:val="3"/>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4"/>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松潘公路管理分局前身是阿坝养路总段松潘县养路段,成立于1972年,1998年实行段队合一,更名为阿坝藏族羌族自治州公路管理局松潘公路管理分局，棣属于阿坝州公路管理局直属领导。分局属于服务型事业单位,主要负责国道G213、国道G317线松潘县境内公路的维护和保养工作。</w:t>
      </w:r>
    </w:p>
    <w:p>
      <w:pPr>
        <w:pStyle w:val="4"/>
        <w:rPr>
          <w:rStyle w:val="29"/>
          <w:rFonts w:ascii="Times New Roman" w:hAnsi="Times New Roman"/>
          <w:b w:val="0"/>
          <w:bCs w:val="0"/>
        </w:rPr>
      </w:pPr>
      <w:bookmarkStart w:id="10" w:name="_Toc15396601"/>
      <w:bookmarkStart w:id="11" w:name="_Toc15377200"/>
      <w:bookmarkStart w:id="12" w:name="_Toc366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widowControl/>
        <w:ind w:firstLine="640" w:firstLineChars="200"/>
        <w:jc w:val="left"/>
        <w:rPr>
          <w:rFonts w:eastAsia="仿宋"/>
          <w:kern w:val="0"/>
          <w:sz w:val="32"/>
          <w:szCs w:val="32"/>
        </w:rPr>
      </w:pPr>
      <w:r>
        <w:rPr>
          <w:rFonts w:hint="eastAsia" w:ascii="仿宋" w:hAnsi="仿宋" w:eastAsia="仿宋"/>
          <w:sz w:val="32"/>
          <w:szCs w:val="32"/>
        </w:rPr>
        <w:t>阿坝藏族羌族自治州公路管理局松潘公路管理分局（以下简称“我局”）是隶属于阿坝州公路管理局的二级预算单位，我局无下属预算单位。截至202</w:t>
      </w:r>
      <w:r>
        <w:rPr>
          <w:rFonts w:hint="eastAsia" w:ascii="仿宋" w:hAnsi="仿宋" w:eastAsia="仿宋"/>
          <w:sz w:val="32"/>
          <w:szCs w:val="32"/>
          <w:lang w:val="en-US" w:eastAsia="zh-CN"/>
        </w:rPr>
        <w:t>4</w:t>
      </w:r>
      <w:r>
        <w:rPr>
          <w:rFonts w:hint="eastAsia" w:ascii="仿宋" w:hAnsi="仿宋" w:eastAsia="仿宋"/>
          <w:sz w:val="32"/>
          <w:szCs w:val="32"/>
        </w:rPr>
        <w:t>年底，我局机关科（处）室共有7个，分别为：行政办公室，党支部办公室、安全股、财务股、机料股、工程股、人事股。</w:t>
      </w:r>
      <w:r>
        <w:rPr>
          <w:rFonts w:eastAsia="仿宋"/>
          <w:sz w:val="32"/>
          <w:szCs w:val="32"/>
        </w:rPr>
        <w:br w:type="page"/>
      </w:r>
    </w:p>
    <w:p>
      <w:pPr>
        <w:pStyle w:val="3"/>
        <w:jc w:val="center"/>
        <w:rPr>
          <w:rFonts w:hint="eastAsia" w:ascii="黑体" w:hAnsi="黑体" w:eastAsia="黑体" w:cs="黑体"/>
          <w:b w:val="0"/>
        </w:rPr>
      </w:pPr>
      <w:bookmarkStart w:id="13" w:name="_Toc15377204"/>
      <w:bookmarkStart w:id="14" w:name="_Toc15396602"/>
      <w:bookmarkStart w:id="15" w:name="_Toc5056"/>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77205"/>
      <w:bookmarkStart w:id="17" w:name="_Toc1539"/>
      <w:bookmarkStart w:id="18" w:name="_Toc15396603"/>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900.23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17.7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。主要变动原因是本年度较上年度人员</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666750</wp:posOffset>
            </wp:positionH>
            <wp:positionV relativeFrom="paragraph">
              <wp:posOffset>30480</wp:posOffset>
            </wp:positionV>
            <wp:extent cx="4152900" cy="2783205"/>
            <wp:effectExtent l="4445" t="4445" r="14605" b="12700"/>
            <wp:wrapTight wrapText="bothSides">
              <wp:wrapPolygon>
                <wp:start x="-23" y="-34"/>
                <wp:lineTo x="-23" y="21551"/>
                <wp:lineTo x="21577" y="21551"/>
                <wp:lineTo x="21577" y="-34"/>
                <wp:lineTo x="-23" y="-34"/>
              </wp:wrapPolygon>
            </wp:wrapTight>
            <wp:docPr id="4415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77206"/>
      <w:bookmarkStart w:id="20" w:name="_Toc22737"/>
      <w:bookmarkStart w:id="21" w:name="_Toc15396604"/>
      <w:r>
        <w:rPr>
          <w:rFonts w:hint="eastAsia" w:eastAsia="黑体"/>
          <w:sz w:val="32"/>
          <w:szCs w:val="32"/>
        </w:rPr>
        <w:t>二、收入决算情况说明</w:t>
      </w:r>
      <w:bookmarkEnd w:id="19"/>
      <w:bookmarkEnd w:id="20"/>
      <w:bookmarkEnd w:id="21"/>
    </w:p>
    <w:p>
      <w:pPr>
        <w:pStyle w:val="2"/>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p>
    <w:p>
      <w:pPr>
        <w:ind w:firstLine="525" w:firstLineChars="250"/>
        <w:jc w:val="center"/>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749300</wp:posOffset>
            </wp:positionH>
            <wp:positionV relativeFrom="paragraph">
              <wp:posOffset>94615</wp:posOffset>
            </wp:positionV>
            <wp:extent cx="3940810" cy="2905125"/>
            <wp:effectExtent l="4445" t="4445" r="17145" b="5080"/>
            <wp:wrapTight wrapText="bothSides">
              <wp:wrapPolygon>
                <wp:start x="-24" y="-33"/>
                <wp:lineTo x="-24" y="21496"/>
                <wp:lineTo x="21485" y="21496"/>
                <wp:lineTo x="21485" y="-33"/>
                <wp:lineTo x="-24" y="-33"/>
              </wp:wrapPolygon>
            </wp:wrapTight>
            <wp:docPr id="4415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96605"/>
      <w:bookmarkStart w:id="23" w:name="_Toc3923"/>
      <w:bookmarkStart w:id="24" w:name="_Toc15377207"/>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4,114.39</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86.2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657.31</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13.8</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563880</wp:posOffset>
            </wp:positionH>
            <wp:positionV relativeFrom="paragraph">
              <wp:posOffset>172085</wp:posOffset>
            </wp:positionV>
            <wp:extent cx="4107180" cy="2940050"/>
            <wp:effectExtent l="4445" t="4445" r="22225" b="8255"/>
            <wp:wrapTight wrapText="bothSides">
              <wp:wrapPolygon>
                <wp:start x="-23" y="-33"/>
                <wp:lineTo x="-23" y="21521"/>
                <wp:lineTo x="21517" y="21521"/>
                <wp:lineTo x="21517" y="-33"/>
                <wp:lineTo x="-23" y="-33"/>
              </wp:wrapPolygon>
            </wp:wrapTight>
            <wp:docPr id="4416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77208"/>
      <w:bookmarkStart w:id="26" w:name="_Toc15396606"/>
    </w:p>
    <w:p>
      <w:pPr>
        <w:spacing w:line="600" w:lineRule="exact"/>
        <w:ind w:firstLine="640" w:firstLineChars="200"/>
        <w:outlineLvl w:val="1"/>
        <w:rPr>
          <w:rFonts w:hint="eastAsia" w:eastAsia="黑体"/>
          <w:sz w:val="32"/>
          <w:szCs w:val="32"/>
        </w:rPr>
      </w:pPr>
      <w:bookmarkStart w:id="27"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hAnsi="Times New Roman" w:eastAsia="仿宋_GB2312" w:cs="仿宋_GB2312"/>
          <w:kern w:val="2"/>
          <w:sz w:val="32"/>
          <w:szCs w:val="32"/>
          <w:lang w:val="en-US" w:eastAsia="zh-CN" w:bidi="ar-SA"/>
        </w:rPr>
        <w:t>900.23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17.7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。主要变动原因是本年度较上年度人员</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483235</wp:posOffset>
            </wp:positionH>
            <wp:positionV relativeFrom="paragraph">
              <wp:posOffset>130175</wp:posOffset>
            </wp:positionV>
            <wp:extent cx="4465955" cy="3039110"/>
            <wp:effectExtent l="0" t="0" r="10795" b="8890"/>
            <wp:wrapTight wrapText="bothSides">
              <wp:wrapPolygon>
                <wp:start x="0" y="0"/>
                <wp:lineTo x="0" y="21528"/>
                <wp:lineTo x="21468" y="21528"/>
                <wp:lineTo x="21468" y="0"/>
                <wp:lineTo x="0" y="0"/>
              </wp:wrapPolygon>
            </wp:wrapTight>
            <wp:docPr id="4416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96607"/>
      <w:bookmarkStart w:id="29" w:name="_Toc15377209"/>
      <w:bookmarkStart w:id="30" w:name="_Toc2831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hAnsi="Times New Roman" w:eastAsia="仿宋_GB2312" w:cs="仿宋_GB2312"/>
          <w:kern w:val="2"/>
          <w:sz w:val="32"/>
          <w:szCs w:val="32"/>
          <w:lang w:val="en-US" w:eastAsia="zh-CN" w:bidi="ar-SA"/>
        </w:rPr>
        <w:t>900.23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17.7</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。主要变动原因是本年度较上年度人员</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减少，项目</w:t>
      </w:r>
      <w:r>
        <w:rPr>
          <w:rFonts w:hint="eastAsia" w:hAnsi="仿宋_GB2312" w:cs="仿宋_GB2312"/>
          <w:sz w:val="32"/>
          <w:szCs w:val="32"/>
          <w:lang w:val="en-US" w:eastAsia="zh-CN"/>
        </w:rPr>
        <w:t>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p>
    <w:p>
      <w:pPr>
        <w:pStyle w:val="13"/>
        <w:rPr>
          <w:rFonts w:hint="eastAsia" w:eastAsia="仿宋_GB2312" w:cs="仿宋_GB2312"/>
          <w:sz w:val="32"/>
          <w:szCs w:val="32"/>
        </w:rPr>
      </w:pPr>
    </w:p>
    <w:p>
      <w:pPr>
        <w:pStyle w:val="7"/>
        <w:rPr>
          <w:rFonts w:hint="eastAsia" w:eastAsia="仿宋_GB2312" w:cs="仿宋_GB2312"/>
          <w:sz w:val="32"/>
          <w:szCs w:val="32"/>
        </w:rPr>
      </w:pPr>
      <w:r>
        <w:drawing>
          <wp:anchor distT="0" distB="0" distL="114300" distR="114300" simplePos="0" relativeHeight="251667456" behindDoc="1" locked="0" layoutInCell="1" allowOverlap="1">
            <wp:simplePos x="0" y="0"/>
            <wp:positionH relativeFrom="column">
              <wp:posOffset>537845</wp:posOffset>
            </wp:positionH>
            <wp:positionV relativeFrom="paragraph">
              <wp:posOffset>71755</wp:posOffset>
            </wp:positionV>
            <wp:extent cx="4321175" cy="2835910"/>
            <wp:effectExtent l="4445" t="4445" r="17780" b="17145"/>
            <wp:wrapTight wrapText="bothSides">
              <wp:wrapPolygon>
                <wp:start x="-22" y="-34"/>
                <wp:lineTo x="-22" y="21440"/>
                <wp:lineTo x="21498" y="21440"/>
                <wp:lineTo x="21498" y="-34"/>
                <wp:lineTo x="-22" y="-34"/>
              </wp:wrapPolygon>
            </wp:wrapTight>
            <wp:docPr id="4415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771.7</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497.82</w:t>
      </w:r>
      <w:r>
        <w:rPr>
          <w:rFonts w:hint="eastAsia" w:eastAsia="仿宋_GB2312" w:cs="仿宋_GB2312"/>
          <w:sz w:val="32"/>
          <w:szCs w:val="32"/>
        </w:rPr>
        <w:t>万元，占</w:t>
      </w:r>
      <w:r>
        <w:rPr>
          <w:rFonts w:hint="eastAsia" w:eastAsia="仿宋_GB2312" w:cs="仿宋_GB2312"/>
          <w:sz w:val="32"/>
          <w:szCs w:val="32"/>
          <w:lang w:val="en-US" w:eastAsia="zh-CN"/>
        </w:rPr>
        <w:t>10.4</w:t>
      </w:r>
      <w:r>
        <w:rPr>
          <w:rFonts w:hint="eastAsia" w:eastAsia="仿宋_GB2312" w:cs="仿宋_GB2312"/>
          <w:sz w:val="32"/>
          <w:szCs w:val="32"/>
        </w:rPr>
        <w:t>%；卫生健康支出</w:t>
      </w:r>
      <w:r>
        <w:rPr>
          <w:rFonts w:hint="eastAsia" w:eastAsia="仿宋_GB2312" w:cs="仿宋_GB2312"/>
          <w:sz w:val="32"/>
          <w:szCs w:val="32"/>
          <w:lang w:val="en-US" w:eastAsia="zh-CN"/>
        </w:rPr>
        <w:t>213.97</w:t>
      </w:r>
      <w:r>
        <w:rPr>
          <w:rFonts w:hint="eastAsia" w:eastAsia="仿宋_GB2312" w:cs="仿宋_GB2312"/>
          <w:sz w:val="32"/>
          <w:szCs w:val="32"/>
        </w:rPr>
        <w:t>万元，占</w:t>
      </w:r>
      <w:r>
        <w:rPr>
          <w:rFonts w:hint="eastAsia" w:eastAsia="仿宋_GB2312" w:cs="仿宋_GB2312"/>
          <w:sz w:val="32"/>
          <w:szCs w:val="32"/>
          <w:lang w:val="en-US" w:eastAsia="zh-CN"/>
        </w:rPr>
        <w:t>4.5</w:t>
      </w:r>
      <w:r>
        <w:rPr>
          <w:rFonts w:hint="eastAsia" w:eastAsia="仿宋_GB2312" w:cs="仿宋_GB2312"/>
          <w:sz w:val="32"/>
          <w:szCs w:val="32"/>
        </w:rPr>
        <w:t>%；交通运输支出</w:t>
      </w:r>
      <w:r>
        <w:rPr>
          <w:rFonts w:hint="eastAsia" w:eastAsia="仿宋_GB2312" w:cs="仿宋_GB2312"/>
          <w:sz w:val="32"/>
          <w:szCs w:val="32"/>
          <w:lang w:val="en-US" w:eastAsia="zh-CN"/>
        </w:rPr>
        <w:t>3,790.65万元，占79.4%；</w:t>
      </w:r>
      <w:r>
        <w:rPr>
          <w:rFonts w:hint="eastAsia" w:eastAsia="仿宋_GB2312" w:cs="仿宋_GB2312"/>
          <w:sz w:val="32"/>
          <w:szCs w:val="32"/>
        </w:rPr>
        <w:t>住房保障支出</w:t>
      </w:r>
      <w:r>
        <w:rPr>
          <w:rFonts w:hint="eastAsia" w:eastAsia="仿宋_GB2312" w:cs="仿宋_GB2312"/>
          <w:sz w:val="32"/>
          <w:szCs w:val="32"/>
          <w:lang w:val="en-US" w:eastAsia="zh-CN"/>
        </w:rPr>
        <w:t>269.26</w:t>
      </w:r>
      <w:r>
        <w:rPr>
          <w:rFonts w:hint="eastAsia" w:eastAsia="仿宋_GB2312" w:cs="仿宋_GB2312"/>
          <w:sz w:val="32"/>
          <w:szCs w:val="32"/>
        </w:rPr>
        <w:t>万元，占</w:t>
      </w:r>
      <w:r>
        <w:rPr>
          <w:rFonts w:hint="eastAsia" w:eastAsia="仿宋_GB2312" w:cs="仿宋_GB2312"/>
          <w:sz w:val="32"/>
          <w:szCs w:val="32"/>
          <w:lang w:val="en-US" w:eastAsia="zh-CN"/>
        </w:rPr>
        <w:t>5.7</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drawing>
          <wp:anchor distT="0" distB="0" distL="114300" distR="114300" simplePos="0" relativeHeight="251668480" behindDoc="1" locked="0" layoutInCell="1" allowOverlap="1">
            <wp:simplePos x="0" y="0"/>
            <wp:positionH relativeFrom="column">
              <wp:posOffset>462915</wp:posOffset>
            </wp:positionH>
            <wp:positionV relativeFrom="paragraph">
              <wp:posOffset>74295</wp:posOffset>
            </wp:positionV>
            <wp:extent cx="4541520" cy="3469005"/>
            <wp:effectExtent l="4445" t="4445" r="6985" b="69850"/>
            <wp:wrapTight wrapText="bothSides">
              <wp:wrapPolygon>
                <wp:start x="-21" y="-28"/>
                <wp:lineTo x="-21" y="21560"/>
                <wp:lineTo x="21543" y="21560"/>
                <wp:lineTo x="21543" y="-28"/>
                <wp:lineTo x="-21" y="-28"/>
              </wp:wrapPolygon>
            </wp:wrapTight>
            <wp:docPr id="4416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ind w:left="0" w:leftChars="0" w:firstLine="0" w:firstLineChars="0"/>
        <w:jc w:val="both"/>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8460"/>
      <w:bookmarkStart w:id="35" w:name="_Toc15377444"/>
      <w:bookmarkStart w:id="36" w:name="_Toc15377213"/>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4</w:t>
      </w:r>
      <w:r>
        <w:rPr>
          <w:rFonts w:hint="eastAsia" w:ascii="Times New Roman" w:hAnsi="Times New Roman" w:eastAsia="仿宋_GB2312" w:cs="仿宋_GB2312"/>
          <w:kern w:val="2"/>
          <w:sz w:val="32"/>
          <w:szCs w:val="32"/>
          <w:lang w:val="en-US" w:eastAsia="zh-CN" w:bidi="ar-SA"/>
        </w:rPr>
        <w:t>,</w:t>
      </w:r>
      <w:r>
        <w:rPr>
          <w:rFonts w:hint="eastAsia" w:cs="仿宋_GB2312"/>
          <w:kern w:val="2"/>
          <w:sz w:val="32"/>
          <w:szCs w:val="32"/>
          <w:lang w:val="en-US" w:eastAsia="zh-CN" w:bidi="ar-SA"/>
        </w:rPr>
        <w:t>771.7</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48.42</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299.6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3.社会保障和就业（类）行政事业单位养老支出（款）机关事业单位职业年金缴费支出（项）：支出决算为149.8万元，完成预算100%，决算数等于预算数。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139.55</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74.42</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3,790.65</w:t>
      </w:r>
      <w:r>
        <w:rPr>
          <w:rFonts w:hint="eastAsia" w:eastAsia="仿宋_GB2312" w:cs="仿宋_GB2312"/>
          <w:sz w:val="32"/>
          <w:szCs w:val="32"/>
        </w:rPr>
        <w:t>万元，完成预算</w:t>
      </w:r>
      <w:r>
        <w:rPr>
          <w:rFonts w:hint="eastAsia" w:eastAsia="仿宋_GB2312" w:cs="仿宋_GB2312"/>
          <w:sz w:val="32"/>
          <w:szCs w:val="32"/>
          <w:lang w:val="en-US" w:eastAsia="zh-CN"/>
        </w:rPr>
        <w:t>99.9</w:t>
      </w:r>
      <w:r>
        <w:rPr>
          <w:rFonts w:hint="eastAsia" w:eastAsia="仿宋_GB2312" w:cs="仿宋_GB2312"/>
          <w:sz w:val="32"/>
          <w:szCs w:val="32"/>
        </w:rPr>
        <w:t>%，</w:t>
      </w:r>
      <w:r>
        <w:rPr>
          <w:rFonts w:hint="eastAsia" w:eastAsia="仿宋_GB2312" w:cs="仿宋_GB2312"/>
          <w:sz w:val="32"/>
          <w:szCs w:val="32"/>
          <w:lang w:val="en-US" w:eastAsia="zh-CN"/>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7.住房保障（类）住房改革支出（款）住房公积金（项）：支出决算为253.26万元，完成预算100%，决算数等于预算数。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8.住房保障（类）住房改革支出（款）购房补贴（项）：支出决算为16万元，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Times New Roman" w:cs="仿宋_GB2312"/>
          <w:kern w:val="2"/>
          <w:sz w:val="32"/>
          <w:szCs w:val="32"/>
          <w:lang w:val="en-US" w:eastAsia="zh-CN" w:bidi="ar-SA"/>
        </w:rPr>
        <w:t>4,114.39</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3,884.43</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w:t>
      </w:r>
      <w:r>
        <w:rPr>
          <w:rFonts w:hint="eastAsia" w:eastAsia="仿宋_GB2312" w:cs="仿宋_GB2312"/>
          <w:sz w:val="32"/>
          <w:szCs w:val="32"/>
          <w:lang w:val="en-US" w:eastAsia="zh-CN"/>
        </w:rPr>
        <w:t>伙食补助费、</w:t>
      </w:r>
      <w:r>
        <w:rPr>
          <w:rFonts w:hint="eastAsia" w:eastAsia="仿宋_GB2312" w:cs="仿宋_GB2312"/>
          <w:sz w:val="32"/>
          <w:szCs w:val="32"/>
        </w:rPr>
        <w:t>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w:t>
      </w:r>
      <w:r>
        <w:rPr>
          <w:rFonts w:hint="eastAsia" w:eastAsia="仿宋_GB2312" w:cs="仿宋_GB2312"/>
          <w:sz w:val="32"/>
          <w:szCs w:val="32"/>
          <w:lang w:val="en-US" w:eastAsia="zh-CN"/>
        </w:rPr>
        <w:t>其他工资福利支出、</w:t>
      </w:r>
      <w:r>
        <w:rPr>
          <w:rFonts w:hint="eastAsia" w:eastAsia="仿宋_GB2312" w:cs="仿宋_GB2312"/>
          <w:sz w:val="32"/>
          <w:szCs w:val="32"/>
        </w:rPr>
        <w:t>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w:t>
      </w:r>
      <w:r>
        <w:rPr>
          <w:rFonts w:hint="eastAsia" w:eastAsia="仿宋_GB2312" w:cs="仿宋_GB2312"/>
          <w:sz w:val="32"/>
          <w:szCs w:val="32"/>
          <w:lang w:val="en-US" w:eastAsia="zh-CN"/>
        </w:rPr>
        <w:t>229.96</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w:t>
      </w:r>
      <w:r>
        <w:rPr>
          <w:rFonts w:hint="eastAsia" w:eastAsia="仿宋_GB2312" w:cs="仿宋_GB2312"/>
          <w:sz w:val="32"/>
          <w:szCs w:val="32"/>
          <w:lang w:val="en-US" w:eastAsia="zh-CN"/>
        </w:rPr>
        <w:t>水费、</w:t>
      </w:r>
      <w:r>
        <w:rPr>
          <w:rFonts w:hint="eastAsia" w:eastAsia="仿宋_GB2312" w:cs="仿宋_GB2312"/>
          <w:sz w:val="32"/>
          <w:szCs w:val="32"/>
        </w:rPr>
        <w:t>电费、邮电费、</w:t>
      </w:r>
      <w:r>
        <w:rPr>
          <w:rFonts w:hint="eastAsia" w:eastAsia="仿宋_GB2312" w:cs="仿宋_GB2312"/>
          <w:sz w:val="32"/>
          <w:szCs w:val="32"/>
          <w:lang w:val="en-US" w:eastAsia="zh-CN"/>
        </w:rPr>
        <w:t>物业管理费、</w:t>
      </w:r>
      <w:r>
        <w:rPr>
          <w:rFonts w:hint="eastAsia" w:eastAsia="仿宋_GB2312" w:cs="仿宋_GB2312"/>
          <w:sz w:val="32"/>
          <w:szCs w:val="32"/>
        </w:rPr>
        <w:t>差旅费、维修（护）费、培训费、公务接待费、</w:t>
      </w:r>
      <w:r>
        <w:rPr>
          <w:rFonts w:hint="eastAsia" w:eastAsia="仿宋_GB2312" w:cs="仿宋_GB2312"/>
          <w:sz w:val="32"/>
          <w:szCs w:val="32"/>
          <w:lang w:val="en-US" w:eastAsia="zh-CN"/>
        </w:rPr>
        <w:t>专用材料费、专用燃料费、</w:t>
      </w:r>
      <w:r>
        <w:rPr>
          <w:rFonts w:hint="eastAsia" w:eastAsia="仿宋_GB2312" w:cs="仿宋_GB2312"/>
          <w:sz w:val="32"/>
          <w:szCs w:val="32"/>
        </w:rPr>
        <w:t>劳务费、福利费、公务用车运行维护费、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0" w:name="_Toc15396609"/>
      <w:bookmarkStart w:id="41" w:name="_Toc3121"/>
      <w:bookmarkStart w:id="42" w:name="_Toc15377215"/>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19.97</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82.6</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减少0.24</w:t>
      </w:r>
      <w:r>
        <w:rPr>
          <w:rFonts w:hint="eastAsia" w:eastAsia="仿宋_GB2312" w:cs="仿宋_GB2312"/>
          <w:sz w:val="32"/>
          <w:szCs w:val="32"/>
        </w:rPr>
        <w:t>万元，</w:t>
      </w:r>
      <w:r>
        <w:rPr>
          <w:rFonts w:hint="eastAsia" w:eastAsia="仿宋_GB2312" w:cs="仿宋_GB2312"/>
          <w:sz w:val="32"/>
          <w:szCs w:val="32"/>
          <w:lang w:val="en-US" w:eastAsia="zh-CN"/>
        </w:rPr>
        <w:t>下降1.2</w:t>
      </w:r>
      <w:r>
        <w:rPr>
          <w:rFonts w:hint="eastAsia" w:eastAsia="仿宋_GB2312" w:cs="仿宋_GB2312"/>
          <w:sz w:val="32"/>
          <w:szCs w:val="32"/>
        </w:rPr>
        <w:t>%。</w:t>
      </w:r>
      <w:r>
        <w:rPr>
          <w:rFonts w:hint="eastAsia" w:ascii="Times New Roman" w:hAnsi="Times New Roman" w:eastAsia="仿宋_GB2312" w:cs="仿宋_GB2312"/>
          <w:sz w:val="32"/>
          <w:szCs w:val="32"/>
          <w:lang w:val="en-US" w:eastAsia="zh-CN"/>
        </w:rPr>
        <w:t>决算数小于预算数的主要原因是单位本年度厉行节约，缩减公用经费支出</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19.67</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98.5%</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0.3万元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1.5%</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405130</wp:posOffset>
            </wp:positionH>
            <wp:positionV relativeFrom="paragraph">
              <wp:posOffset>187325</wp:posOffset>
            </wp:positionV>
            <wp:extent cx="4451985" cy="2992120"/>
            <wp:effectExtent l="4445" t="5080" r="20320" b="50800"/>
            <wp:wrapTight wrapText="bothSides">
              <wp:wrapPolygon>
                <wp:start x="-22" y="-37"/>
                <wp:lineTo x="-22" y="21554"/>
                <wp:lineTo x="21514" y="21554"/>
                <wp:lineTo x="21514" y="-37"/>
                <wp:lineTo x="-22" y="-37"/>
              </wp:wrapPolygon>
            </wp:wrapTight>
            <wp:docPr id="4415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19.67</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99.9</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减少0.33</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下降1.7</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减少</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9</w:t>
      </w:r>
      <w:r>
        <w:rPr>
          <w:rFonts w:hint="eastAsia" w:eastAsia="仿宋_GB2312" w:cs="仿宋_GB2312"/>
          <w:sz w:val="32"/>
          <w:szCs w:val="32"/>
        </w:rPr>
        <w:t>辆，其中：</w:t>
      </w:r>
      <w:r>
        <w:rPr>
          <w:rFonts w:hint="eastAsia" w:eastAsia="仿宋_GB2312" w:cs="仿宋_GB2312"/>
          <w:sz w:val="32"/>
          <w:szCs w:val="32"/>
          <w:lang w:val="en-US" w:eastAsia="zh-CN"/>
        </w:rPr>
        <w:t>其他用车9辆</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19.67</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0.3</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6.7</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增加0.09</w:t>
      </w:r>
      <w:r>
        <w:rPr>
          <w:rFonts w:hint="eastAsia" w:eastAsia="仿宋_GB2312" w:cs="仿宋_GB2312"/>
          <w:sz w:val="32"/>
          <w:szCs w:val="32"/>
        </w:rPr>
        <w:t>万元，</w:t>
      </w:r>
      <w:r>
        <w:rPr>
          <w:rFonts w:hint="eastAsia" w:eastAsia="仿宋_GB2312" w:cs="仿宋_GB2312"/>
          <w:sz w:val="32"/>
          <w:szCs w:val="32"/>
          <w:lang w:val="en-US" w:eastAsia="zh-CN"/>
        </w:rPr>
        <w:t>增长42.9</w:t>
      </w:r>
      <w:r>
        <w:rPr>
          <w:rFonts w:hint="eastAsia" w:eastAsia="仿宋_GB2312" w:cs="仿宋_GB2312"/>
          <w:sz w:val="32"/>
          <w:szCs w:val="32"/>
        </w:rPr>
        <w:t>%。主要原因是</w:t>
      </w:r>
      <w:r>
        <w:rPr>
          <w:rFonts w:hint="eastAsia" w:eastAsia="仿宋_GB2312" w:cs="仿宋_GB2312"/>
          <w:sz w:val="32"/>
          <w:szCs w:val="32"/>
          <w:lang w:val="en-US" w:eastAsia="zh-CN"/>
        </w:rPr>
        <w:t>本年增加公务接待支出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0.3</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元，主要用于</w:t>
      </w:r>
      <w:r>
        <w:rPr>
          <w:rFonts w:hint="eastAsia" w:eastAsia="仿宋_GB2312" w:cs="仿宋_GB2312"/>
          <w:sz w:val="32"/>
          <w:szCs w:val="32"/>
          <w:highlight w:val="none"/>
          <w:lang w:val="en-US" w:eastAsia="zh-CN"/>
        </w:rPr>
        <w:t>开展全州国省干线公路第三、第四季度考核工作、开展年终考核慰问、洛阳市交通事业发展中心赴四川省阿坝藏族羌族自治州交通运输局考察</w:t>
      </w:r>
      <w:r>
        <w:rPr>
          <w:rFonts w:hint="eastAsia" w:eastAsia="仿宋_GB2312" w:cs="仿宋_GB2312"/>
          <w:sz w:val="32"/>
          <w:szCs w:val="32"/>
          <w:highlight w:val="none"/>
        </w:rPr>
        <w:t>。国内公务接待</w:t>
      </w:r>
      <w:r>
        <w:rPr>
          <w:rFonts w:hint="eastAsia" w:eastAsia="仿宋_GB2312" w:cs="仿宋_GB2312"/>
          <w:sz w:val="32"/>
          <w:szCs w:val="32"/>
          <w:lang w:val="en-US" w:eastAsia="zh-CN"/>
        </w:rPr>
        <w:t>3</w:t>
      </w:r>
      <w:r>
        <w:rPr>
          <w:rFonts w:hint="eastAsia" w:eastAsia="仿宋_GB2312" w:cs="仿宋_GB2312"/>
          <w:sz w:val="32"/>
          <w:szCs w:val="32"/>
          <w:highlight w:val="none"/>
        </w:rPr>
        <w:t>批次，</w:t>
      </w:r>
      <w:r>
        <w:rPr>
          <w:rFonts w:hint="eastAsia" w:eastAsia="仿宋_GB2312" w:cs="仿宋_GB2312"/>
          <w:sz w:val="32"/>
          <w:szCs w:val="32"/>
          <w:highlight w:val="none"/>
          <w:lang w:val="en-US" w:eastAsia="zh-CN"/>
        </w:rPr>
        <w:t>30</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0.3</w:t>
      </w:r>
      <w:r>
        <w:rPr>
          <w:rFonts w:hint="eastAsia" w:eastAsia="仿宋_GB2312" w:cs="仿宋_GB2312"/>
          <w:sz w:val="32"/>
          <w:szCs w:val="32"/>
          <w:highlight w:val="none"/>
        </w:rPr>
        <w:t>万元，具体内容包括：</w:t>
      </w:r>
      <w:r>
        <w:rPr>
          <w:rFonts w:hint="eastAsia" w:eastAsia="仿宋_GB2312" w:cs="仿宋_GB2312"/>
          <w:sz w:val="32"/>
          <w:szCs w:val="32"/>
          <w:highlight w:val="none"/>
          <w:lang w:val="en-US" w:eastAsia="zh-CN"/>
        </w:rPr>
        <w:t>开展全州国省干线公路第三、第四季度考核工作800元、开展年终考核慰问480元、洛阳市交通事业发展中心赴四川省阿坝藏族羌族自治州交通运输局考察1680元。</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96610"/>
      <w:bookmarkStart w:id="46" w:name="_Toc15377218"/>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5396611"/>
      <w:bookmarkStart w:id="49" w:name="_Toc14890"/>
      <w:bookmarkStart w:id="50" w:name="_Toc15377219"/>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7012"/>
      <w:bookmarkStart w:id="52" w:name="_Toc15377221"/>
      <w:bookmarkStart w:id="53" w:name="_Toc15396612"/>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阿坝藏族羌族自治州公路管理局松潘公路管理分局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阿坝藏族羌族自治州公路管理局松潘公路管理分局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187.16</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187.16</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阿坝藏族羌族自治州公路管理局松潘公路管理分局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9</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30</w:t>
      </w:r>
      <w:r>
        <w:rPr>
          <w:rFonts w:hint="eastAsia" w:ascii="仿宋_GB2312" w:hAnsi="仿宋_GB2312"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0辆、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9</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lang w:val="en-US" w:eastAsia="zh-CN"/>
        </w:rPr>
        <w:t>阿坝藏族羌族自治州公路管理局松潘公路管理分局</w:t>
      </w:r>
      <w:r>
        <w:rPr>
          <w:rFonts w:hint="eastAsia" w:eastAsia="仿宋_GB2312" w:cs="仿宋_GB2312"/>
          <w:sz w:val="32"/>
          <w:szCs w:val="32"/>
        </w:rPr>
        <w:t>在2024年度预算编制阶段，组织对国省干线小修保养费</w:t>
      </w:r>
      <w:r>
        <w:rPr>
          <w:rFonts w:hint="eastAsia" w:eastAsia="仿宋_GB2312" w:cs="仿宋_GB2312"/>
          <w:sz w:val="32"/>
          <w:szCs w:val="32"/>
          <w:lang w:eastAsia="zh-CN"/>
        </w:rPr>
        <w:t>、交调站维护费、松潘公路分局养护机械运行维护费、2023年松潘公路管理分局丧葬伤残抚恤金、松潘公路管理分局八一建军节慰问费、2024年度雪山梁隧道日常养护费、松潘公路管理分局退休人员春节慰问费、松潘公路管理分局隧道电费、松潘分局水毁应急抢险资金</w:t>
      </w:r>
      <w:r>
        <w:rPr>
          <w:rFonts w:hint="eastAsia" w:eastAsia="仿宋_GB2312" w:cs="仿宋_GB2312"/>
          <w:sz w:val="32"/>
          <w:szCs w:val="32"/>
          <w:lang w:val="en-US" w:eastAsia="zh-CN"/>
        </w:rPr>
        <w:t>9</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9</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9</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9</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24234"/>
      <w:bookmarkStart w:id="58" w:name="_Toc15377225"/>
      <w:bookmarkStart w:id="59" w:name="_Toc15396613"/>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1707"/>
      <w:bookmarkStart w:id="62" w:name="_Toc15396614"/>
      <w:r>
        <w:rPr>
          <w:rFonts w:hint="eastAsia" w:eastAsia="黑体"/>
          <w:sz w:val="44"/>
          <w:szCs w:val="44"/>
        </w:rPr>
        <w:t>第四部分  附件</w:t>
      </w:r>
      <w:bookmarkEnd w:id="61"/>
      <w:bookmarkEnd w:id="62"/>
    </w:p>
    <w:p>
      <w:pPr>
        <w:pStyle w:val="2"/>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r>
        <w:drawing>
          <wp:anchor distT="0" distB="0" distL="114300" distR="114300" simplePos="0" relativeHeight="251670528" behindDoc="1" locked="0" layoutInCell="1" allowOverlap="1">
            <wp:simplePos x="0" y="0"/>
            <wp:positionH relativeFrom="column">
              <wp:posOffset>-277495</wp:posOffset>
            </wp:positionH>
            <wp:positionV relativeFrom="paragraph">
              <wp:posOffset>113030</wp:posOffset>
            </wp:positionV>
            <wp:extent cx="5750560" cy="5526405"/>
            <wp:effectExtent l="0" t="0" r="2540" b="0"/>
            <wp:wrapTight wrapText="bothSides">
              <wp:wrapPolygon>
                <wp:start x="0" y="0"/>
                <wp:lineTo x="0" y="21518"/>
                <wp:lineTo x="21538" y="21518"/>
                <wp:lineTo x="21538"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750560" cy="5526405"/>
                    </a:xfrm>
                    <a:prstGeom prst="rect">
                      <a:avLst/>
                    </a:prstGeom>
                    <a:noFill/>
                    <a:ln>
                      <a:noFill/>
                    </a:ln>
                  </pic:spPr>
                </pic:pic>
              </a:graphicData>
            </a:graphic>
          </wp:anchor>
        </w:drawing>
      </w:r>
    </w:p>
    <w:p>
      <w:pPr>
        <w:jc w:val="both"/>
      </w:pPr>
    </w:p>
    <w:p>
      <w:pPr>
        <w:jc w:val="both"/>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2576" behindDoc="1" locked="0" layoutInCell="1" allowOverlap="1">
            <wp:simplePos x="0" y="0"/>
            <wp:positionH relativeFrom="column">
              <wp:posOffset>-222250</wp:posOffset>
            </wp:positionH>
            <wp:positionV relativeFrom="paragraph">
              <wp:posOffset>4506595</wp:posOffset>
            </wp:positionV>
            <wp:extent cx="5734685" cy="4129405"/>
            <wp:effectExtent l="0" t="0" r="18415" b="0"/>
            <wp:wrapTight wrapText="bothSides">
              <wp:wrapPolygon>
                <wp:start x="0" y="0"/>
                <wp:lineTo x="0" y="21524"/>
                <wp:lineTo x="21526" y="21524"/>
                <wp:lineTo x="21526"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734685" cy="4129405"/>
                    </a:xfrm>
                    <a:prstGeom prst="rect">
                      <a:avLst/>
                    </a:prstGeom>
                    <a:noFill/>
                    <a:ln>
                      <a:noFill/>
                    </a:ln>
                  </pic:spPr>
                </pic:pic>
              </a:graphicData>
            </a:graphic>
          </wp:anchor>
        </w:drawing>
      </w:r>
      <w:r>
        <w:drawing>
          <wp:anchor distT="0" distB="0" distL="114300" distR="114300" simplePos="0" relativeHeight="251671552" behindDoc="1" locked="0" layoutInCell="1" allowOverlap="1">
            <wp:simplePos x="0" y="0"/>
            <wp:positionH relativeFrom="column">
              <wp:posOffset>-198120</wp:posOffset>
            </wp:positionH>
            <wp:positionV relativeFrom="paragraph">
              <wp:posOffset>165100</wp:posOffset>
            </wp:positionV>
            <wp:extent cx="5702935" cy="4208145"/>
            <wp:effectExtent l="0" t="0" r="12065" b="0"/>
            <wp:wrapTight wrapText="bothSides">
              <wp:wrapPolygon>
                <wp:start x="0" y="0"/>
                <wp:lineTo x="0" y="21512"/>
                <wp:lineTo x="21501" y="21512"/>
                <wp:lineTo x="21501"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702935" cy="420814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4624" behindDoc="1" locked="0" layoutInCell="1" allowOverlap="1">
            <wp:simplePos x="0" y="0"/>
            <wp:positionH relativeFrom="column">
              <wp:posOffset>-222250</wp:posOffset>
            </wp:positionH>
            <wp:positionV relativeFrom="paragraph">
              <wp:posOffset>4302125</wp:posOffset>
            </wp:positionV>
            <wp:extent cx="5742940" cy="4159885"/>
            <wp:effectExtent l="0" t="0" r="10160" b="0"/>
            <wp:wrapTight wrapText="bothSides">
              <wp:wrapPolygon>
                <wp:start x="0" y="0"/>
                <wp:lineTo x="0" y="21465"/>
                <wp:lineTo x="21495" y="21465"/>
                <wp:lineTo x="21495"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a:stretch>
                      <a:fillRect/>
                    </a:stretch>
                  </pic:blipFill>
                  <pic:spPr>
                    <a:xfrm>
                      <a:off x="0" y="0"/>
                      <a:ext cx="5742940" cy="4159885"/>
                    </a:xfrm>
                    <a:prstGeom prst="rect">
                      <a:avLst/>
                    </a:prstGeom>
                    <a:noFill/>
                    <a:ln>
                      <a:noFill/>
                    </a:ln>
                  </pic:spPr>
                </pic:pic>
              </a:graphicData>
            </a:graphic>
          </wp:anchor>
        </w:drawing>
      </w:r>
      <w:r>
        <w:drawing>
          <wp:anchor distT="0" distB="0" distL="114300" distR="114300" simplePos="0" relativeHeight="251673600" behindDoc="1" locked="0" layoutInCell="1" allowOverlap="1">
            <wp:simplePos x="0" y="0"/>
            <wp:positionH relativeFrom="column">
              <wp:posOffset>-206375</wp:posOffset>
            </wp:positionH>
            <wp:positionV relativeFrom="paragraph">
              <wp:posOffset>117475</wp:posOffset>
            </wp:positionV>
            <wp:extent cx="5719445" cy="4018280"/>
            <wp:effectExtent l="0" t="0" r="14605" b="0"/>
            <wp:wrapTight wrapText="bothSides">
              <wp:wrapPolygon>
                <wp:start x="0" y="0"/>
                <wp:lineTo x="0" y="21504"/>
                <wp:lineTo x="21511" y="21504"/>
                <wp:lineTo x="21511"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5719445" cy="401828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6672" behindDoc="1" locked="0" layoutInCell="1" allowOverlap="1">
            <wp:simplePos x="0" y="0"/>
            <wp:positionH relativeFrom="column">
              <wp:posOffset>-238125</wp:posOffset>
            </wp:positionH>
            <wp:positionV relativeFrom="paragraph">
              <wp:posOffset>4602480</wp:posOffset>
            </wp:positionV>
            <wp:extent cx="5758180" cy="4018280"/>
            <wp:effectExtent l="0" t="0" r="13970" b="0"/>
            <wp:wrapTight wrapText="bothSides">
              <wp:wrapPolygon>
                <wp:start x="0" y="0"/>
                <wp:lineTo x="0" y="21504"/>
                <wp:lineTo x="21509" y="21504"/>
                <wp:lineTo x="21509"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stretch>
                      <a:fillRect/>
                    </a:stretch>
                  </pic:blipFill>
                  <pic:spPr>
                    <a:xfrm>
                      <a:off x="0" y="0"/>
                      <a:ext cx="5758180" cy="4018280"/>
                    </a:xfrm>
                    <a:prstGeom prst="rect">
                      <a:avLst/>
                    </a:prstGeom>
                    <a:noFill/>
                    <a:ln>
                      <a:noFill/>
                    </a:ln>
                  </pic:spPr>
                </pic:pic>
              </a:graphicData>
            </a:graphic>
          </wp:anchor>
        </w:drawing>
      </w:r>
      <w:r>
        <w:drawing>
          <wp:anchor distT="0" distB="0" distL="114300" distR="114300" simplePos="0" relativeHeight="251675648" behindDoc="1" locked="0" layoutInCell="1" allowOverlap="1">
            <wp:simplePos x="0" y="0"/>
            <wp:positionH relativeFrom="column">
              <wp:posOffset>-222250</wp:posOffset>
            </wp:positionH>
            <wp:positionV relativeFrom="paragraph">
              <wp:posOffset>149225</wp:posOffset>
            </wp:positionV>
            <wp:extent cx="5727065" cy="4319270"/>
            <wp:effectExtent l="0" t="0" r="6985" b="0"/>
            <wp:wrapTight wrapText="bothSides">
              <wp:wrapPolygon>
                <wp:start x="0" y="0"/>
                <wp:lineTo x="0" y="21530"/>
                <wp:lineTo x="21554" y="21530"/>
                <wp:lineTo x="21554"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5727065" cy="431927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8720" behindDoc="1" locked="0" layoutInCell="1" allowOverlap="1">
            <wp:simplePos x="0" y="0"/>
            <wp:positionH relativeFrom="column">
              <wp:posOffset>-254000</wp:posOffset>
            </wp:positionH>
            <wp:positionV relativeFrom="paragraph">
              <wp:posOffset>4298950</wp:posOffset>
            </wp:positionV>
            <wp:extent cx="5781675" cy="4037965"/>
            <wp:effectExtent l="0" t="0" r="9525" b="0"/>
            <wp:wrapTight wrapText="bothSides">
              <wp:wrapPolygon>
                <wp:start x="0" y="0"/>
                <wp:lineTo x="0" y="21501"/>
                <wp:lineTo x="21564" y="21501"/>
                <wp:lineTo x="21564"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781675" cy="4037965"/>
                    </a:xfrm>
                    <a:prstGeom prst="rect">
                      <a:avLst/>
                    </a:prstGeom>
                    <a:noFill/>
                    <a:ln>
                      <a:noFill/>
                    </a:ln>
                  </pic:spPr>
                </pic:pic>
              </a:graphicData>
            </a:graphic>
          </wp:anchor>
        </w:drawing>
      </w:r>
      <w:r>
        <w:drawing>
          <wp:anchor distT="0" distB="0" distL="114300" distR="114300" simplePos="0" relativeHeight="251677696" behindDoc="1" locked="0" layoutInCell="1" allowOverlap="1">
            <wp:simplePos x="0" y="0"/>
            <wp:positionH relativeFrom="column">
              <wp:posOffset>-222250</wp:posOffset>
            </wp:positionH>
            <wp:positionV relativeFrom="paragraph">
              <wp:posOffset>77470</wp:posOffset>
            </wp:positionV>
            <wp:extent cx="5727065" cy="4027805"/>
            <wp:effectExtent l="0" t="0" r="6985" b="0"/>
            <wp:wrapTight wrapText="bothSides">
              <wp:wrapPolygon>
                <wp:start x="0" y="0"/>
                <wp:lineTo x="0" y="21454"/>
                <wp:lineTo x="21554" y="21454"/>
                <wp:lineTo x="21554"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tretch>
                      <a:fillRect/>
                    </a:stretch>
                  </pic:blipFill>
                  <pic:spPr>
                    <a:xfrm>
                      <a:off x="0" y="0"/>
                      <a:ext cx="5727065" cy="402780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4"/>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4"/>
        <w:rPr>
          <w:rStyle w:val="37"/>
          <w:rFonts w:hint="eastAsia" w:ascii="仿宋" w:hAnsi="仿宋" w:eastAsia="仿宋"/>
          <w:b w:val="0"/>
          <w:bCs w:val="0"/>
        </w:rPr>
      </w:pPr>
      <w:bookmarkStart w:id="67" w:name="_Toc15396620"/>
      <w:bookmarkStart w:id="68" w:name="_Toc9008"/>
      <w:r>
        <w:rPr>
          <w:rStyle w:val="37"/>
          <w:rFonts w:hint="eastAsia" w:ascii="仿宋" w:hAnsi="仿宋" w:eastAsia="仿宋"/>
          <w:b w:val="0"/>
          <w:bCs w:val="0"/>
        </w:rPr>
        <w:t>二、收入决算表</w:t>
      </w:r>
      <w:bookmarkEnd w:id="67"/>
      <w:bookmarkEnd w:id="68"/>
    </w:p>
    <w:p>
      <w:pPr>
        <w:pStyle w:val="4"/>
        <w:rPr>
          <w:rStyle w:val="37"/>
          <w:rFonts w:hint="eastAsia" w:ascii="仿宋" w:hAnsi="仿宋" w:eastAsia="仿宋"/>
          <w:b w:val="0"/>
          <w:bCs w:val="0"/>
        </w:rPr>
      </w:pPr>
      <w:bookmarkStart w:id="69" w:name="_Toc4521"/>
      <w:bookmarkStart w:id="70" w:name="_Toc15396621"/>
      <w:r>
        <w:rPr>
          <w:rStyle w:val="37"/>
          <w:rFonts w:hint="eastAsia" w:ascii="仿宋" w:hAnsi="仿宋" w:eastAsia="仿宋"/>
          <w:b w:val="0"/>
          <w:bCs w:val="0"/>
        </w:rPr>
        <w:t>三、支出决算表</w:t>
      </w:r>
      <w:bookmarkEnd w:id="69"/>
      <w:bookmarkEnd w:id="70"/>
    </w:p>
    <w:p>
      <w:pPr>
        <w:pStyle w:val="4"/>
        <w:rPr>
          <w:rStyle w:val="37"/>
          <w:rFonts w:hint="eastAsia" w:ascii="仿宋" w:hAnsi="仿宋" w:eastAsia="仿宋"/>
          <w:b w:val="0"/>
          <w:bCs w:val="0"/>
        </w:rPr>
      </w:pPr>
      <w:bookmarkStart w:id="71" w:name="_Toc15396622"/>
      <w:bookmarkStart w:id="72" w:name="_Toc32579"/>
      <w:r>
        <w:rPr>
          <w:rStyle w:val="37"/>
          <w:rFonts w:hint="eastAsia" w:ascii="仿宋" w:hAnsi="仿宋" w:eastAsia="仿宋"/>
          <w:b w:val="0"/>
          <w:bCs w:val="0"/>
        </w:rPr>
        <w:t>四、财政拨款收入支出决算总表</w:t>
      </w:r>
      <w:bookmarkEnd w:id="71"/>
      <w:bookmarkEnd w:id="72"/>
    </w:p>
    <w:p>
      <w:pPr>
        <w:pStyle w:val="4"/>
        <w:rPr>
          <w:rStyle w:val="37"/>
          <w:rFonts w:hint="eastAsia" w:ascii="仿宋" w:hAnsi="仿宋" w:eastAsia="仿宋"/>
          <w:b w:val="0"/>
          <w:bCs w:val="0"/>
        </w:rPr>
      </w:pPr>
      <w:bookmarkStart w:id="73" w:name="_Toc23065"/>
      <w:bookmarkStart w:id="74" w:name="_Toc15396623"/>
      <w:r>
        <w:rPr>
          <w:rStyle w:val="37"/>
          <w:rFonts w:hint="eastAsia" w:ascii="仿宋" w:hAnsi="仿宋" w:eastAsia="仿宋"/>
          <w:b w:val="0"/>
          <w:bCs w:val="0"/>
        </w:rPr>
        <w:t>五、财政拨款支出决算明细表</w:t>
      </w:r>
      <w:bookmarkEnd w:id="73"/>
      <w:bookmarkEnd w:id="74"/>
      <w:bookmarkStart w:id="75" w:name="_Toc15396624"/>
    </w:p>
    <w:p>
      <w:pPr>
        <w:pStyle w:val="4"/>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4"/>
        <w:rPr>
          <w:rStyle w:val="37"/>
          <w:rFonts w:hint="eastAsia" w:ascii="仿宋" w:hAnsi="仿宋" w:eastAsia="仿宋"/>
          <w:b w:val="0"/>
          <w:bCs w:val="0"/>
        </w:rPr>
      </w:pPr>
      <w:bookmarkStart w:id="77" w:name="_Toc12867"/>
      <w:bookmarkStart w:id="78" w:name="_Toc15396625"/>
      <w:r>
        <w:rPr>
          <w:rStyle w:val="37"/>
          <w:rFonts w:hint="eastAsia" w:ascii="仿宋" w:hAnsi="仿宋" w:eastAsia="仿宋"/>
          <w:b w:val="0"/>
          <w:bCs w:val="0"/>
        </w:rPr>
        <w:t>七、一般公共预算财政拨款支出决算明细表</w:t>
      </w:r>
      <w:bookmarkEnd w:id="77"/>
      <w:bookmarkEnd w:id="78"/>
    </w:p>
    <w:p>
      <w:pPr>
        <w:pStyle w:val="4"/>
        <w:rPr>
          <w:rStyle w:val="37"/>
          <w:rFonts w:hint="eastAsia" w:ascii="仿宋" w:hAnsi="仿宋" w:eastAsia="仿宋"/>
          <w:b w:val="0"/>
          <w:bCs w:val="0"/>
        </w:rPr>
      </w:pPr>
      <w:bookmarkStart w:id="79" w:name="_Toc2880"/>
      <w:bookmarkStart w:id="80" w:name="_Toc15396626"/>
      <w:r>
        <w:rPr>
          <w:rStyle w:val="37"/>
          <w:rFonts w:hint="eastAsia" w:ascii="仿宋" w:hAnsi="仿宋" w:eastAsia="仿宋"/>
          <w:b w:val="0"/>
          <w:bCs w:val="0"/>
        </w:rPr>
        <w:t>八、一般公共预算财政拨款基本支出决算表</w:t>
      </w:r>
      <w:bookmarkEnd w:id="79"/>
      <w:bookmarkEnd w:id="80"/>
    </w:p>
    <w:p>
      <w:pPr>
        <w:pStyle w:val="4"/>
        <w:rPr>
          <w:rStyle w:val="37"/>
          <w:rFonts w:hint="eastAsia" w:ascii="仿宋" w:hAnsi="仿宋" w:eastAsia="仿宋"/>
          <w:b w:val="0"/>
          <w:bCs w:val="0"/>
        </w:rPr>
      </w:pPr>
      <w:bookmarkStart w:id="81" w:name="_Toc24062"/>
      <w:bookmarkStart w:id="82" w:name="_Toc15396627"/>
      <w:r>
        <w:rPr>
          <w:rStyle w:val="37"/>
          <w:rFonts w:hint="eastAsia" w:ascii="仿宋" w:hAnsi="仿宋" w:eastAsia="仿宋"/>
          <w:b w:val="0"/>
          <w:bCs w:val="0"/>
        </w:rPr>
        <w:t>九、一般公共预算财政拨款项目支出决算表</w:t>
      </w:r>
      <w:bookmarkEnd w:id="81"/>
      <w:bookmarkEnd w:id="82"/>
    </w:p>
    <w:p>
      <w:pPr>
        <w:pStyle w:val="4"/>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4"/>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4"/>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4"/>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200051"/>
    <w:rsid w:val="066E0107"/>
    <w:rsid w:val="07996F6E"/>
    <w:rsid w:val="07DFD8BA"/>
    <w:rsid w:val="09867E8F"/>
    <w:rsid w:val="0A2032A3"/>
    <w:rsid w:val="0CA8290A"/>
    <w:rsid w:val="0D35B1ED"/>
    <w:rsid w:val="0DDF33B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7567996"/>
    <w:rsid w:val="281408E2"/>
    <w:rsid w:val="28341F69"/>
    <w:rsid w:val="29FD04D3"/>
    <w:rsid w:val="2BFF7BC6"/>
    <w:rsid w:val="2C8A61B5"/>
    <w:rsid w:val="2DF04E50"/>
    <w:rsid w:val="2E586DFA"/>
    <w:rsid w:val="2F040D46"/>
    <w:rsid w:val="2F6B035B"/>
    <w:rsid w:val="2FAE5751"/>
    <w:rsid w:val="2FB1A395"/>
    <w:rsid w:val="2FBC452F"/>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86A6C7A"/>
    <w:rsid w:val="4A627F82"/>
    <w:rsid w:val="4B0E749A"/>
    <w:rsid w:val="4B2477C4"/>
    <w:rsid w:val="4B4F25DA"/>
    <w:rsid w:val="4BE068DB"/>
    <w:rsid w:val="4D577224"/>
    <w:rsid w:val="4DBF1CEB"/>
    <w:rsid w:val="4DF0007C"/>
    <w:rsid w:val="4E733692"/>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3043B"/>
    <w:rsid w:val="5D1F11B5"/>
    <w:rsid w:val="5D695134"/>
    <w:rsid w:val="5DAE1B18"/>
    <w:rsid w:val="5DE7D9E5"/>
    <w:rsid w:val="5EA902B4"/>
    <w:rsid w:val="5ECEC941"/>
    <w:rsid w:val="5FBF9FF3"/>
    <w:rsid w:val="5FCD4E2C"/>
    <w:rsid w:val="5FEF394A"/>
    <w:rsid w:val="5FF67715"/>
    <w:rsid w:val="62BF3928"/>
    <w:rsid w:val="63B3701E"/>
    <w:rsid w:val="647F5392"/>
    <w:rsid w:val="65E66580"/>
    <w:rsid w:val="664B1D71"/>
    <w:rsid w:val="664B4E8E"/>
    <w:rsid w:val="67277B67"/>
    <w:rsid w:val="67AA3209"/>
    <w:rsid w:val="698D0931"/>
    <w:rsid w:val="6A597B5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709AB"/>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19746B"/>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4"/>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#,##0.00</c:formatCode>
                <c:ptCount val="2"/>
                <c:pt idx="0">
                  <c:v>5077.93</c:v>
                </c:pt>
                <c:pt idx="1">
                  <c:v>5077.93</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4771.7</c:v>
                </c:pt>
                <c:pt idx="1">
                  <c:v>4771.7</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965068871"/>
        <c:axId val="422281751"/>
      </c:barChart>
      <c:catAx>
        <c:axId val="965068871"/>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2281751"/>
        <c:crosses val="autoZero"/>
        <c:auto val="1"/>
        <c:lblAlgn val="ctr"/>
        <c:lblOffset val="100"/>
        <c:noMultiLvlLbl val="0"/>
      </c:catAx>
      <c:valAx>
        <c:axId val="42228175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5068871"/>
        <c:crosses val="autoZero"/>
        <c:crossBetween val="between"/>
      </c:valAx>
      <c:spPr>
        <a:noFill/>
        <a:ln>
          <a:noFill/>
        </a:ln>
        <a:effectLst/>
      </c:spPr>
    </c:plotArea>
    <c:legend>
      <c:legendPos val="r"/>
      <c:legendEntry>
        <c:idx val="2"/>
        <c:delete val="1"/>
      </c:legendEntry>
      <c:layout>
        <c:manualLayout>
          <c:xMode val="edge"/>
          <c:yMode val="edge"/>
          <c:x val="0.79"/>
          <c:y val="0.795"/>
          <c:w val="0.20275"/>
          <c:h val="0.1847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15451486658306"/>
          <c:y val="0.00663716814159292"/>
        </c:manualLayout>
      </c:layout>
      <c:overlay val="0"/>
      <c:spPr>
        <a:noFill/>
        <a:ln>
          <a:noFill/>
        </a:ln>
        <a:effectLst/>
      </c:spPr>
    </c:title>
    <c:autoTitleDeleted val="0"/>
    <c:plotArea>
      <c:layout>
        <c:manualLayout>
          <c:layoutTarget val="inner"/>
          <c:xMode val="edge"/>
          <c:yMode val="edge"/>
          <c:x val="0.284353831182604"/>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4771.7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00575"/>
          <c:y val="0.83825"/>
          <c:w val="0.98625"/>
          <c:h val="0.1507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820604882994"/>
          <c:y val="0.00727272727272727"/>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4,114.39, 86</a:t>
                    </a:r>
                    <a:r>
                      <a:rPr lang="en-US" altLang="zh-CN"/>
                      <a:t>.2</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657.31, 1</a:t>
                    </a:r>
                    <a:r>
                      <a:rPr lang="en-US" altLang="zh-CN"/>
                      <a:t>3.8</a:t>
                    </a:r>
                    <a:r>
                      <a:t>%</a:t>
                    </a:r>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4114.39</c:v>
                </c:pt>
                <c:pt idx="1" c:formatCode="General">
                  <c:v>657.31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
          <c:h val="0.083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#,##0.00</c:formatCode>
                <c:ptCount val="2"/>
                <c:pt idx="0">
                  <c:v>5077.93</c:v>
                </c:pt>
                <c:pt idx="1">
                  <c:v>5077.93</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4771.7</c:v>
                </c:pt>
                <c:pt idx="1">
                  <c:v>4771.7</c:v>
                </c:pt>
              </c:numCache>
            </c:numRef>
          </c:val>
        </c:ser>
        <c:dLbls>
          <c:showLegendKey val="0"/>
          <c:showVal val="0"/>
          <c:showCatName val="0"/>
          <c:showSerName val="0"/>
          <c:showPercent val="0"/>
          <c:showBubbleSize val="0"/>
        </c:dLbls>
        <c:gapWidth val="219"/>
        <c:overlap val="-27"/>
        <c:axId val="586183199"/>
        <c:axId val="488770828"/>
      </c:barChart>
      <c:catAx>
        <c:axId val="58618319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8770828"/>
        <c:crosses val="autoZero"/>
        <c:auto val="1"/>
        <c:lblAlgn val="ctr"/>
        <c:lblOffset val="100"/>
        <c:noMultiLvlLbl val="0"/>
      </c:catAx>
      <c:valAx>
        <c:axId val="4887708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6183199"/>
        <c:crosses val="autoZero"/>
        <c:crossBetween val="between"/>
      </c:valAx>
      <c:spPr>
        <a:noFill/>
        <a:ln>
          <a:noFill/>
        </a:ln>
        <a:effectLst/>
      </c:spPr>
    </c:plotArea>
    <c:legend>
      <c:legendPos val="r"/>
      <c:layout>
        <c:manualLayout>
          <c:xMode val="edge"/>
          <c:yMode val="edge"/>
          <c:x val="0.74825"/>
          <c:y val="0.84275"/>
          <c:w val="0.1875"/>
          <c:h val="0.149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42854871463586"/>
          <c:y val="0.0269544671342516"/>
        </c:manualLayout>
      </c:layout>
      <c:overlay val="0"/>
    </c:title>
    <c:autoTitleDeleted val="0"/>
    <c:plotArea>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#,##0.00</c:formatCode>
                <c:ptCount val="2"/>
                <c:pt idx="0">
                  <c:v>5077.93</c:v>
                </c:pt>
                <c:pt idx="1">
                  <c:v>4771.7</c:v>
                </c:pt>
              </c:numCache>
            </c:numRef>
          </c:val>
        </c:ser>
        <c:dLbls>
          <c:showLegendKey val="0"/>
          <c:showVal val="0"/>
          <c:showCatName val="0"/>
          <c:showSerName val="0"/>
          <c:showPercent val="0"/>
          <c:showBubbleSize val="0"/>
        </c:dLbls>
        <c:gapWidth val="219"/>
        <c:overlap val="-27"/>
        <c:axId val="412162088"/>
        <c:axId val="250878692"/>
      </c:barChart>
      <c:catAx>
        <c:axId val="412162088"/>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250878692"/>
        <c:crosses val="autoZero"/>
        <c:auto val="1"/>
        <c:lblAlgn val="ctr"/>
        <c:lblOffset val="100"/>
        <c:noMultiLvlLbl val="0"/>
      </c:catAx>
      <c:valAx>
        <c:axId val="2508786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412162088"/>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3,790.65, 79</a:t>
                    </a:r>
                    <a:r>
                      <a:rPr lang="en-US" altLang="zh-CN"/>
                      <a:t>.4</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506512752802499"/>
                  <c:y val="0.045837975202951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497.82, 10</a:t>
                    </a:r>
                    <a:r>
                      <a:rPr lang="en-US" altLang="zh-CN"/>
                      <a:t>.4</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78277028954163"/>
                  <c:y val="-0.00227897020689601"/>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213.97,</a:t>
                    </a:r>
                    <a:r>
                      <a:rPr lang="en-US" altLang="zh-CN"/>
                      <a:t>4</a:t>
                    </a:r>
                    <a:r>
                      <a:t> 5%</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186002122187873"/>
                  <c:y val="-0.020346690455031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269.26, </a:t>
                    </a:r>
                    <a:r>
                      <a:rPr lang="en-US" altLang="zh-CN"/>
                      <a:t>5.7</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3790.65</c:v>
                </c:pt>
                <c:pt idx="1" c:formatCode="General">
                  <c:v>497.82</c:v>
                </c:pt>
                <c:pt idx="2" c:formatCode="General">
                  <c:v>213.97</c:v>
                </c:pt>
                <c:pt idx="3" c:formatCode="General">
                  <c:v>269.26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
          <c:h val="0.245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48039652450595"/>
          <c:y val="0.214197773791607"/>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19.67, 98</a:t>
                    </a:r>
                    <a:r>
                      <a:rPr lang="en-US" altLang="zh-CN"/>
                      <a:t>.5</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168168473657424"/>
                  <c:y val="0.027692715167149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0.3, </a:t>
                    </a:r>
                    <a:r>
                      <a:rPr lang="en-US" altLang="zh-CN"/>
                      <a:t>1.5</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19.67</c:v>
                </c:pt>
                <c:pt idx="1">
                  <c:v>0.3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ayout>
        <c:manualLayout>
          <c:xMode val="edge"/>
          <c:yMode val="edge"/>
          <c:x val="0.0709219858156028"/>
          <c:y val="0.888550200038102"/>
          <c:w val="0.864"/>
          <c:h val="0.08825"/>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4737</Words>
  <Characters>5200</Characters>
  <Lines>60</Lines>
  <Paragraphs>17</Paragraphs>
  <TotalTime>32</TotalTime>
  <ScaleCrop>false</ScaleCrop>
  <LinksUpToDate>false</LinksUpToDate>
  <CharactersWithSpaces>5374</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2025-09-18T07:43:52Z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3871018F110040F6BEB475D0A8F629EE</vt:lpwstr>
  </property>
  <property fmtid="{D5CDD505-2E9C-101B-9397-08002B2CF9AE}" pid="4" name="KSOTemplateDocerSaveRecord">
    <vt:lpwstr>eyJoZGlkIjoiMjRiN2I0NWNjYzc2ZDE0Zjk3OWRhMWM5ZmFjNTgwM2QiLCJ1c2VySWQiOiI0MjU0NzI2MTgifQ==</vt:lpwstr>
  </property>
</Properties>
</file>