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hint="default" w:ascii="Times New Roman" w:hAnsi="Times New Roman" w:eastAsia="方正小标宋简体" w:cs="Times New Roman"/>
          <w:kern w:val="2"/>
          <w:sz w:val="72"/>
          <w:szCs w:val="72"/>
        </w:rPr>
      </w:pPr>
      <w:bookmarkStart w:id="0" w:name="_Toc15396597"/>
      <w:bookmarkStart w:id="1" w:name="_Toc15306267"/>
      <w:bookmarkStart w:id="2" w:name="_Toc15377425"/>
      <w:bookmarkStart w:id="3" w:name="_Toc15378441"/>
      <w:bookmarkStart w:id="4" w:name="_Toc15396475"/>
      <w:bookmarkStart w:id="5" w:name="_Toc15377193"/>
    </w:p>
    <w:p>
      <w:pPr>
        <w:pStyle w:val="2"/>
        <w:spacing w:before="93"/>
        <w:rPr>
          <w:rFonts w:hint="default" w:ascii="Times New Roman" w:hAnsi="Times New Roman" w:eastAsia="方正小标宋简体" w:cs="Times New Roman"/>
          <w:kern w:val="2"/>
          <w:sz w:val="72"/>
          <w:szCs w:val="72"/>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default" w:ascii="Times New Roman" w:hAnsi="Times New Roman" w:eastAsia="方正小标宋简体" w:cs="Times New Roman"/>
          <w:color w:val="auto"/>
          <w:kern w:val="2"/>
          <w:sz w:val="44"/>
          <w:szCs w:val="44"/>
          <w:highlight w:val="none"/>
          <w:lang w:val="en-US" w:eastAsia="zh-CN" w:bidi="ar-SA"/>
        </w:rPr>
        <w:t>2024年度阿坝藏族羌族自治州公路管理局</w:t>
      </w:r>
      <w:r>
        <w:rPr>
          <w:rFonts w:hint="eastAsia" w:ascii="Times New Roman" w:hAnsi="Times New Roman" w:eastAsia="方正小标宋简体" w:cs="Times New Roman"/>
          <w:color w:val="auto"/>
          <w:kern w:val="2"/>
          <w:sz w:val="44"/>
          <w:szCs w:val="44"/>
          <w:highlight w:val="none"/>
          <w:lang w:val="en-US" w:eastAsia="zh-CN" w:bidi="ar-SA"/>
        </w:rPr>
        <w:t>黑水公路管理分局决算</w:t>
      </w:r>
      <w:r>
        <w:rPr>
          <w:rFonts w:hint="eastAsia" w:ascii="Times New Roman" w:eastAsia="方正小标宋简体" w:cs="Times New Roman"/>
          <w:color w:val="auto"/>
          <w:kern w:val="2"/>
          <w:sz w:val="44"/>
          <w:szCs w:val="44"/>
          <w:highlight w:val="none"/>
          <w:lang w:val="en-US" w:eastAsia="zh-CN" w:bidi="ar-SA"/>
        </w:rPr>
        <w:t>公开</w:t>
      </w:r>
      <w:bookmarkStart w:id="95" w:name="_GoBack"/>
      <w:bookmarkEnd w:id="95"/>
    </w:p>
    <w:p>
      <w:pPr>
        <w:spacing w:line="600" w:lineRule="exact"/>
        <w:jc w:val="center"/>
        <w:outlineLvl w:val="0"/>
        <w:rPr>
          <w:rFonts w:hint="default" w:ascii="Times New Roman" w:hAnsi="Times New Roman" w:eastAsia="方正小标宋简体" w:cs="Times New Roman"/>
          <w:sz w:val="72"/>
          <w:szCs w:val="72"/>
        </w:rPr>
      </w:pPr>
    </w:p>
    <w:p>
      <w:pPr>
        <w:pStyle w:val="19"/>
        <w:rPr>
          <w:rFonts w:hint="default" w:ascii="Times New Roman" w:hAnsi="Times New Roman" w:cs="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rPr>
          <w:rFonts w:hint="default" w:ascii="Times New Roman" w:hAnsi="Times New Roman" w:cs="Times New Roman"/>
        </w:rPr>
      </w:pPr>
    </w:p>
    <w:bookmarkEnd w:id="0"/>
    <w:bookmarkEnd w:id="1"/>
    <w:bookmarkEnd w:id="2"/>
    <w:bookmarkEnd w:id="3"/>
    <w:bookmarkEnd w:id="4"/>
    <w:bookmarkEnd w:id="5"/>
    <w:p>
      <w:pPr>
        <w:widowControl/>
        <w:jc w:val="center"/>
        <w:rPr>
          <w:rFonts w:hint="default" w:ascii="Times New Roman" w:hAnsi="Times New Roman" w:eastAsia="黑体" w:cs="Times New Roman"/>
          <w:sz w:val="48"/>
          <w:szCs w:val="48"/>
        </w:rPr>
      </w:pPr>
      <w:r>
        <w:rPr>
          <w:rFonts w:hint="default" w:ascii="Times New Roman" w:hAnsi="Times New Roman" w:eastAsia="黑体" w:cs="Times New Roman"/>
          <w:sz w:val="48"/>
          <w:szCs w:val="48"/>
        </w:rPr>
        <w:t>目录</w:t>
      </w:r>
    </w:p>
    <w:p>
      <w:pPr>
        <w:pStyle w:val="12"/>
      </w:pPr>
      <w:r>
        <w:rPr>
          <w:rFonts w:hint="default" w:ascii="Times New Roman" w:hAnsi="Times New Roman" w:eastAsia="仿宋_GB2312" w:cs="Times New Roman"/>
          <w:sz w:val="32"/>
          <w:szCs w:val="32"/>
        </w:rPr>
        <w:t>公开时间：202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xml:space="preserve">年 </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 xml:space="preserve"> 月 </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 xml:space="preserve"> 日</w:t>
      </w:r>
      <w:bookmarkStart w:id="6" w:name="_Toc15396599"/>
      <w:bookmarkStart w:id="7" w:name="_Toc15377196"/>
    </w:p>
    <w:sdt>
      <w:sdtPr>
        <w:rPr>
          <w:rFonts w:ascii="宋体" w:hAnsi="宋体" w:eastAsia="宋体" w:cs="Times New Roman"/>
          <w:kern w:val="2"/>
          <w:sz w:val="21"/>
          <w:szCs w:val="24"/>
          <w:lang w:val="en-US" w:eastAsia="zh-CN" w:bidi="ar-SA"/>
        </w:rPr>
        <w:id w:val="147475905"/>
        <w15:color w:val="DBDBDB"/>
        <w:docPartObj>
          <w:docPartGallery w:val="Table of Contents"/>
          <w:docPartUnique/>
        </w:docPartObj>
      </w:sdtPr>
      <w:sdtEndPr>
        <w:rPr>
          <w:rFonts w:hint="default" w:ascii="仿宋_GB2312" w:hAnsi="Times New Roman" w:eastAsia="仿宋_GB2312" w:cs="Times New Roman"/>
          <w:kern w:val="0"/>
          <w:sz w:val="30"/>
          <w:szCs w:val="24"/>
          <w:lang w:val="en-US" w:eastAsia="zh-CN" w:bidi="ar-SA"/>
        </w:rPr>
      </w:sdtEndPr>
      <w:sdtContent>
        <w:p>
          <w:pPr>
            <w:pStyle w:val="12"/>
          </w:pPr>
        </w:p>
        <w:p>
          <w:pPr>
            <w:pStyle w:val="12"/>
            <w:tabs>
              <w:tab w:val="right" w:leader="dot" w:pos="8306"/>
              <w:tab w:val="clear" w:pos="8296"/>
            </w:tabs>
            <w:rPr>
              <w:rFonts w:hint="eastAsia" w:ascii="仿宋" w:hAnsi="仿宋" w:eastAsia="仿宋" w:cs="仿宋"/>
              <w:b/>
              <w:bCs/>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_Toc8331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xml:space="preserve">第一部分  </w:t>
          </w:r>
          <w:r>
            <w:rPr>
              <w:rFonts w:hint="eastAsia" w:ascii="仿宋" w:hAnsi="仿宋" w:eastAsia="仿宋" w:cs="仿宋"/>
              <w:b/>
              <w:bCs/>
              <w:sz w:val="28"/>
              <w:szCs w:val="28"/>
              <w:lang w:val="en-US" w:eastAsia="zh-CN"/>
            </w:rPr>
            <w:t>单位</w:t>
          </w:r>
          <w:r>
            <w:rPr>
              <w:rFonts w:hint="eastAsia" w:ascii="仿宋" w:hAnsi="仿宋" w:eastAsia="仿宋" w:cs="仿宋"/>
              <w:b/>
              <w:bCs/>
              <w:sz w:val="28"/>
              <w:szCs w:val="28"/>
            </w:rPr>
            <w:t>概况</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_Toc8331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- 4 -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_Toc2817 </w:instrText>
          </w:r>
          <w:r>
            <w:rPr>
              <w:rFonts w:hint="eastAsia" w:ascii="仿宋" w:hAnsi="仿宋" w:eastAsia="仿宋" w:cs="仿宋"/>
              <w:sz w:val="28"/>
              <w:szCs w:val="28"/>
            </w:rPr>
            <w:fldChar w:fldCharType="separate"/>
          </w:r>
          <w:r>
            <w:rPr>
              <w:rFonts w:hint="eastAsia" w:ascii="仿宋" w:hAnsi="仿宋" w:eastAsia="仿宋" w:cs="仿宋"/>
              <w:sz w:val="28"/>
              <w:szCs w:val="28"/>
            </w:rPr>
            <w:t>一、</w:t>
          </w:r>
          <w:r>
            <w:rPr>
              <w:rFonts w:hint="eastAsia" w:ascii="仿宋" w:hAnsi="仿宋" w:eastAsia="仿宋" w:cs="仿宋"/>
              <w:sz w:val="28"/>
              <w:szCs w:val="28"/>
              <w:lang w:val="en-US" w:eastAsia="zh-CN"/>
            </w:rPr>
            <w:t>主要</w:t>
          </w:r>
          <w:r>
            <w:rPr>
              <w:rFonts w:hint="eastAsia" w:ascii="仿宋" w:hAnsi="仿宋" w:eastAsia="仿宋" w:cs="仿宋"/>
              <w:sz w:val="28"/>
              <w:szCs w:val="28"/>
            </w:rPr>
            <w:t>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_Toc2817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_Toc30337 </w:instrText>
          </w:r>
          <w:r>
            <w:rPr>
              <w:rFonts w:hint="eastAsia" w:ascii="仿宋" w:hAnsi="仿宋" w:eastAsia="仿宋" w:cs="仿宋"/>
              <w:sz w:val="28"/>
              <w:szCs w:val="28"/>
            </w:rPr>
            <w:fldChar w:fldCharType="separate"/>
          </w:r>
          <w:r>
            <w:rPr>
              <w:rFonts w:hint="eastAsia" w:ascii="仿宋" w:hAnsi="仿宋" w:eastAsia="仿宋" w:cs="仿宋"/>
              <w:sz w:val="28"/>
              <w:szCs w:val="28"/>
            </w:rPr>
            <w:t>二、机</w:t>
          </w:r>
          <w:r>
            <w:rPr>
              <w:rFonts w:hint="eastAsia" w:ascii="仿宋" w:hAnsi="仿宋" w:eastAsia="仿宋" w:cs="仿宋"/>
              <w:bCs w:val="0"/>
              <w:sz w:val="28"/>
              <w:szCs w:val="28"/>
            </w:rPr>
            <w:t>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_Toc30337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_Toc9219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第二部分  2024年度部门决算情况说明</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_Toc9219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- 9 -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_Toc14694 </w:instrText>
          </w:r>
          <w:r>
            <w:rPr>
              <w:rFonts w:hint="eastAsia" w:ascii="仿宋" w:hAnsi="仿宋" w:eastAsia="仿宋" w:cs="仿宋"/>
              <w:sz w:val="28"/>
              <w:szCs w:val="28"/>
            </w:rPr>
            <w:fldChar w:fldCharType="separate"/>
          </w:r>
          <w:r>
            <w:rPr>
              <w:rFonts w:hint="eastAsia" w:ascii="仿宋" w:hAnsi="仿宋" w:eastAsia="仿宋" w:cs="仿宋"/>
              <w:sz w:val="28"/>
              <w:szCs w:val="28"/>
            </w:rPr>
            <w:t>一、收入支出决算总体情况说明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_Toc14694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_Toc5560 </w:instrText>
          </w:r>
          <w:r>
            <w:rPr>
              <w:rFonts w:hint="eastAsia" w:ascii="仿宋" w:hAnsi="仿宋" w:eastAsia="仿宋" w:cs="仿宋"/>
              <w:sz w:val="28"/>
              <w:szCs w:val="28"/>
            </w:rPr>
            <w:fldChar w:fldCharType="separate"/>
          </w:r>
          <w:r>
            <w:rPr>
              <w:rFonts w:hint="eastAsia" w:ascii="仿宋" w:hAnsi="仿宋" w:eastAsia="仿宋" w:cs="仿宋"/>
              <w:sz w:val="28"/>
              <w:szCs w:val="28"/>
            </w:rPr>
            <w:t>二、收入决算情况说明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_Toc5560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_Toc2248 </w:instrText>
          </w:r>
          <w:r>
            <w:rPr>
              <w:rFonts w:hint="eastAsia" w:ascii="仿宋" w:hAnsi="仿宋" w:eastAsia="仿宋" w:cs="仿宋"/>
              <w:sz w:val="28"/>
              <w:szCs w:val="28"/>
            </w:rPr>
            <w:fldChar w:fldCharType="separate"/>
          </w:r>
          <w:r>
            <w:rPr>
              <w:rFonts w:hint="eastAsia" w:ascii="仿宋" w:hAnsi="仿宋" w:eastAsia="仿宋" w:cs="仿宋"/>
              <w:sz w:val="28"/>
              <w:szCs w:val="28"/>
            </w:rPr>
            <w:t>三、支出决算情况说明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_Toc2248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_Toc16181 </w:instrText>
          </w:r>
          <w:r>
            <w:rPr>
              <w:rFonts w:hint="eastAsia" w:ascii="仿宋" w:hAnsi="仿宋" w:eastAsia="仿宋" w:cs="仿宋"/>
              <w:sz w:val="28"/>
              <w:szCs w:val="28"/>
            </w:rPr>
            <w:fldChar w:fldCharType="separate"/>
          </w:r>
          <w:r>
            <w:rPr>
              <w:rFonts w:hint="eastAsia" w:ascii="仿宋" w:hAnsi="仿宋" w:eastAsia="仿宋" w:cs="仿宋"/>
              <w:sz w:val="28"/>
              <w:szCs w:val="28"/>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_Toc16181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_Toc13828 </w:instrText>
          </w:r>
          <w:r>
            <w:rPr>
              <w:rFonts w:hint="eastAsia" w:ascii="仿宋" w:hAnsi="仿宋" w:eastAsia="仿宋" w:cs="仿宋"/>
              <w:sz w:val="28"/>
              <w:szCs w:val="28"/>
            </w:rPr>
            <w:fldChar w:fldCharType="separate"/>
          </w:r>
          <w:r>
            <w:rPr>
              <w:rFonts w:hint="eastAsia" w:ascii="仿宋" w:hAnsi="仿宋" w:eastAsia="仿宋" w:cs="仿宋"/>
              <w:sz w:val="28"/>
              <w:szCs w:val="28"/>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_Toc13828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_Toc26753 </w:instrText>
          </w:r>
          <w:r>
            <w:rPr>
              <w:rFonts w:hint="eastAsia" w:ascii="仿宋" w:hAnsi="仿宋" w:eastAsia="仿宋" w:cs="仿宋"/>
              <w:sz w:val="28"/>
              <w:szCs w:val="28"/>
            </w:rPr>
            <w:fldChar w:fldCharType="separate"/>
          </w:r>
          <w:r>
            <w:rPr>
              <w:rFonts w:hint="eastAsia" w:ascii="仿宋" w:hAnsi="仿宋" w:eastAsia="仿宋" w:cs="仿宋"/>
              <w:sz w:val="28"/>
              <w:szCs w:val="28"/>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_Toc26753 \h </w:instrText>
          </w:r>
          <w:r>
            <w:rPr>
              <w:rFonts w:hint="eastAsia" w:ascii="仿宋" w:hAnsi="仿宋" w:eastAsia="仿宋" w:cs="仿宋"/>
              <w:sz w:val="28"/>
              <w:szCs w:val="28"/>
            </w:rPr>
            <w:fldChar w:fldCharType="separate"/>
          </w:r>
          <w:r>
            <w:rPr>
              <w:rFonts w:hint="eastAsia" w:ascii="仿宋" w:hAnsi="仿宋" w:eastAsia="仿宋" w:cs="仿宋"/>
              <w:sz w:val="28"/>
              <w:szCs w:val="28"/>
            </w:rPr>
            <w:t>- 13 -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_Toc7356 </w:instrText>
          </w:r>
          <w:r>
            <w:rPr>
              <w:rFonts w:hint="eastAsia" w:ascii="仿宋" w:hAnsi="仿宋" w:eastAsia="仿宋" w:cs="仿宋"/>
              <w:sz w:val="28"/>
              <w:szCs w:val="28"/>
            </w:rPr>
            <w:fldChar w:fldCharType="separate"/>
          </w:r>
          <w:r>
            <w:rPr>
              <w:rFonts w:hint="eastAsia" w:ascii="仿宋" w:hAnsi="仿宋" w:eastAsia="仿宋" w:cs="仿宋"/>
              <w:sz w:val="28"/>
              <w:szCs w:val="28"/>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_Toc7356 \h </w:instrText>
          </w:r>
          <w:r>
            <w:rPr>
              <w:rFonts w:hint="eastAsia" w:ascii="仿宋" w:hAnsi="仿宋" w:eastAsia="仿宋" w:cs="仿宋"/>
              <w:sz w:val="28"/>
              <w:szCs w:val="28"/>
            </w:rPr>
            <w:fldChar w:fldCharType="separate"/>
          </w:r>
          <w:r>
            <w:rPr>
              <w:rFonts w:hint="eastAsia" w:ascii="仿宋" w:hAnsi="仿宋" w:eastAsia="仿宋" w:cs="仿宋"/>
              <w:sz w:val="28"/>
              <w:szCs w:val="28"/>
            </w:rPr>
            <w:t>- 14 -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_Toc11168 </w:instrText>
          </w:r>
          <w:r>
            <w:rPr>
              <w:rFonts w:hint="eastAsia" w:ascii="仿宋" w:hAnsi="仿宋" w:eastAsia="仿宋" w:cs="仿宋"/>
              <w:sz w:val="28"/>
              <w:szCs w:val="28"/>
            </w:rPr>
            <w:fldChar w:fldCharType="separate"/>
          </w:r>
          <w:r>
            <w:rPr>
              <w:rFonts w:hint="eastAsia" w:ascii="仿宋" w:hAnsi="仿宋" w:eastAsia="仿宋" w:cs="仿宋"/>
              <w:sz w:val="28"/>
              <w:szCs w:val="28"/>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_Toc11168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_Toc4137 </w:instrText>
          </w:r>
          <w:r>
            <w:rPr>
              <w:rFonts w:hint="eastAsia" w:ascii="仿宋" w:hAnsi="仿宋" w:eastAsia="仿宋" w:cs="仿宋"/>
              <w:sz w:val="28"/>
              <w:szCs w:val="28"/>
            </w:rPr>
            <w:fldChar w:fldCharType="separate"/>
          </w:r>
          <w:r>
            <w:rPr>
              <w:rFonts w:hint="eastAsia" w:ascii="仿宋" w:hAnsi="仿宋" w:eastAsia="仿宋" w:cs="仿宋"/>
              <w:sz w:val="28"/>
              <w:szCs w:val="28"/>
            </w:rPr>
            <w:t>九、国有资本经营预算支出决算情况说明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_Toc4137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_Toc13091 </w:instrText>
          </w:r>
          <w:r>
            <w:rPr>
              <w:rFonts w:hint="eastAsia" w:ascii="仿宋" w:hAnsi="仿宋" w:eastAsia="仿宋" w:cs="仿宋"/>
              <w:sz w:val="28"/>
              <w:szCs w:val="28"/>
            </w:rPr>
            <w:fldChar w:fldCharType="separate"/>
          </w:r>
          <w:r>
            <w:rPr>
              <w:rFonts w:hint="eastAsia" w:ascii="仿宋" w:hAnsi="仿宋" w:eastAsia="仿宋" w:cs="仿宋"/>
              <w:sz w:val="28"/>
              <w:szCs w:val="28"/>
            </w:rPr>
            <w:t>十、其他重要事项的情况说明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_Toc13091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_Toc3044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第三部分  名词解释</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_Toc3044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- 18 -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2"/>
            <w:tabs>
              <w:tab w:val="right" w:leader="dot" w:pos="8306"/>
              <w:tab w:val="clear" w:pos="8296"/>
            </w:tabs>
            <w:rPr>
              <w:rFonts w:hint="eastAsia" w:ascii="仿宋" w:hAnsi="仿宋" w:eastAsia="仿宋" w:cs="仿宋"/>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_Toc25158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第四部分  附件</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_Toc25158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- 20 -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2"/>
            <w:tabs>
              <w:tab w:val="right" w:leader="dot" w:pos="8306"/>
              <w:tab w:val="clear" w:pos="8296"/>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_Toc3099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第五部分 附表</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_Toc3099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- 27 -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_Toc23259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_Toc23259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_Toc20558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_Toc20558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_Toc14219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三、支出决算表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_Toc14219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_Toc9476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_Toc9476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_Toc17724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_Toc17724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_Toc29722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_Toc29722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_Toc7330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七、一般公共预算财政拨款支出决算明细表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_Toc7330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_Toc6296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八、一般公共预算财政拨款基本支出决算表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_Toc6296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_Toc17722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九、一般公共预算财政拨款项目支出决算表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_Toc17722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_Toc6712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十、政府性基金预算财政拨款收入支出决算表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_Toc6712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_Toc5445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十一、国有资本经营预算财政拨款收入支出决算表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_Toc5445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_Toc22007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十二、国有资本经营预算财政拨款支出决算表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_Toc22007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_Toc24193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十三、财政拨款“三公”经费支出决算表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_Toc24193 \h </w:instrText>
          </w:r>
          <w:r>
            <w:rPr>
              <w:rFonts w:hint="eastAsia" w:ascii="仿宋" w:hAnsi="仿宋" w:eastAsia="仿宋" w:cs="仿宋"/>
              <w:sz w:val="28"/>
              <w:szCs w:val="28"/>
            </w:rPr>
            <w:fldChar w:fldCharType="separate"/>
          </w:r>
          <w:r>
            <w:rPr>
              <w:rFonts w:hint="eastAsia" w:ascii="仿宋" w:hAnsi="仿宋" w:eastAsia="仿宋" w:cs="仿宋"/>
              <w:sz w:val="28"/>
              <w:szCs w:val="28"/>
            </w:rPr>
            <w:t>- 27 -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
            <w:rPr>
              <w:rFonts w:hint="default" w:ascii="仿宋_GB2312" w:hAnsi="Times New Roman" w:eastAsia="仿宋_GB2312" w:cs="Times New Roman"/>
              <w:kern w:val="0"/>
              <w:sz w:val="30"/>
              <w:szCs w:val="24"/>
              <w:lang w:val="en-US" w:eastAsia="zh-CN" w:bidi="ar-SA"/>
            </w:rPr>
          </w:pPr>
          <w:r>
            <w:rPr>
              <w:rFonts w:hint="eastAsia" w:ascii="仿宋" w:hAnsi="仿宋" w:eastAsia="仿宋" w:cs="仿宋"/>
              <w:sz w:val="28"/>
              <w:szCs w:val="28"/>
            </w:rPr>
            <w:fldChar w:fldCharType="end"/>
          </w:r>
        </w:p>
      </w:sdtContent>
    </w:sdt>
    <w:p>
      <w:pPr>
        <w:rPr>
          <w:rFonts w:hint="default"/>
        </w:rPr>
      </w:pPr>
      <w:r>
        <w:rPr>
          <w:rFonts w:hint="default"/>
        </w:rPr>
        <w:br w:type="page"/>
      </w:r>
    </w:p>
    <w:p>
      <w:pPr>
        <w:pStyle w:val="3"/>
        <w:jc w:val="center"/>
        <w:rPr>
          <w:rStyle w:val="28"/>
          <w:rFonts w:hint="default" w:ascii="Times New Roman" w:hAnsi="Times New Roman" w:eastAsia="方正小标宋简体" w:cs="Times New Roman"/>
          <w:b/>
          <w:bCs w:val="0"/>
        </w:rPr>
      </w:pPr>
      <w:bookmarkStart w:id="8" w:name="_Toc8331"/>
      <w:r>
        <w:rPr>
          <w:rFonts w:hint="default" w:ascii="Times New Roman" w:hAnsi="Times New Roman" w:eastAsia="方正小标宋简体" w:cs="Times New Roman"/>
          <w:b w:val="0"/>
        </w:rPr>
        <w:t xml:space="preserve">第一部分  </w:t>
      </w:r>
      <w:r>
        <w:rPr>
          <w:rFonts w:hint="default" w:ascii="Times New Roman" w:hAnsi="Times New Roman" w:eastAsia="方正小标宋简体" w:cs="Times New Roman"/>
          <w:b w:val="0"/>
          <w:lang w:val="en-US" w:eastAsia="zh-CN"/>
        </w:rPr>
        <w:t>单位</w:t>
      </w:r>
      <w:r>
        <w:rPr>
          <w:rStyle w:val="28"/>
          <w:rFonts w:hint="default" w:ascii="Times New Roman" w:hAnsi="Times New Roman" w:eastAsia="方正小标宋简体" w:cs="Times New Roman"/>
          <w:b w:val="0"/>
          <w:bCs w:val="0"/>
        </w:rPr>
        <w:t>概况</w:t>
      </w:r>
      <w:bookmarkEnd w:id="6"/>
      <w:bookmarkEnd w:id="7"/>
      <w:bookmarkEnd w:id="8"/>
    </w:p>
    <w:p>
      <w:pPr>
        <w:pStyle w:val="4"/>
        <w:rPr>
          <w:rFonts w:hint="default" w:ascii="Times New Roman" w:hAnsi="Times New Roman" w:eastAsia="黑体" w:cs="Times New Roman"/>
          <w:b w:val="0"/>
        </w:rPr>
      </w:pPr>
      <w:bookmarkStart w:id="9" w:name="_Toc15396600"/>
      <w:bookmarkStart w:id="10" w:name="_Toc15377197"/>
      <w:bookmarkStart w:id="11" w:name="_Toc2817"/>
      <w:r>
        <w:rPr>
          <w:rFonts w:hint="default" w:ascii="Times New Roman" w:hAnsi="Times New Roman" w:eastAsia="黑体" w:cs="Times New Roman"/>
          <w:b w:val="0"/>
        </w:rPr>
        <w:t>一、</w:t>
      </w:r>
      <w:bookmarkEnd w:id="9"/>
      <w:bookmarkEnd w:id="10"/>
      <w:r>
        <w:rPr>
          <w:rFonts w:hint="default" w:ascii="Times New Roman" w:hAnsi="Times New Roman" w:eastAsia="黑体" w:cs="Times New Roman"/>
          <w:b w:val="0"/>
          <w:lang w:val="en-US" w:eastAsia="zh-CN"/>
        </w:rPr>
        <w:t>主要</w:t>
      </w:r>
      <w:r>
        <w:rPr>
          <w:rFonts w:hint="default" w:ascii="Times New Roman" w:hAnsi="Times New Roman" w:eastAsia="黑体" w:cs="Times New Roman"/>
          <w:b w:val="0"/>
        </w:rPr>
        <w:t>职责</w:t>
      </w:r>
      <w:bookmarkEnd w:id="11"/>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一</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党支部办公室</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在支部书记领导下办理支部的日常事务。按照支部的安排，参加工作会议，负责作好会议记录，整理会议纪要，作好各部门的协调工作，全面、准确地贯彻党支部的决定。</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根据党支部统一部署，做好本单位党建和精神文明建设的规划、安排、督促、检查工作。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坚持学习制度，协调好党支部成员理论学习活动，促进领导班子综合素质的提高。</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积极筹备、开好民主生活会、支委会等。</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负责党支部文件的起草和文字审核，负责来往文电的处理并做好相关信访、信息工作。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抓好全分局机要保密工作。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完成党支部、领导交办的其它各项工作。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（二）行政办公室</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负责全分局的文秘、政务信息、调查研究、对外宣传、应急处置等工作的管理。</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负责起草工作计划、总结、情况汇报等全分局综合性文件、材料。</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承办、转达、处理上级机关和领导的有关文件、指示、批示；负责分局机关来往行政文电的呈签处理；审核以分局行政名义印发、发布的各类文电。</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负责局务会议和全局性会议的组织工作，负责会议决议、决策、重要工作部署及局领导批示、指示的督办、查办等跟踪落实工作。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负责搜集、整理、综合分析、反馈工作情况和信息，为领导提供决策依据。</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组织协调各股室、各养护站之间的关系，确保全分局工作正常、有序、高效运转。</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负责对外联络、接待等工作。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负责分局机关公务用车、办公用具、卫生、水电、食堂等行政后勤事务的管理。</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承办领导交办的其他工作。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三</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人事股</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贯彻执行党和国家劳动人事、工资福利的各项方针、政策、规定和上级的指示。</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负责全分局的人事工作，职工的年度考核、聘（录）用、调配、奖惩、退休工作。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负责编制和实施全分局劳动工资计划，负责职工工资、福利及职务（岗位）变动后的工资调整工作和人事、工资统计工作。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负责全分局职工劳动保护、劳动保险、医疗保险及社会保障等工作。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负责职工群众关于劳资方面来信来访的接待工作。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完成领导交办的其他工作。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（四）工程股</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认真贯彻执行公路养护方针、政策和技术规范、规程。</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根据上级下达的年度生产任务，提出实施方案。编制实施计划、工程设计、预算和决算；检查、督促各项工程施工方案的编拟和安全措施的落实，办理工程质量检查和竣工验收。</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结合生产实际，开展科学实验。推广先进技术，组织采用新技术、新材料、新工艺的试点。</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审查、编制养路生产统计资料，按时报送上级规定的各种报表并进行统计活动分析。</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按照上级交通战备的要求，结合本局大中修工程、维修保养及防洪抢险、落实交通战备任务以及重要政治道路保障。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（五）安全股</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组织全局贯彻执行国家安全生产工作方针、政策和有关法律、法规及国务院、省、州、县安全生产工作部署。</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安排部署全分局安全生产工作，指导各养护站开展具体安全生产工作。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组织协调、研究解决全县公路交通行业重大安全生产问题。</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协调并督促开展安全生产事故隐患排查治理工作。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加强安全生产基础设施建设。</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组织完善道路抢险安全应急救援预案，建立应急救援指挥体系、应急救援组织，开展应急救援演练。</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宣传贯彻落实治安保卫、安全防火等工作的规章制度，搞好本单位内部的综合治安管理工作，防止各种刑事犯罪活动的发生。</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建立健全治安保卫管理制度，管理好平时与假日的值班保卫工作和来访登记、接待工作；加强对分局机关要害部门和薄弱环节的安全防治工作，制定要害和重点部位的安全保卫措施，堵塞漏洞，防患于未然。</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完成领导交办的其它工作。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（六）机料股</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根据上级有关规定，制定机械管理制度，充分发挥机械在养护生产中的作用。</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负责机械的调配、维修，搞好机械的技术鉴定，办理报废手续，搞好机械设备档案管理，保证机械的完好率和利用率要达到规定标准。</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做好沥青油、砂、石、土料及机械油料的采购、调运、供应。</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抓好各种类型的机械技术培训和业务学习，提高技术业务素质。</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会同有关部门积极抓好安全生产工作，建立健全安全生产管理制度。</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积极完成分局领导交办的其他工作任务。</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（七）财务股</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贯彻执行国家《会计法》和有关财经纪律和政策法规，按照国家有关会计制度和《会计基础工作规范》的要求，负责本单位的会计核算，并按有关制度进行收入、成本、费用的归集，正确计算财务结果。负责编制公路部门会计报表和财务报告，并定期进行财务分析。</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执行国家关于财务收支的有关规定，切实加强会计核算和财务管理工作，确保各项资金的专款专用，充分发挥资金的使用效果。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执行上级下达和本局编制的财务收支计划、预算，筹措公路建养资金、监督公路建养资金的合理使用，审核办理工程款项的结算和支付。</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按照国家有关现金管理和银行结算制度，负责办理现金支付和银行结算业务。及时清理债权、债务及往来账款，确保资金使用的安全性。</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制定并认真执行本单位的各项内部财务会计管理制度和管理办法。</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按照有关规定定期整理会计凭证、账薄、报表及其他会计资料，装订成册，立卷归档妥善保管，并按会计档案管理制度办理调阅、移交和销毁手续。</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会同有关部门搞好固定资产和流动资产的管理、核算和建账立卡工作，定期进行财产清查，确保国有资产的保值增值。</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配合参与有关部门对有关经济技术指标、定额、经济责任制实施办法的制定和修改工作。</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对上级机关和财政、税务、审计等部门的监督检查，负责提供有关财务会计资料。</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负责承办单位领导和上级业务部门交办的其他工作任务。</w:t>
      </w:r>
    </w:p>
    <w:p>
      <w:pPr>
        <w:pStyle w:val="4"/>
        <w:rPr>
          <w:rStyle w:val="29"/>
          <w:rFonts w:hint="default" w:ascii="Times New Roman" w:hAnsi="Times New Roman" w:cs="Times New Roman"/>
          <w:b w:val="0"/>
          <w:bCs w:val="0"/>
        </w:rPr>
      </w:pPr>
      <w:bookmarkStart w:id="12" w:name="_Toc30337"/>
      <w:bookmarkStart w:id="13" w:name="_Toc15396601"/>
      <w:bookmarkStart w:id="14" w:name="_Toc15377200"/>
      <w:r>
        <w:rPr>
          <w:rFonts w:hint="default" w:ascii="Times New Roman" w:hAnsi="Times New Roman" w:eastAsia="黑体" w:cs="Times New Roman"/>
          <w:b w:val="0"/>
        </w:rPr>
        <w:t>二、机</w:t>
      </w:r>
      <w:r>
        <w:rPr>
          <w:rStyle w:val="29"/>
          <w:rFonts w:hint="default" w:ascii="Times New Roman" w:hAnsi="Times New Roman" w:eastAsia="黑体" w:cs="Times New Roman"/>
          <w:b w:val="0"/>
          <w:bCs w:val="0"/>
        </w:rPr>
        <w:t>构设置</w:t>
      </w:r>
      <w:bookmarkEnd w:id="12"/>
      <w:bookmarkEnd w:id="13"/>
      <w:bookmarkEnd w:id="14"/>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黑水公路管理分隶属于阿坝藏族羌族自治州公路管理局。管养G347线黑水境内干线公路115.18公里。分局内设党支部办公室、行政办公室、工程股、安全股、人事股、财务股、机料股，一线养路站9个。</w:t>
      </w:r>
    </w:p>
    <w:p>
      <w:pPr>
        <w:widowControl/>
        <w:jc w:val="left"/>
        <w:rPr>
          <w:rFonts w:hint="default" w:ascii="Times New Roman" w:hAnsi="Times New Roman" w:eastAsia="仿宋" w:cs="Times New Roman"/>
          <w:kern w:val="0"/>
          <w:sz w:val="32"/>
          <w:szCs w:val="32"/>
        </w:rPr>
      </w:pPr>
      <w:r>
        <w:rPr>
          <w:rFonts w:hint="default" w:ascii="Times New Roman" w:hAnsi="Times New Roman" w:eastAsia="仿宋" w:cs="Times New Roman"/>
          <w:sz w:val="32"/>
          <w:szCs w:val="32"/>
        </w:rPr>
        <w:br w:type="page"/>
      </w:r>
    </w:p>
    <w:p>
      <w:pPr>
        <w:pStyle w:val="3"/>
        <w:jc w:val="center"/>
        <w:rPr>
          <w:rFonts w:hint="default" w:ascii="Times New Roman" w:hAnsi="Times New Roman" w:eastAsia="方正小标宋简体" w:cs="Times New Roman"/>
          <w:b w:val="0"/>
        </w:rPr>
      </w:pPr>
      <w:bookmarkStart w:id="15" w:name="_Toc15396602"/>
      <w:bookmarkStart w:id="16" w:name="_Toc15377204"/>
      <w:bookmarkStart w:id="17" w:name="_Toc9219"/>
      <w:r>
        <w:rPr>
          <w:rFonts w:hint="default" w:ascii="Times New Roman" w:hAnsi="Times New Roman" w:eastAsia="方正小标宋简体" w:cs="Times New Roman"/>
          <w:b w:val="0"/>
        </w:rPr>
        <w:t>第二部分  2024年度部门决算情况说明</w:t>
      </w:r>
      <w:bookmarkEnd w:id="15"/>
      <w:bookmarkEnd w:id="16"/>
      <w:bookmarkEnd w:id="17"/>
    </w:p>
    <w:p>
      <w:pPr>
        <w:pStyle w:val="27"/>
        <w:spacing w:line="600" w:lineRule="exact"/>
        <w:ind w:firstLine="640"/>
        <w:outlineLvl w:val="1"/>
        <w:rPr>
          <w:rStyle w:val="29"/>
          <w:rFonts w:hint="default" w:ascii="Times New Roman" w:hAnsi="Times New Roman" w:eastAsia="黑体" w:cs="Times New Roman"/>
          <w:b w:val="0"/>
        </w:rPr>
      </w:pPr>
      <w:bookmarkStart w:id="18" w:name="_Toc15396603"/>
      <w:bookmarkStart w:id="19" w:name="_Toc15377205"/>
      <w:bookmarkStart w:id="20" w:name="_Toc14694"/>
      <w:r>
        <w:rPr>
          <w:rFonts w:hint="default" w:ascii="Times New Roman" w:hAnsi="Times New Roman" w:eastAsia="黑体" w:cs="Times New Roman"/>
          <w:sz w:val="32"/>
          <w:szCs w:val="32"/>
        </w:rPr>
        <w:t>一、收</w:t>
      </w:r>
      <w:r>
        <w:rPr>
          <w:rStyle w:val="29"/>
          <w:rFonts w:hint="default" w:ascii="Times New Roman" w:hAnsi="Times New Roman" w:eastAsia="黑体" w:cs="Times New Roman"/>
          <w:b w:val="0"/>
        </w:rPr>
        <w:t>入支出决算总体情况说明</w:t>
      </w:r>
      <w:bookmarkEnd w:id="18"/>
      <w:bookmarkEnd w:id="19"/>
      <w:bookmarkEnd w:id="20"/>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2024年度收入、支出总计均为2296.15万元。与2023年度相比，收入、支出总计各减少37.9万元，下降1.6</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。主要变动原因</w:t>
      </w:r>
      <w:r>
        <w:rPr>
          <w:rFonts w:hint="default" w:ascii="Times New Roman" w:hAnsi="Times New Roman" w:eastAsia="仿宋_GB2312" w:cs="Times New Roman"/>
          <w:sz w:val="32"/>
          <w:szCs w:val="32"/>
          <w:lang w:val="en-US" w:eastAsia="zh-CN"/>
        </w:rPr>
        <w:t>是人员变动，人员经费减少。</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drawing>
          <wp:anchor distT="0" distB="0" distL="114300" distR="114300" simplePos="0" relativeHeight="251660288" behindDoc="1" locked="0" layoutInCell="1" allowOverlap="1">
            <wp:simplePos x="0" y="0"/>
            <wp:positionH relativeFrom="column">
              <wp:posOffset>592455</wp:posOffset>
            </wp:positionH>
            <wp:positionV relativeFrom="paragraph">
              <wp:posOffset>295910</wp:posOffset>
            </wp:positionV>
            <wp:extent cx="4489450" cy="3057525"/>
            <wp:effectExtent l="4445" t="4445" r="17145" b="16510"/>
            <wp:wrapNone/>
            <wp:docPr id="2514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（图1：收入、支出决算总计变</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动情况图）</w:t>
      </w:r>
    </w:p>
    <w:p>
      <w:pPr>
        <w:pStyle w:val="27"/>
        <w:spacing w:line="600" w:lineRule="exact"/>
        <w:ind w:firstLine="640"/>
        <w:outlineLvl w:val="1"/>
        <w:rPr>
          <w:rFonts w:hint="default" w:ascii="Times New Roman" w:hAnsi="Times New Roman" w:eastAsia="黑体" w:cs="Times New Roman"/>
          <w:sz w:val="32"/>
          <w:szCs w:val="32"/>
          <w:lang w:val="en-US" w:eastAsia="zh-CN"/>
        </w:rPr>
      </w:pPr>
      <w:bookmarkStart w:id="21" w:name="_Toc15396604"/>
      <w:bookmarkStart w:id="22" w:name="_Toc15377206"/>
      <w:bookmarkStart w:id="23" w:name="_Toc5560"/>
      <w:r>
        <w:rPr>
          <w:rFonts w:hint="default" w:ascii="Times New Roman" w:hAnsi="Times New Roman" w:eastAsia="黑体" w:cs="Times New Roman"/>
          <w:sz w:val="32"/>
          <w:szCs w:val="32"/>
        </w:rPr>
        <w:t>二、收入决算情况说明</w:t>
      </w:r>
      <w:bookmarkEnd w:id="21"/>
      <w:bookmarkEnd w:id="22"/>
      <w:bookmarkEnd w:id="23"/>
      <w:r>
        <w:rPr>
          <w:rFonts w:hint="default" w:ascii="Times New Roman" w:hAnsi="Times New Roman" w:eastAsia="黑体" w:cs="Times New Roman"/>
          <w:sz w:val="32"/>
          <w:szCs w:val="32"/>
          <w:lang w:val="en-US" w:eastAsia="zh-CN"/>
        </w:rPr>
        <w:t xml:space="preserve"> </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2024年度本年收入合计2296.15万元，其中：一般公共预算财政拨款收入2296.15万元，占</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ind w:firstLine="525" w:firstLineChars="250"/>
        <w:jc w:val="center"/>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225290" cy="2632075"/>
            <wp:effectExtent l="4445" t="4445" r="6985" b="1524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800" w:firstLineChars="25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（图2：收入决算结构图）</w:t>
      </w:r>
    </w:p>
    <w:p>
      <w:pPr>
        <w:pStyle w:val="27"/>
        <w:spacing w:line="600" w:lineRule="exact"/>
        <w:ind w:firstLine="640"/>
        <w:outlineLvl w:val="1"/>
        <w:rPr>
          <w:rStyle w:val="29"/>
          <w:rFonts w:hint="default" w:ascii="Times New Roman" w:hAnsi="Times New Roman" w:eastAsia="黑体" w:cs="Times New Roman"/>
          <w:b w:val="0"/>
        </w:rPr>
      </w:pPr>
      <w:bookmarkStart w:id="24" w:name="_Toc15396605"/>
      <w:bookmarkStart w:id="25" w:name="_Toc2248"/>
      <w:bookmarkStart w:id="26" w:name="_Toc15377207"/>
      <w:r>
        <w:rPr>
          <w:rFonts w:hint="default" w:ascii="Times New Roman" w:hAnsi="Times New Roman" w:eastAsia="黑体" w:cs="Times New Roman"/>
          <w:sz w:val="32"/>
          <w:szCs w:val="32"/>
        </w:rPr>
        <w:t>三、支</w:t>
      </w:r>
      <w:r>
        <w:rPr>
          <w:rStyle w:val="29"/>
          <w:rFonts w:hint="default" w:ascii="Times New Roman" w:hAnsi="Times New Roman" w:eastAsia="黑体" w:cs="Times New Roman"/>
          <w:b w:val="0"/>
        </w:rPr>
        <w:t>出决算情况说明</w:t>
      </w:r>
      <w:bookmarkEnd w:id="24"/>
      <w:bookmarkEnd w:id="25"/>
      <w:bookmarkEnd w:id="26"/>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2024年度本年支出合计2296.15万元，其中：基本支出2146.32万元，占</w:t>
      </w:r>
      <w:r>
        <w:rPr>
          <w:rFonts w:hint="default" w:ascii="Times New Roman" w:hAnsi="Times New Roman" w:eastAsia="仿宋_GB2312" w:cs="Times New Roman"/>
          <w:sz w:val="32"/>
          <w:szCs w:val="32"/>
          <w:lang w:val="en-US" w:eastAsia="zh-CN"/>
        </w:rPr>
        <w:t>93.5</w:t>
      </w:r>
      <w:r>
        <w:rPr>
          <w:rFonts w:hint="default" w:ascii="Times New Roman" w:hAnsi="Times New Roman" w:eastAsia="仿宋_GB2312" w:cs="Times New Roman"/>
          <w:sz w:val="32"/>
          <w:szCs w:val="32"/>
        </w:rPr>
        <w:t>%；项目支出149.83万元，占</w:t>
      </w:r>
      <w:r>
        <w:rPr>
          <w:rFonts w:hint="default" w:ascii="Times New Roman" w:hAnsi="Times New Roman" w:eastAsia="仿宋_GB2312" w:cs="Times New Roman"/>
          <w:sz w:val="32"/>
          <w:szCs w:val="32"/>
          <w:lang w:val="en-US" w:eastAsia="zh-CN"/>
        </w:rPr>
        <w:t>6.5</w:t>
      </w:r>
      <w:r>
        <w:rPr>
          <w:rFonts w:hint="default" w:ascii="Times New Roman" w:hAnsi="Times New Roman" w:eastAsia="仿宋_GB2312" w:cs="Times New Roman"/>
          <w:sz w:val="32"/>
          <w:szCs w:val="32"/>
        </w:rPr>
        <w:t>%。</w:t>
      </w:r>
    </w:p>
    <w:p>
      <w:pPr>
        <w:ind w:firstLine="525" w:firstLineChars="250"/>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948555" cy="2743200"/>
            <wp:effectExtent l="4445" t="4445" r="15240" b="1079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ind w:firstLine="800" w:firstLineChars="25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（图3：支出决算结构图）</w:t>
      </w:r>
    </w:p>
    <w:p>
      <w:pPr>
        <w:spacing w:line="600" w:lineRule="exact"/>
        <w:ind w:firstLine="640" w:firstLineChars="200"/>
        <w:outlineLvl w:val="1"/>
        <w:rPr>
          <w:rStyle w:val="29"/>
          <w:rFonts w:hint="default" w:ascii="Times New Roman" w:hAnsi="Times New Roman" w:eastAsia="黑体" w:cs="Times New Roman"/>
          <w:b w:val="0"/>
        </w:rPr>
      </w:pPr>
      <w:bookmarkStart w:id="27" w:name="_Toc15396606"/>
      <w:bookmarkStart w:id="28" w:name="_Toc16181"/>
      <w:bookmarkStart w:id="29" w:name="_Toc15377208"/>
      <w:r>
        <w:rPr>
          <w:rFonts w:hint="default" w:ascii="Times New Roman" w:hAnsi="Times New Roman" w:eastAsia="黑体" w:cs="Times New Roman"/>
          <w:sz w:val="32"/>
          <w:szCs w:val="32"/>
        </w:rPr>
        <w:t>四、财</w:t>
      </w:r>
      <w:r>
        <w:rPr>
          <w:rStyle w:val="29"/>
          <w:rFonts w:hint="default" w:ascii="Times New Roman" w:hAnsi="Times New Roman" w:eastAsia="黑体" w:cs="Times New Roman"/>
          <w:b w:val="0"/>
        </w:rPr>
        <w:t>政拨款收入支出决算总体情况说明</w:t>
      </w:r>
      <w:bookmarkEnd w:id="27"/>
      <w:bookmarkEnd w:id="28"/>
      <w:bookmarkEnd w:id="29"/>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2024年度财政拨款收入、支出总计均为2296.15万元。与2023年度相比，财政拨款收入总计、支出总计各减少37.9万元，下降</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%。主要变动原因是</w:t>
      </w:r>
      <w:r>
        <w:rPr>
          <w:rFonts w:hint="default" w:ascii="Times New Roman" w:hAnsi="Times New Roman" w:eastAsia="仿宋_GB2312" w:cs="Times New Roman"/>
          <w:sz w:val="32"/>
          <w:szCs w:val="32"/>
          <w:lang w:val="en-US" w:eastAsia="zh-CN"/>
        </w:rPr>
        <w:t>人员变动，人员经费减少。</w:t>
      </w:r>
    </w:p>
    <w:p>
      <w:pPr>
        <w:pStyle w:val="2"/>
        <w:jc w:val="center"/>
        <w:rPr>
          <w:rFonts w:hint="default" w:ascii="Times New Roman" w:hAnsi="Times New Roman" w:cs="Times New Roman"/>
        </w:rPr>
      </w:pPr>
      <w:r>
        <w:rPr>
          <w:rFonts w:hint="default" w:ascii="Times New Roman" w:hAnsi="Times New Roman" w:cs="Times New Roman"/>
        </w:rPr>
        <w:drawing>
          <wp:inline distT="0" distB="0" distL="114300" distR="114300">
            <wp:extent cx="4735195" cy="2858770"/>
            <wp:effectExtent l="0" t="0" r="4445" b="6350"/>
            <wp:docPr id="2515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（图4：财政拨款收、支决算总计变动情况）</w:t>
      </w:r>
    </w:p>
    <w:p>
      <w:pPr>
        <w:spacing w:line="600" w:lineRule="exact"/>
        <w:ind w:firstLine="640" w:firstLineChars="200"/>
        <w:outlineLvl w:val="1"/>
        <w:rPr>
          <w:rStyle w:val="29"/>
          <w:rFonts w:hint="default" w:ascii="Times New Roman" w:hAnsi="Times New Roman" w:eastAsia="黑体" w:cs="Times New Roman"/>
          <w:b w:val="0"/>
        </w:rPr>
      </w:pPr>
      <w:bookmarkStart w:id="30" w:name="_Toc13828"/>
      <w:bookmarkStart w:id="31" w:name="_Toc15377209"/>
      <w:bookmarkStart w:id="32" w:name="_Toc15396607"/>
      <w:r>
        <w:rPr>
          <w:rFonts w:hint="default" w:ascii="Times New Roman" w:hAnsi="Times New Roman" w:eastAsia="黑体" w:cs="Times New Roman"/>
          <w:sz w:val="32"/>
          <w:szCs w:val="32"/>
        </w:rPr>
        <w:t>五、</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般公共预算财政拨款支出决算情况说明</w:t>
      </w:r>
      <w:bookmarkEnd w:id="30"/>
      <w:bookmarkEnd w:id="31"/>
      <w:bookmarkEnd w:id="32"/>
    </w:p>
    <w:p>
      <w:pPr>
        <w:spacing w:line="600" w:lineRule="exact"/>
        <w:ind w:firstLine="643" w:firstLineChars="200"/>
        <w:outlineLvl w:val="2"/>
        <w:rPr>
          <w:rFonts w:hint="default" w:ascii="Times New Roman" w:hAnsi="Times New Roman" w:eastAsia="楷体_GB2312" w:cs="Times New Roman"/>
          <w:b/>
          <w:sz w:val="32"/>
          <w:szCs w:val="32"/>
        </w:rPr>
      </w:pPr>
      <w:bookmarkStart w:id="33" w:name="_Toc15377210"/>
      <w:r>
        <w:rPr>
          <w:rFonts w:hint="default" w:ascii="Times New Roman" w:hAnsi="Times New Roman" w:eastAsia="楷体_GB2312" w:cs="Times New Roman"/>
          <w:b/>
          <w:sz w:val="32"/>
          <w:szCs w:val="32"/>
        </w:rPr>
        <w:t>（一）一般公共预算财政拨款支出决算总体情况</w:t>
      </w:r>
      <w:bookmarkEnd w:id="33"/>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2024年度一般公共预算财政拨款支出2296.15万元，占本年支出合计的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%。与2023年度相比，一般公共预算财政拨款支出减少37.9万元，下降</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%。主要变动原因是</w:t>
      </w:r>
      <w:r>
        <w:rPr>
          <w:rFonts w:hint="default" w:ascii="Times New Roman" w:hAnsi="Times New Roman" w:eastAsia="仿宋_GB2312" w:cs="Times New Roman"/>
          <w:sz w:val="32"/>
          <w:szCs w:val="32"/>
          <w:lang w:val="en-US" w:eastAsia="zh-CN"/>
        </w:rPr>
        <w:t>人员变动，人员经费减少。</w:t>
      </w:r>
    </w:p>
    <w:p>
      <w:pPr>
        <w:pStyle w:val="2"/>
        <w:jc w:val="center"/>
        <w:rPr>
          <w:rFonts w:hint="default" w:ascii="Times New Roman" w:hAnsi="Times New Roman" w:cs="Times New Roman"/>
        </w:rPr>
      </w:pPr>
      <w:r>
        <w:rPr>
          <w:rFonts w:hint="default" w:ascii="Times New Roman" w:hAnsi="Times New Roman" w:cs="Times New Roman"/>
        </w:rPr>
        <w:drawing>
          <wp:inline distT="0" distB="0" distL="114300" distR="114300">
            <wp:extent cx="4690745" cy="2693035"/>
            <wp:effectExtent l="4445" t="5080" r="13970" b="14605"/>
            <wp:docPr id="2514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（图5：一般公共预算财政拨款支出决算变动情况）</w:t>
      </w:r>
    </w:p>
    <w:p>
      <w:pPr>
        <w:spacing w:line="600" w:lineRule="exact"/>
        <w:ind w:firstLine="643" w:firstLineChars="200"/>
        <w:outlineLvl w:val="2"/>
        <w:rPr>
          <w:rFonts w:hint="default" w:ascii="Times New Roman" w:hAnsi="Times New Roman" w:eastAsia="楷体_GB2312" w:cs="Times New Roman"/>
          <w:b/>
          <w:sz w:val="32"/>
          <w:szCs w:val="32"/>
        </w:rPr>
      </w:pPr>
      <w:bookmarkStart w:id="34" w:name="_Toc15377211"/>
      <w:r>
        <w:rPr>
          <w:rFonts w:hint="default" w:ascii="Times New Roman" w:hAnsi="Times New Roman" w:eastAsia="楷体_GB2312" w:cs="Times New Roman"/>
          <w:b/>
          <w:sz w:val="32"/>
          <w:szCs w:val="32"/>
        </w:rPr>
        <w:t>（二）一般公共预算财政拨款支出决算结构情况</w:t>
      </w:r>
      <w:bookmarkEnd w:id="34"/>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2024年度一般公共预算财政拨款支出2296.15万元，主要用于以下方面：社会保障和就业支出245.04万元，占</w:t>
      </w:r>
      <w:r>
        <w:rPr>
          <w:rFonts w:hint="eastAsia" w:eastAsia="仿宋_GB2312" w:cs="Times New Roman"/>
          <w:sz w:val="32"/>
          <w:szCs w:val="32"/>
          <w:lang w:val="en-US" w:eastAsia="zh-CN"/>
        </w:rPr>
        <w:t>10.7</w:t>
      </w:r>
      <w:r>
        <w:rPr>
          <w:rFonts w:hint="default" w:ascii="Times New Roman" w:hAnsi="Times New Roman" w:eastAsia="仿宋_GB2312" w:cs="Times New Roman"/>
          <w:sz w:val="32"/>
          <w:szCs w:val="32"/>
        </w:rPr>
        <w:t>%；卫生健康支出109.06万元，占</w:t>
      </w:r>
      <w:r>
        <w:rPr>
          <w:rFonts w:hint="eastAsia" w:eastAsia="仿宋_GB2312" w:cs="Times New Roman"/>
          <w:sz w:val="32"/>
          <w:szCs w:val="32"/>
          <w:lang w:val="en-US" w:eastAsia="zh-CN"/>
        </w:rPr>
        <w:t>4.7</w:t>
      </w:r>
      <w:r>
        <w:rPr>
          <w:rFonts w:hint="default" w:ascii="Times New Roman" w:hAnsi="Times New Roman" w:eastAsia="仿宋_GB2312" w:cs="Times New Roman"/>
          <w:sz w:val="32"/>
          <w:szCs w:val="32"/>
        </w:rPr>
        <w:t>%；交通运输支出1801.0</w:t>
      </w:r>
      <w:r>
        <w:rPr>
          <w:rFonts w:hint="default" w:ascii="Times New Roman" w:hAnsi="Times New Roman" w:eastAsia="仿宋_GB2312" w:cs="Times New Roman"/>
          <w:sz w:val="32"/>
          <w:szCs w:val="32"/>
          <w:lang w:val="en-US" w:eastAsia="zh-CN"/>
        </w:rPr>
        <w:t>2万元，占比78.4%；</w:t>
      </w:r>
      <w:r>
        <w:rPr>
          <w:rFonts w:hint="default" w:ascii="Times New Roman" w:hAnsi="Times New Roman" w:eastAsia="仿宋_GB2312" w:cs="Times New Roman"/>
          <w:sz w:val="32"/>
          <w:szCs w:val="32"/>
        </w:rPr>
        <w:t>住房保障支出141.03万元，占</w:t>
      </w:r>
      <w:r>
        <w:rPr>
          <w:rFonts w:hint="default" w:ascii="Times New Roman" w:hAnsi="Times New Roman" w:eastAsia="仿宋_GB2312" w:cs="Times New Roman"/>
          <w:sz w:val="32"/>
          <w:szCs w:val="32"/>
          <w:lang w:val="en-US" w:eastAsia="zh-CN"/>
        </w:rPr>
        <w:t>6.1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5139690" cy="2939415"/>
            <wp:effectExtent l="4445" t="4445" r="6985" b="12700"/>
            <wp:docPr id="2515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（图6：一般公共预算财政拨款支出决算结构）</w:t>
      </w:r>
    </w:p>
    <w:p>
      <w:pPr>
        <w:spacing w:line="600" w:lineRule="exact"/>
        <w:ind w:firstLine="640"/>
        <w:rPr>
          <w:rFonts w:hint="default" w:ascii="Times New Roman" w:hAnsi="Times New Roman" w:eastAsia="仿宋_GB2312" w:cs="Times New Roman"/>
          <w:sz w:val="32"/>
          <w:szCs w:val="32"/>
        </w:rPr>
      </w:pPr>
    </w:p>
    <w:p>
      <w:pPr>
        <w:spacing w:line="600" w:lineRule="exact"/>
        <w:ind w:firstLine="643" w:firstLineChars="200"/>
        <w:outlineLvl w:val="2"/>
        <w:rPr>
          <w:rFonts w:hint="default" w:ascii="Times New Roman" w:hAnsi="Times New Roman" w:eastAsia="楷体_GB2312" w:cs="Times New Roman"/>
          <w:b/>
          <w:sz w:val="32"/>
          <w:szCs w:val="32"/>
        </w:rPr>
      </w:pPr>
      <w:bookmarkStart w:id="35" w:name="_Toc15377212"/>
      <w:r>
        <w:rPr>
          <w:rFonts w:hint="default" w:ascii="Times New Roman" w:hAnsi="Times New Roman" w:eastAsia="楷体_GB2312" w:cs="Times New Roman"/>
          <w:b/>
          <w:sz w:val="32"/>
          <w:szCs w:val="32"/>
        </w:rPr>
        <w:t>（三）一般公共预算财政拨款支出决算具体情况</w:t>
      </w:r>
      <w:bookmarkEnd w:id="35"/>
    </w:p>
    <w:p>
      <w:pPr>
        <w:spacing w:line="600" w:lineRule="exact"/>
        <w:ind w:firstLine="640"/>
        <w:rPr>
          <w:rFonts w:hint="default" w:ascii="Times New Roman" w:hAnsi="Times New Roman" w:eastAsia="仿宋_GB2312" w:cs="Times New Roman"/>
          <w:sz w:val="32"/>
          <w:szCs w:val="32"/>
        </w:rPr>
      </w:pPr>
      <w:bookmarkStart w:id="36" w:name="_Toc15377213"/>
      <w:bookmarkStart w:id="37" w:name="_Toc15378460"/>
      <w:bookmarkStart w:id="38" w:name="_Toc15377444"/>
      <w:r>
        <w:rPr>
          <w:rFonts w:hint="default" w:ascii="Times New Roman" w:hAnsi="Times New Roman" w:eastAsia="仿宋_GB2312" w:cs="Times New Roman"/>
          <w:sz w:val="32"/>
          <w:szCs w:val="32"/>
        </w:rPr>
        <w:t>2024年度一般公共预算财政拨款支出决算数为2296.15</w:t>
      </w:r>
      <w:r>
        <w:rPr>
          <w:rFonts w:hint="eastAsia" w:eastAsia="仿宋_GB2312" w:cs="Times New Roman"/>
          <w:sz w:val="32"/>
          <w:szCs w:val="32"/>
          <w:lang w:val="en-US" w:eastAsia="zh-CN"/>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%。其中：</w:t>
      </w:r>
      <w:bookmarkEnd w:id="36"/>
      <w:bookmarkEnd w:id="37"/>
      <w:bookmarkEnd w:id="38"/>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rPr>
        <w:t>1.社会保障和就业支出（类）行政事业单位养老支出（款）机关事业单位基本养老保险缴费支出（项）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支出决算为160.56万元，完成预算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default" w:ascii="Times New Roman" w:hAnsi="Times New Roman" w:eastAsia="仿宋" w:cs="Times New Roman"/>
          <w:bCs/>
          <w:color w:val="auto"/>
          <w:sz w:val="32"/>
          <w:szCs w:val="32"/>
          <w:highlight w:val="none"/>
        </w:rPr>
        <w:t>2.社会保障和就业支出（类）行政事业单位养老支出（款）机关事业单位职业年金缴费支出（项）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支出决算为80.28万元，完成预算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sz w:val="32"/>
          <w:szCs w:val="32"/>
        </w:rPr>
      </w:pPr>
      <w:r>
        <w:rPr>
          <w:rStyle w:val="17"/>
          <w:rFonts w:hint="default" w:ascii="Times New Roman" w:hAnsi="Times New Roman" w:eastAsia="仿宋" w:cs="Times New Roman"/>
          <w:bCs/>
          <w:color w:val="auto"/>
          <w:sz w:val="32"/>
          <w:szCs w:val="32"/>
          <w:highlight w:val="none"/>
          <w:lang w:val="en-US" w:eastAsia="zh-CN"/>
        </w:rPr>
        <w:t>3</w:t>
      </w:r>
      <w:r>
        <w:rPr>
          <w:rStyle w:val="17"/>
          <w:rFonts w:hint="default" w:ascii="Times New Roman" w:hAnsi="Times New Roman" w:eastAsia="仿宋" w:cs="Times New Roman"/>
          <w:bCs/>
          <w:color w:val="auto"/>
          <w:sz w:val="32"/>
          <w:szCs w:val="32"/>
          <w:highlight w:val="none"/>
        </w:rPr>
        <w:t>.社会保障和就业支出（类）行政事业单位养老支出（款）事业单位离退休（项）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支出决算为4.2万元，完成预算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4</w:t>
      </w:r>
      <w:r>
        <w:rPr>
          <w:rStyle w:val="17"/>
          <w:rFonts w:hint="default" w:ascii="Times New Roman" w:hAnsi="Times New Roman" w:eastAsia="仿宋" w:cs="Times New Roman"/>
          <w:bCs/>
          <w:color w:val="auto"/>
          <w:sz w:val="32"/>
          <w:szCs w:val="32"/>
          <w:highlight w:val="none"/>
        </w:rPr>
        <w:t>.卫生健康支出（类）行政事业单位医疗（款）事业单位医疗（项）</w:t>
      </w:r>
      <w:r>
        <w:rPr>
          <w:rStyle w:val="17"/>
          <w:rFonts w:hint="default" w:ascii="Times New Roman" w:hAnsi="Times New Roman" w:eastAsia="仿宋" w:cs="Times New Roman"/>
          <w:bCs/>
          <w:color w:val="auto"/>
          <w:sz w:val="32"/>
          <w:szCs w:val="32"/>
          <w:highlight w:val="none"/>
          <w:lang w:eastAsia="zh-CN"/>
        </w:rPr>
        <w:t>：</w:t>
      </w:r>
      <w:r>
        <w:rPr>
          <w:rStyle w:val="17"/>
          <w:rFonts w:hint="default" w:ascii="Times New Roman" w:hAnsi="Times New Roman" w:eastAsia="仿宋" w:cs="Times New Roman"/>
          <w:b w:val="0"/>
          <w:bCs/>
          <w:color w:val="auto"/>
          <w:sz w:val="32"/>
          <w:szCs w:val="32"/>
          <w:highlight w:val="none"/>
        </w:rPr>
        <w:t xml:space="preserve"> </w:t>
      </w:r>
      <w:r>
        <w:rPr>
          <w:rFonts w:hint="default" w:ascii="Times New Roman" w:hAnsi="Times New Roman" w:eastAsia="仿宋_GB2312" w:cs="Times New Roman"/>
          <w:sz w:val="32"/>
          <w:szCs w:val="32"/>
        </w:rPr>
        <w:t>支出决算为79.67万元，完成预算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5</w:t>
      </w:r>
      <w:r>
        <w:rPr>
          <w:rStyle w:val="17"/>
          <w:rFonts w:hint="default" w:ascii="Times New Roman" w:hAnsi="Times New Roman" w:eastAsia="仿宋" w:cs="Times New Roman"/>
          <w:bCs/>
          <w:color w:val="auto"/>
          <w:sz w:val="32"/>
          <w:szCs w:val="32"/>
          <w:highlight w:val="none"/>
        </w:rPr>
        <w:t>.卫生健康支出（类）行政事业单位医疗（款）其他行政事业单位医疗支出（项）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支出决算为29.4万元，完成预算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6</w:t>
      </w:r>
      <w:r>
        <w:rPr>
          <w:rStyle w:val="17"/>
          <w:rFonts w:hint="default" w:ascii="Times New Roman" w:hAnsi="Times New Roman" w:eastAsia="仿宋" w:cs="Times New Roman"/>
          <w:bCs/>
          <w:color w:val="auto"/>
          <w:sz w:val="32"/>
          <w:szCs w:val="32"/>
          <w:highlight w:val="none"/>
        </w:rPr>
        <w:t>.交通运输支出（类）公路水路运输（款）公路养护（项）</w:t>
      </w:r>
      <w:r>
        <w:rPr>
          <w:rStyle w:val="17"/>
          <w:rFonts w:hint="default" w:ascii="Times New Roman" w:hAnsi="Times New Roman" w:eastAsia="仿宋" w:cs="Times New Roman"/>
          <w:bCs/>
          <w:color w:val="auto"/>
          <w:sz w:val="32"/>
          <w:szCs w:val="32"/>
          <w:highlight w:val="none"/>
          <w:lang w:eastAsia="zh-CN"/>
        </w:rPr>
        <w:t>：</w:t>
      </w:r>
      <w:r>
        <w:rPr>
          <w:rStyle w:val="17"/>
          <w:rFonts w:hint="default" w:ascii="Times New Roman" w:hAnsi="Times New Roman" w:eastAsia="仿宋" w:cs="Times New Roman"/>
          <w:b w:val="0"/>
          <w:bCs/>
          <w:color w:val="auto"/>
          <w:sz w:val="32"/>
          <w:szCs w:val="32"/>
          <w:highlight w:val="none"/>
        </w:rPr>
        <w:t xml:space="preserve"> </w:t>
      </w:r>
      <w:r>
        <w:rPr>
          <w:rFonts w:hint="default" w:ascii="Times New Roman" w:hAnsi="Times New Roman" w:eastAsia="仿宋_GB2312" w:cs="Times New Roman"/>
          <w:sz w:val="32"/>
          <w:szCs w:val="32"/>
        </w:rPr>
        <w:t>支出决算为1801.01万元，完成预算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color w:val="auto"/>
          <w:sz w:val="32"/>
          <w:szCs w:val="32"/>
          <w:highlight w:val="none"/>
          <w:lang w:eastAsia="zh-CN"/>
        </w:rPr>
      </w:pPr>
      <w:r>
        <w:rPr>
          <w:rStyle w:val="17"/>
          <w:rFonts w:hint="default" w:ascii="Times New Roman" w:hAnsi="Times New Roman" w:eastAsia="仿宋" w:cs="Times New Roman"/>
          <w:bCs/>
          <w:color w:val="auto"/>
          <w:sz w:val="32"/>
          <w:szCs w:val="32"/>
          <w:highlight w:val="none"/>
          <w:lang w:val="en-US" w:eastAsia="zh-CN"/>
        </w:rPr>
        <w:t>7.</w:t>
      </w:r>
      <w:r>
        <w:rPr>
          <w:rStyle w:val="17"/>
          <w:rFonts w:hint="default" w:ascii="Times New Roman" w:hAnsi="Times New Roman" w:eastAsia="仿宋" w:cs="Times New Roman"/>
          <w:bCs/>
          <w:color w:val="auto"/>
          <w:sz w:val="32"/>
          <w:szCs w:val="32"/>
          <w:highlight w:val="none"/>
        </w:rPr>
        <w:t>住房保障支出（类）住房改革支出（款）住房公积金（项）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支出决算为132.03万元，完成预算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spacing w:line="600" w:lineRule="exact"/>
        <w:ind w:firstLine="640"/>
        <w:rPr>
          <w:rFonts w:hint="default" w:ascii="Times New Roman" w:hAnsi="Times New Roman" w:eastAsia="仿宋_GB2312" w:cs="Times New Roman"/>
          <w:sz w:val="32"/>
          <w:szCs w:val="32"/>
        </w:rPr>
      </w:pPr>
      <w:r>
        <w:rPr>
          <w:rStyle w:val="17"/>
          <w:rFonts w:hint="default" w:ascii="Times New Roman" w:hAnsi="Times New Roman" w:eastAsia="仿宋" w:cs="Times New Roman"/>
          <w:bCs/>
          <w:color w:val="auto"/>
          <w:kern w:val="2"/>
          <w:sz w:val="32"/>
          <w:szCs w:val="32"/>
          <w:highlight w:val="none"/>
          <w:lang w:val="en-US" w:eastAsia="zh-CN" w:bidi="ar-SA"/>
        </w:rPr>
        <w:t>8.</w:t>
      </w:r>
      <w:r>
        <w:rPr>
          <w:rStyle w:val="17"/>
          <w:rFonts w:hint="default" w:ascii="Times New Roman" w:hAnsi="Times New Roman" w:eastAsia="仿宋" w:cs="Times New Roman"/>
          <w:bCs/>
          <w:color w:val="auto"/>
          <w:sz w:val="32"/>
          <w:szCs w:val="32"/>
          <w:highlight w:val="none"/>
        </w:rPr>
        <w:t>住房保障支出（类）住房改革支出（款）购房补贴（项）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Style w:val="17"/>
          <w:rFonts w:hint="default" w:ascii="Times New Roman" w:hAnsi="Times New Roman" w:eastAsia="仿宋" w:cs="Times New Roman"/>
          <w:b w:val="0"/>
          <w:bCs/>
          <w:color w:val="auto"/>
          <w:sz w:val="32"/>
          <w:szCs w:val="32"/>
          <w:highlight w:val="none"/>
          <w:lang w:eastAsia="zh-CN"/>
        </w:rPr>
        <w:t>。</w:t>
      </w:r>
    </w:p>
    <w:p>
      <w:pPr>
        <w:tabs>
          <w:tab w:val="right" w:pos="8306"/>
        </w:tabs>
        <w:spacing w:line="600" w:lineRule="exact"/>
        <w:ind w:firstLine="640"/>
        <w:outlineLvl w:val="1"/>
        <w:rPr>
          <w:rStyle w:val="29"/>
          <w:rFonts w:hint="default" w:ascii="Times New Roman" w:hAnsi="Times New Roman" w:cs="Times New Roman"/>
        </w:rPr>
      </w:pPr>
      <w:bookmarkStart w:id="39" w:name="_Toc15396608"/>
      <w:bookmarkStart w:id="40" w:name="_Toc15377214"/>
      <w:bookmarkStart w:id="41" w:name="_Toc26753"/>
      <w:r>
        <w:rPr>
          <w:rFonts w:hint="default" w:ascii="Times New Roman" w:hAnsi="Times New Roman" w:eastAsia="黑体" w:cs="Times New Roman"/>
          <w:sz w:val="32"/>
          <w:szCs w:val="32"/>
        </w:rPr>
        <w:t>六</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般公共预算财政拨款基本支出决算情况说明</w:t>
      </w:r>
      <w:bookmarkEnd w:id="39"/>
      <w:bookmarkEnd w:id="40"/>
      <w:bookmarkEnd w:id="41"/>
      <w:r>
        <w:rPr>
          <w:rStyle w:val="29"/>
          <w:rFonts w:hint="default" w:ascii="Times New Roman" w:hAnsi="Times New Roman" w:eastAsia="黑体" w:cs="Times New Roman"/>
          <w:b w:val="0"/>
        </w:rPr>
        <w:tab/>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2024年度一般公共预算财政拨款基本支出2146.32万元，其中：</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人员经费1964.01万元，主要包括：基本工资、津贴补贴、奖金、伙食补助费、绩效工资、机关事业单位基本养老保险缴费、职业年金缴费、其他社会保障缴费、离休费、退休费、生活补助、奖励金。</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公用经费182.3万元，主要包括：办公费、咨询费、手续费、水费、电费、邮电费、差旅费、维修（护）费、租赁费、会议费、培训费、公务接待费、专用材料费、劳务费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委托业务费、福利费、公务用车运行维护费、其他商品和服务支出、办公设备购置。</w:t>
      </w:r>
    </w:p>
    <w:p>
      <w:pPr>
        <w:spacing w:line="600" w:lineRule="exact"/>
        <w:ind w:firstLine="640"/>
        <w:outlineLvl w:val="1"/>
        <w:rPr>
          <w:rStyle w:val="29"/>
          <w:rFonts w:hint="default" w:ascii="Times New Roman" w:hAnsi="Times New Roman" w:eastAsia="黑体" w:cs="Times New Roman"/>
          <w:b w:val="0"/>
        </w:rPr>
      </w:pPr>
      <w:bookmarkStart w:id="42" w:name="_Toc7356"/>
      <w:bookmarkStart w:id="43" w:name="_Toc15377215"/>
      <w:bookmarkStart w:id="44" w:name="_Toc15396609"/>
      <w:r>
        <w:rPr>
          <w:rFonts w:hint="default" w:ascii="Times New Roman" w:hAnsi="Times New Roman" w:eastAsia="黑体" w:cs="Times New Roman"/>
          <w:sz w:val="32"/>
          <w:szCs w:val="32"/>
        </w:rPr>
        <w:t>七、</w:t>
      </w:r>
      <w:r>
        <w:rPr>
          <w:rStyle w:val="29"/>
          <w:rFonts w:hint="default" w:ascii="Times New Roman" w:hAnsi="Times New Roman" w:eastAsia="黑体" w:cs="Times New Roman"/>
          <w:b w:val="0"/>
        </w:rPr>
        <w:t>财政拨款</w:t>
      </w:r>
      <w:r>
        <w:rPr>
          <w:rStyle w:val="29"/>
          <w:rFonts w:hint="default" w:ascii="Times New Roman" w:hAnsi="Times New Roman" w:eastAsia="黑体" w:cs="Times New Roman"/>
        </w:rPr>
        <w:t>“</w:t>
      </w:r>
      <w:r>
        <w:rPr>
          <w:rStyle w:val="29"/>
          <w:rFonts w:hint="default" w:ascii="Times New Roman" w:hAnsi="Times New Roman" w:eastAsia="黑体" w:cs="Times New Roman"/>
          <w:b w:val="0"/>
        </w:rPr>
        <w:t>三公”经费支出决算情况说明</w:t>
      </w:r>
      <w:bookmarkEnd w:id="42"/>
      <w:bookmarkEnd w:id="43"/>
      <w:bookmarkEnd w:id="44"/>
    </w:p>
    <w:p>
      <w:pPr>
        <w:spacing w:line="600" w:lineRule="exact"/>
        <w:ind w:firstLine="643" w:firstLineChars="200"/>
        <w:outlineLvl w:val="2"/>
        <w:rPr>
          <w:rFonts w:hint="default" w:ascii="Times New Roman" w:hAnsi="Times New Roman" w:eastAsia="楷体_GB2312" w:cs="Times New Roman"/>
          <w:b/>
          <w:sz w:val="32"/>
          <w:szCs w:val="32"/>
        </w:rPr>
      </w:pPr>
      <w:bookmarkStart w:id="45" w:name="_Toc15377216"/>
      <w:r>
        <w:rPr>
          <w:rFonts w:hint="default" w:ascii="Times New Roman" w:hAnsi="Times New Roman" w:eastAsia="楷体_GB2312" w:cs="Times New Roman"/>
          <w:b/>
          <w:sz w:val="32"/>
          <w:szCs w:val="32"/>
        </w:rPr>
        <w:t>（一）“三公”经费财政拨款支出决算总体情况说明</w:t>
      </w:r>
      <w:bookmarkEnd w:id="45"/>
    </w:p>
    <w:p>
      <w:pPr>
        <w:spacing w:line="60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2024年度“三公”经费财政拨款支出决算为11.54万元，完成预算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%，较上年度减少4.15万元，下降26.</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%。决算与预算数持平</w:t>
      </w:r>
      <w:r>
        <w:rPr>
          <w:rFonts w:hint="default" w:ascii="Times New Roman" w:hAnsi="Times New Roman" w:eastAsia="仿宋_GB2312" w:cs="Times New Roman"/>
          <w:sz w:val="32"/>
          <w:szCs w:val="32"/>
          <w:lang w:eastAsia="zh-CN"/>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46" w:name="_Toc15377217"/>
      <w:r>
        <w:rPr>
          <w:rFonts w:hint="default" w:ascii="Times New Roman" w:hAnsi="Times New Roman" w:eastAsia="楷体_GB2312" w:cs="Times New Roman"/>
          <w:b/>
          <w:sz w:val="32"/>
          <w:szCs w:val="32"/>
        </w:rPr>
        <w:t>（二）“三公”经费财政拨款支出决算具体情况说明</w:t>
      </w:r>
      <w:bookmarkEnd w:id="46"/>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2024年度“三公”经费财政拨款支出决算中，因公出国（境）费支出决算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%；公务用车购置及运行维护费支出决算11.41万元，占</w:t>
      </w:r>
      <w:r>
        <w:rPr>
          <w:rFonts w:hint="default" w:ascii="Times New Roman" w:hAnsi="Times New Roman" w:eastAsia="仿宋_GB2312" w:cs="Times New Roman"/>
          <w:sz w:val="32"/>
          <w:szCs w:val="32"/>
          <w:lang w:val="en-US" w:eastAsia="zh-CN"/>
        </w:rPr>
        <w:t>98.9</w:t>
      </w:r>
      <w:r>
        <w:rPr>
          <w:rFonts w:hint="default" w:ascii="Times New Roman" w:hAnsi="Times New Roman" w:eastAsia="仿宋_GB2312" w:cs="Times New Roman"/>
          <w:sz w:val="32"/>
          <w:szCs w:val="32"/>
        </w:rPr>
        <w:t>%；公务接待费支出决算0.13万元，占</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%。具体情况如下：</w:t>
      </w:r>
    </w:p>
    <w:p>
      <w:pPr>
        <w:pStyle w:val="2"/>
        <w:rPr>
          <w:rFonts w:hint="default" w:ascii="Times New Roman" w:hAnsi="Times New Roman" w:eastAsia="仿宋_GB2312" w:cs="Times New Roman"/>
          <w:sz w:val="32"/>
          <w:szCs w:val="32"/>
        </w:rPr>
      </w:pP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4574540" cy="2418080"/>
            <wp:effectExtent l="4445" t="4445" r="8255" b="15875"/>
            <wp:docPr id="2515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（图7：“三公”经费财政拨款支出结构）</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1.因公出国（境）经费支出</w:t>
      </w:r>
      <w:r>
        <w:rPr>
          <w:rFonts w:hint="default" w:ascii="Times New Roman" w:hAnsi="Times New Roman" w:eastAsia="仿宋_GB2312" w:cs="Times New Roman"/>
          <w:b/>
          <w:bCs/>
          <w:sz w:val="32"/>
          <w:szCs w:val="32"/>
          <w:lang w:val="en-US" w:eastAsia="zh-CN"/>
        </w:rPr>
        <w:t>0</w:t>
      </w:r>
      <w:r>
        <w:rPr>
          <w:rFonts w:hint="default" w:ascii="Times New Roman" w:hAnsi="Times New Roman" w:eastAsia="仿宋_GB2312" w:cs="Times New Roman"/>
          <w:b/>
          <w:bCs/>
          <w:sz w:val="32"/>
          <w:szCs w:val="32"/>
        </w:rPr>
        <w:t>万元，完成预算</w:t>
      </w:r>
      <w:r>
        <w:rPr>
          <w:rFonts w:hint="default" w:ascii="Times New Roman" w:hAnsi="Times New Roman" w:eastAsia="仿宋_GB2312" w:cs="Times New Roman"/>
          <w:b/>
          <w:bCs/>
          <w:sz w:val="32"/>
          <w:szCs w:val="32"/>
          <w:lang w:val="en-US" w:eastAsia="zh-CN"/>
        </w:rPr>
        <w:t>0</w:t>
      </w:r>
      <w:r>
        <w:rPr>
          <w:rFonts w:hint="default" w:ascii="Times New Roman" w:hAnsi="Times New Roman" w:eastAsia="仿宋_GB2312" w:cs="Times New Roman"/>
          <w:b/>
          <w:bCs/>
          <w:sz w:val="32"/>
          <w:szCs w:val="32"/>
        </w:rPr>
        <w:t>%。</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2.公务用车购置及运行维护费支出11.41万元，完成预算</w:t>
      </w:r>
      <w:r>
        <w:rPr>
          <w:rFonts w:hint="default" w:ascii="Times New Roman" w:hAnsi="Times New Roman" w:eastAsia="仿宋_GB2312" w:cs="Times New Roman"/>
          <w:b/>
          <w:bCs/>
          <w:sz w:val="32"/>
          <w:szCs w:val="32"/>
          <w:lang w:val="en-US" w:eastAsia="zh-CN"/>
        </w:rPr>
        <w:t>100</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公务用车购置及运行维护费支出决算比2023年度减少4.11万元，下降26.5%。主要原因是为2024年报废了一辆车，减少了维护费</w:t>
      </w:r>
      <w:r>
        <w:rPr>
          <w:rFonts w:hint="default" w:ascii="Times New Roman" w:hAnsi="Times New Roman" w:eastAsia="仿宋_GB2312" w:cs="Times New Roman"/>
          <w:sz w:val="32"/>
          <w:szCs w:val="32"/>
          <w:lang w:eastAsia="zh-CN"/>
        </w:rPr>
        <w:t>。</w:t>
      </w:r>
    </w:p>
    <w:p>
      <w:pPr>
        <w:spacing w:line="60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其中：公务用车购置支出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万元。全年按规定更新购置公务用车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辆，截至2024年12月31日，单位共有公务用车</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辆，其中：</w:t>
      </w:r>
      <w:r>
        <w:rPr>
          <w:rFonts w:hint="default" w:ascii="Times New Roman" w:hAnsi="Times New Roman" w:eastAsia="仿宋_GB2312" w:cs="Times New Roman"/>
          <w:color w:val="auto"/>
          <w:sz w:val="32"/>
          <w:szCs w:val="32"/>
          <w:highlight w:val="none"/>
        </w:rPr>
        <w:t>应急保障用车</w:t>
      </w: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辆、其他用车</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辆。</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公务用车运行维护费支出11.41万元。主要用于公务用车燃料费、维修费、过路过桥费、保险费等支出。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3.公务接待费支出0.13万元，完成预算</w:t>
      </w:r>
      <w:r>
        <w:rPr>
          <w:rFonts w:hint="default" w:ascii="Times New Roman" w:hAnsi="Times New Roman" w:eastAsia="仿宋_GB2312" w:cs="Times New Roman"/>
          <w:b/>
          <w:bCs/>
          <w:sz w:val="32"/>
          <w:szCs w:val="32"/>
          <w:lang w:val="en-US" w:eastAsia="zh-CN"/>
        </w:rPr>
        <w:t>100</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公务接待费支出决算比2023年度减少</w:t>
      </w:r>
      <w:r>
        <w:rPr>
          <w:rFonts w:hint="default" w:ascii="Times New Roman" w:hAnsi="Times New Roman" w:eastAsia="仿宋_GB2312" w:cs="Times New Roman"/>
          <w:b w:val="0"/>
          <w:bCs w:val="0"/>
          <w:sz w:val="32"/>
          <w:szCs w:val="32"/>
        </w:rPr>
        <w:t>0.04</w:t>
      </w:r>
      <w:r>
        <w:rPr>
          <w:rFonts w:hint="default" w:ascii="Times New Roman" w:hAnsi="Times New Roman" w:eastAsia="仿宋_GB2312" w:cs="Times New Roman"/>
          <w:sz w:val="32"/>
          <w:szCs w:val="32"/>
        </w:rPr>
        <w:t>万元，下降23.</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%。主要原因是公务接待费较上年减少。其中：</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国内公务接待支出</w:t>
      </w:r>
      <w:r>
        <w:rPr>
          <w:rFonts w:hint="default" w:ascii="Times New Roman" w:hAnsi="Times New Roman" w:eastAsia="仿宋_GB2312" w:cs="Times New Roman"/>
          <w:b w:val="0"/>
          <w:bCs w:val="0"/>
          <w:sz w:val="32"/>
          <w:szCs w:val="32"/>
        </w:rPr>
        <w:t>0.13</w:t>
      </w:r>
      <w:r>
        <w:rPr>
          <w:rFonts w:hint="default" w:ascii="Times New Roman" w:hAnsi="Times New Roman" w:eastAsia="仿宋_GB2312" w:cs="Times New Roman"/>
          <w:sz w:val="32"/>
          <w:szCs w:val="32"/>
        </w:rPr>
        <w:t>万元，主要用于执行公务、开展业务活动用餐费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国内公务接待</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批次，</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人次（不包括陪同人员），共计支出</w:t>
      </w:r>
      <w:r>
        <w:rPr>
          <w:rFonts w:hint="default" w:ascii="Times New Roman" w:hAnsi="Times New Roman" w:eastAsia="仿宋_GB2312" w:cs="Times New Roman"/>
          <w:b w:val="0"/>
          <w:bCs w:val="0"/>
          <w:sz w:val="32"/>
          <w:szCs w:val="32"/>
        </w:rPr>
        <w:t>0.13</w:t>
      </w:r>
      <w:r>
        <w:rPr>
          <w:rFonts w:hint="default" w:ascii="Times New Roman" w:hAnsi="Times New Roman" w:eastAsia="仿宋_GB2312" w:cs="Times New Roman"/>
          <w:sz w:val="32"/>
          <w:szCs w:val="32"/>
        </w:rPr>
        <w:t>万元，具体内容包括：全州国省干线公路养护第二季度考核接待费</w:t>
      </w:r>
      <w:r>
        <w:rPr>
          <w:rFonts w:hint="default" w:ascii="Times New Roman" w:hAnsi="Times New Roman" w:eastAsia="仿宋_GB2312" w:cs="Times New Roman"/>
          <w:sz w:val="32"/>
          <w:szCs w:val="32"/>
          <w:lang w:val="en-US" w:eastAsia="zh-CN"/>
        </w:rPr>
        <w:t>550元；全州省干线公路第三、四季度考核接待费450万元；年终考核慰问接待费300元</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color w:val="auto"/>
          <w:sz w:val="32"/>
          <w:szCs w:val="32"/>
          <w:highlight w:val="none"/>
        </w:rPr>
      </w:pPr>
      <w:bookmarkStart w:id="47" w:name="_Toc15396610"/>
      <w:bookmarkStart w:id="48" w:name="_Toc15377218"/>
      <w:r>
        <w:rPr>
          <w:rFonts w:hint="default" w:ascii="Times New Roman" w:hAnsi="Times New Roman" w:eastAsia="仿宋" w:cs="Times New Roman"/>
          <w:b/>
          <w:color w:val="auto"/>
          <w:sz w:val="32"/>
          <w:szCs w:val="32"/>
          <w:highlight w:val="none"/>
        </w:rPr>
        <w:t>外事接待支出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外事接待</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批次，</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人</w:t>
      </w:r>
      <w:r>
        <w:rPr>
          <w:rFonts w:hint="default" w:ascii="Times New Roman" w:hAnsi="Times New Roman" w:eastAsia="仿宋_GB2312" w:cs="Times New Roman"/>
          <w:sz w:val="32"/>
          <w:szCs w:val="32"/>
          <w:lang w:eastAsia="zh-CN"/>
        </w:rPr>
        <w:t>次（不包括陪同人员）</w:t>
      </w:r>
      <w:r>
        <w:rPr>
          <w:rFonts w:hint="default" w:ascii="Times New Roman" w:hAnsi="Times New Roman" w:eastAsia="仿宋_GB2312" w:cs="Times New Roman"/>
          <w:sz w:val="32"/>
          <w:szCs w:val="32"/>
        </w:rPr>
        <w:t>，共计支出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firstLine="640"/>
        <w:outlineLvl w:val="1"/>
        <w:rPr>
          <w:rStyle w:val="29"/>
          <w:rFonts w:hint="default" w:ascii="Times New Roman" w:hAnsi="Times New Roman" w:eastAsia="黑体" w:cs="Times New Roman"/>
        </w:rPr>
      </w:pPr>
      <w:bookmarkStart w:id="49" w:name="_Toc11168"/>
      <w:r>
        <w:rPr>
          <w:rFonts w:hint="default" w:ascii="Times New Roman" w:hAnsi="Times New Roman" w:eastAsia="黑体" w:cs="Times New Roman"/>
          <w:sz w:val="32"/>
          <w:szCs w:val="32"/>
        </w:rPr>
        <w:t>八、</w:t>
      </w:r>
      <w:r>
        <w:rPr>
          <w:rStyle w:val="29"/>
          <w:rFonts w:hint="default" w:ascii="Times New Roman" w:hAnsi="Times New Roman" w:eastAsia="黑体" w:cs="Times New Roman"/>
          <w:b w:val="0"/>
        </w:rPr>
        <w:t>政府性基金预算支出决算情况说明</w:t>
      </w:r>
      <w:bookmarkEnd w:id="47"/>
      <w:bookmarkEnd w:id="48"/>
      <w:bookmarkEnd w:id="49"/>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政府性基金预算</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left="630"/>
        <w:outlineLvl w:val="1"/>
        <w:rPr>
          <w:rStyle w:val="29"/>
          <w:rFonts w:hint="default" w:ascii="Times New Roman" w:hAnsi="Times New Roman" w:eastAsia="黑体" w:cs="Times New Roman"/>
          <w:b w:val="0"/>
        </w:rPr>
      </w:pPr>
      <w:bookmarkStart w:id="50" w:name="_Toc15377219"/>
      <w:bookmarkStart w:id="51" w:name="_Toc4137"/>
      <w:bookmarkStart w:id="52" w:name="_Toc15396611"/>
      <w:r>
        <w:rPr>
          <w:rStyle w:val="29"/>
          <w:rFonts w:hint="default" w:ascii="Times New Roman" w:hAnsi="Times New Roman" w:eastAsia="黑体" w:cs="Times New Roman"/>
          <w:b w:val="0"/>
        </w:rPr>
        <w:t>九、国有资本经营预算支出决算情况说明</w:t>
      </w:r>
      <w:bookmarkEnd w:id="50"/>
      <w:bookmarkEnd w:id="51"/>
      <w:bookmarkEnd w:id="52"/>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国有资本经营预算</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left="630"/>
        <w:outlineLvl w:val="1"/>
        <w:rPr>
          <w:rStyle w:val="29"/>
          <w:rFonts w:hint="default" w:ascii="Times New Roman" w:hAnsi="Times New Roman" w:eastAsia="黑体" w:cs="Times New Roman"/>
          <w:b w:val="0"/>
        </w:rPr>
      </w:pPr>
      <w:bookmarkStart w:id="53" w:name="_Toc15377221"/>
      <w:bookmarkStart w:id="54" w:name="_Toc15396612"/>
      <w:bookmarkStart w:id="55" w:name="_Toc13091"/>
      <w:r>
        <w:rPr>
          <w:rStyle w:val="29"/>
          <w:rFonts w:hint="default" w:ascii="Times New Roman" w:hAnsi="Times New Roman" w:eastAsia="黑体" w:cs="Times New Roman"/>
          <w:b w:val="0"/>
        </w:rPr>
        <w:t>十、其他重要事项的情况说明</w:t>
      </w:r>
      <w:bookmarkEnd w:id="53"/>
      <w:bookmarkEnd w:id="54"/>
      <w:bookmarkEnd w:id="55"/>
    </w:p>
    <w:p>
      <w:pPr>
        <w:spacing w:line="600" w:lineRule="exact"/>
        <w:ind w:firstLine="643" w:firstLineChars="200"/>
        <w:outlineLvl w:val="2"/>
        <w:rPr>
          <w:rFonts w:hint="default" w:ascii="Times New Roman" w:hAnsi="Times New Roman" w:eastAsia="楷体_GB2312" w:cs="Times New Roman"/>
          <w:b/>
          <w:sz w:val="32"/>
          <w:szCs w:val="32"/>
        </w:rPr>
      </w:pPr>
      <w:bookmarkStart w:id="56" w:name="_Toc15377222"/>
      <w:r>
        <w:rPr>
          <w:rFonts w:hint="default" w:ascii="Times New Roman" w:hAnsi="Times New Roman" w:eastAsia="楷体_GB2312" w:cs="Times New Roman"/>
          <w:b/>
          <w:sz w:val="32"/>
          <w:szCs w:val="32"/>
        </w:rPr>
        <w:t>（一）机关运行经费支出情况</w:t>
      </w:r>
      <w:bookmarkEnd w:id="56"/>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机关运行经费支出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57" w:name="_Toc15377223"/>
      <w:r>
        <w:rPr>
          <w:rFonts w:hint="default" w:ascii="Times New Roman" w:hAnsi="Times New Roman" w:eastAsia="楷体_GB2312" w:cs="Times New Roman"/>
          <w:b/>
          <w:sz w:val="32"/>
          <w:szCs w:val="32"/>
        </w:rPr>
        <w:t>（二）政府采购支出情况</w:t>
      </w:r>
      <w:bookmarkEnd w:id="57"/>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政府采购支出总额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万元，其中：政府采购货物支出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万元、政府采购工程支出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万元。授予中小企业合同金额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%，其中：授予小微企业合同金额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58" w:name="_Toc15377224"/>
      <w:r>
        <w:rPr>
          <w:rFonts w:hint="default" w:ascii="Times New Roman" w:hAnsi="Times New Roman" w:eastAsia="楷体_GB2312" w:cs="Times New Roman"/>
          <w:b/>
          <w:sz w:val="32"/>
          <w:szCs w:val="32"/>
        </w:rPr>
        <w:t>（三）国有资产占有使用情况</w:t>
      </w:r>
      <w:bookmarkEnd w:id="58"/>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截至2024年12月31日，</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共有车辆</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辆，其中：应急保障用车</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辆、其他用车</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辆，其他用车主要是用于</w:t>
      </w:r>
      <w:r>
        <w:rPr>
          <w:rFonts w:hint="default" w:ascii="Times New Roman" w:hAnsi="Times New Roman" w:eastAsia="仿宋_GB2312" w:cs="Times New Roman"/>
          <w:sz w:val="32"/>
          <w:szCs w:val="32"/>
          <w:lang w:val="en-US" w:eastAsia="zh-CN"/>
        </w:rPr>
        <w:t>公路养护</w:t>
      </w:r>
      <w:r>
        <w:rPr>
          <w:rFonts w:hint="default" w:ascii="Times New Roman" w:hAnsi="Times New Roman" w:eastAsia="仿宋_GB2312" w:cs="Times New Roman"/>
          <w:sz w:val="32"/>
          <w:szCs w:val="32"/>
        </w:rPr>
        <w:t>。单价100万元（含）以上设备（不含车辆）</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w:t>
      </w:r>
    </w:p>
    <w:p>
      <w:pPr>
        <w:spacing w:line="600" w:lineRule="exact"/>
        <w:ind w:firstLine="643" w:firstLineChars="200"/>
        <w:outlineLvl w:val="2"/>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（四）预算绩效管理情况</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根据预算绩效管理要求，阿坝藏族羌族自治州公路管理局</w:t>
      </w:r>
      <w:r>
        <w:rPr>
          <w:rFonts w:hint="eastAsia" w:ascii="Times New Roman" w:hAnsi="Times New Roman" w:eastAsia="仿宋_GB2312" w:cs="Times New Roman"/>
          <w:sz w:val="32"/>
          <w:szCs w:val="32"/>
          <w:lang w:val="en-US" w:eastAsia="zh-CN"/>
        </w:rPr>
        <w:t>黑水</w:t>
      </w:r>
      <w:r>
        <w:rPr>
          <w:rFonts w:hint="default" w:ascii="Times New Roman" w:hAnsi="Times New Roman" w:eastAsia="仿宋_GB2312" w:cs="Times New Roman"/>
          <w:sz w:val="32"/>
          <w:szCs w:val="32"/>
          <w:lang w:val="en-US" w:eastAsia="zh-CN"/>
        </w:rPr>
        <w:t>公路管理分局在2024年度预算编制阶段，组织对国省干线公路小修保养经费、黑水公路分局养护机械运行维护费、交调站维护费用</w:t>
      </w:r>
      <w:r>
        <w:rPr>
          <w:rFonts w:hint="eastAsia" w:ascii="Times New Roman" w:hAnsi="Times New Roman" w:eastAsia="仿宋_GB2312" w:cs="Times New Roman"/>
          <w:sz w:val="32"/>
          <w:szCs w:val="32"/>
          <w:lang w:val="en-US" w:eastAsia="zh-CN"/>
        </w:rPr>
        <w:t>等7</w:t>
      </w:r>
      <w:r>
        <w:rPr>
          <w:rFonts w:hint="default" w:ascii="Times New Roman" w:hAnsi="Times New Roman" w:eastAsia="仿宋_GB2312" w:cs="Times New Roman"/>
          <w:sz w:val="32"/>
          <w:szCs w:val="32"/>
          <w:lang w:val="en-US" w:eastAsia="zh-CN"/>
        </w:rPr>
        <w:t>个项目开展了预算事前绩效评估，对</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个项目编制了绩效目标，预算执行过程中，选取8个项目开展绩效监控，组织对</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个项目开展绩效自评，绩效自评表详见第四部分附件。</w:t>
      </w:r>
      <w:r>
        <w:rPr>
          <w:rFonts w:hint="default" w:ascii="Times New Roman" w:hAnsi="Times New Roman" w:eastAsia="仿宋_GB2312" w:cs="Times New Roman"/>
          <w:sz w:val="32"/>
          <w:szCs w:val="32"/>
        </w:rPr>
        <w:br w:type="page"/>
      </w:r>
    </w:p>
    <w:p>
      <w:pPr>
        <w:pStyle w:val="3"/>
        <w:jc w:val="center"/>
        <w:rPr>
          <w:rFonts w:hint="default" w:ascii="Times New Roman" w:hAnsi="Times New Roman" w:eastAsia="方正小标宋简体" w:cs="Times New Roman"/>
          <w:b w:val="0"/>
        </w:rPr>
      </w:pPr>
      <w:bookmarkStart w:id="59" w:name="_Toc15396613"/>
      <w:bookmarkStart w:id="60" w:name="_Toc15377225"/>
      <w:bookmarkStart w:id="61" w:name="_Toc3044"/>
      <w:r>
        <w:rPr>
          <w:rFonts w:hint="default" w:ascii="Times New Roman" w:hAnsi="Times New Roman" w:eastAsia="方正小标宋简体" w:cs="Times New Roman"/>
          <w:b w:val="0"/>
        </w:rPr>
        <w:t>第三部分  名词解释</w:t>
      </w:r>
      <w:bookmarkEnd w:id="59"/>
      <w:bookmarkEnd w:id="60"/>
      <w:bookmarkEnd w:id="61"/>
    </w:p>
    <w:p>
      <w:pPr>
        <w:spacing w:line="600" w:lineRule="exact"/>
        <w:jc w:val="left"/>
        <w:rPr>
          <w:rFonts w:hint="default" w:ascii="Times New Roman" w:hAnsi="Times New Roman" w:cs="Times New Roman"/>
          <w:b/>
          <w:sz w:val="44"/>
          <w:szCs w:val="44"/>
        </w:rPr>
      </w:pPr>
    </w:p>
    <w:p>
      <w:pPr>
        <w:ind w:firstLine="640" w:firstLineChars="200"/>
        <w:rPr>
          <w:rFonts w:hint="default" w:ascii="Times New Roman" w:hAnsi="Times New Roman" w:eastAsia="仿宋_GB2312" w:cs="Times New Roman"/>
          <w:color w:val="auto"/>
          <w:sz w:val="32"/>
          <w:szCs w:val="32"/>
          <w:highlight w:val="none"/>
          <w:lang w:val="en-US" w:eastAsia="zh-CN"/>
        </w:rPr>
      </w:pPr>
      <w:bookmarkStart w:id="62" w:name="_Toc1254"/>
      <w:bookmarkStart w:id="63" w:name="_Toc22062"/>
      <w:bookmarkStart w:id="64" w:name="_Toc15377226"/>
      <w:r>
        <w:rPr>
          <w:rFonts w:hint="default" w:ascii="Times New Roman" w:hAnsi="Times New Roman" w:eastAsia="仿宋_GB2312" w:cs="Times New Roman"/>
          <w:color w:val="auto"/>
          <w:sz w:val="32"/>
          <w:szCs w:val="32"/>
          <w:highlight w:val="none"/>
          <w:lang w:val="en-US" w:eastAsia="zh-CN"/>
        </w:rPr>
        <w:t>1.财政拨款收入：指单位从同级财政单位取得的财政预算资金。</w:t>
      </w:r>
      <w:bookmarkEnd w:id="62"/>
      <w:bookmarkEnd w:id="63"/>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.社会保障和就业支出（类）行政事业单位养老支出（款）机关事业单位基本养老保险缴费支出（项）</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w:t>
      </w:r>
      <w:r>
        <w:rPr>
          <w:rFonts w:hint="default" w:ascii="Times New Roman" w:hAnsi="Times New Roman" w:eastAsia="仿宋_GB2312" w:cs="Times New Roman"/>
          <w:color w:val="auto"/>
          <w:sz w:val="32"/>
          <w:szCs w:val="32"/>
          <w:highlight w:val="none"/>
        </w:rPr>
        <w:t>反映机关事业单位实施养老保险制度由单位缴纳的基本养老 保险费支出。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.社会保障和就业支出（类）行政事业单位养老支出（款）机关事业单位职业年金缴费支出（项）</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指反映机关事业单位实施养老保险制度由单位实际缴纳的职业年金支出</w:t>
      </w:r>
      <w:r>
        <w:rPr>
          <w:rFonts w:hint="default" w:ascii="Times New Roman" w:hAnsi="Times New Roman" w:eastAsia="仿宋_GB2312" w:cs="Times New Roman"/>
          <w:color w:val="auto"/>
          <w:sz w:val="32"/>
          <w:szCs w:val="32"/>
          <w:highlight w:val="none"/>
        </w:rPr>
        <w:t>。</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.卫生健康支出（类）行政事业单位医疗（款）事业单位医疗（项）</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w:t>
      </w:r>
      <w:r>
        <w:rPr>
          <w:rFonts w:hint="default" w:ascii="Times New Roman" w:hAnsi="Times New Roman" w:eastAsia="仿宋_GB2312" w:cs="Times New Roman"/>
          <w:color w:val="auto"/>
          <w:sz w:val="32"/>
          <w:szCs w:val="32"/>
          <w:highlight w:val="none"/>
        </w:rPr>
        <w:t>反映财政部门安排的事业单位基本医疗保险缴费经费，未参加医疗保险的事业单位的公费医疗经费，按国家规定享受离休人员待遇的医疗经费。</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.卫生健康支出（类）行政事业单位医疗（款）其他行政事业单位医疗支出（项）</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w:t>
      </w:r>
      <w:r>
        <w:rPr>
          <w:rFonts w:hint="default" w:ascii="Times New Roman" w:hAnsi="Times New Roman" w:eastAsia="仿宋_GB2312" w:cs="Times New Roman"/>
          <w:color w:val="auto"/>
          <w:sz w:val="32"/>
          <w:szCs w:val="32"/>
          <w:highlight w:val="none"/>
        </w:rPr>
        <w:t>反映除上述项目以外的其他用于行政事业单位医疗方面的支出。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.交通运输支出（类）公路水路运输（款）公路养护（项）</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w:t>
      </w:r>
      <w:r>
        <w:rPr>
          <w:rFonts w:hint="default" w:ascii="Times New Roman" w:hAnsi="Times New Roman" w:eastAsia="仿宋_GB2312" w:cs="Times New Roman"/>
          <w:color w:val="auto"/>
          <w:sz w:val="32"/>
          <w:szCs w:val="32"/>
          <w:highlight w:val="none"/>
        </w:rPr>
        <w:t>反映公路养护支出。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住房保障支出（类）住房改革支出（款）住房公积金（项）</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w:t>
      </w:r>
      <w:r>
        <w:rPr>
          <w:rFonts w:hint="default" w:ascii="Times New Roman" w:hAnsi="Times New Roman" w:eastAsia="仿宋_GB2312" w:cs="Times New Roman"/>
          <w:color w:val="auto"/>
          <w:sz w:val="32"/>
          <w:szCs w:val="32"/>
          <w:highlight w:val="none"/>
        </w:rPr>
        <w:t>反映行政事业单位按人力资源和社会保障部、财政部规定的 基本工资和津贴补贴以及规定比例为职工缴纳的住房公积金。</w:t>
      </w:r>
    </w:p>
    <w:p>
      <w:pPr>
        <w:ind w:firstLine="640"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住房保障支出（类）住房改革支出（款）购房补贴（项）</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指反映按房改政策规定，行政事业单位向符合条件职工（含离 退休人员）、军队（含武警）向转役复员离退休人员发放的用于购买住房的补贴。</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 xml:space="preserve">.项目支出：指在基本支出之外为完成特定行政任务和事业发展目标所发生的支出。 </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.“三公”经费：指</w:t>
      </w:r>
      <w:r>
        <w:rPr>
          <w:rFonts w:hint="default" w:ascii="Times New Roman" w:hAnsi="Times New Roman" w:eastAsia="仿宋_GB2312" w:cs="Times New Roman"/>
          <w:color w:val="auto"/>
          <w:sz w:val="32"/>
          <w:szCs w:val="32"/>
          <w:highlight w:val="none"/>
          <w:lang w:eastAsia="zh-CN"/>
        </w:rPr>
        <w:t>单位</w:t>
      </w:r>
      <w:r>
        <w:rPr>
          <w:rFonts w:hint="default" w:ascii="Times New Roman" w:hAnsi="Times New Roman" w:eastAsia="仿宋_GB2312" w:cs="Times New Roman"/>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jc w:val="center"/>
        <w:rPr>
          <w:rStyle w:val="28"/>
          <w:rFonts w:hint="default" w:ascii="Times New Roman" w:hAnsi="Times New Roman" w:eastAsia="黑体" w:cs="Times New Roman"/>
          <w:b w:val="0"/>
          <w:bCs/>
        </w:rPr>
      </w:pPr>
      <w:r>
        <w:rPr>
          <w:rFonts w:hint="default" w:ascii="Times New Roman" w:hAnsi="Times New Roman" w:eastAsia="仿宋_GB2312" w:cs="Times New Roman"/>
          <w:sz w:val="32"/>
          <w:szCs w:val="32"/>
        </w:rPr>
        <w:br w:type="page"/>
      </w:r>
      <w:bookmarkStart w:id="65" w:name="_Toc25158"/>
      <w:bookmarkStart w:id="66" w:name="_Toc15396614"/>
      <w:r>
        <w:rPr>
          <w:rFonts w:hint="default" w:ascii="Times New Roman" w:hAnsi="Times New Roman" w:eastAsia="方正小标宋简体" w:cs="Times New Roman"/>
          <w:b w:val="0"/>
        </w:rPr>
        <w:t>第四部分  附件</w:t>
      </w:r>
      <w:bookmarkEnd w:id="65"/>
      <w:bookmarkEnd w:id="66"/>
    </w:p>
    <w:p>
      <w:pPr>
        <w:rPr>
          <w:rFonts w:hint="eastAsia" w:eastAsia="仿宋_GB2312"/>
          <w:lang w:eastAsia="zh-CN"/>
        </w:rPr>
      </w:pPr>
      <w:r>
        <w:drawing>
          <wp:inline distT="0" distB="0" distL="114300" distR="114300">
            <wp:extent cx="5271135" cy="6048375"/>
            <wp:effectExtent l="0" t="0" r="19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5271135" cy="6048375"/>
                    </a:xfrm>
                    <a:prstGeom prst="rect">
                      <a:avLst/>
                    </a:prstGeom>
                    <a:noFill/>
                    <a:ln>
                      <a:noFill/>
                    </a:ln>
                  </pic:spPr>
                </pic:pic>
              </a:graphicData>
            </a:graphic>
          </wp:inline>
        </w:drawing>
      </w:r>
    </w:p>
    <w:p>
      <w:pPr>
        <w:pStyle w:val="2"/>
        <w:rPr>
          <w:rFonts w:hint="default"/>
        </w:rPr>
      </w:pPr>
    </w:p>
    <w:p>
      <w:pPr>
        <w:spacing w:line="578" w:lineRule="exact"/>
        <w:ind w:firstLine="640"/>
        <w:rPr>
          <w:rFonts w:hint="default" w:ascii="Times New Roman" w:hAnsi="Times New Roman" w:eastAsia="仿宋_GB2312" w:cs="Times New Roman"/>
          <w:kern w:val="0"/>
          <w:sz w:val="32"/>
          <w:szCs w:val="32"/>
        </w:rPr>
      </w:pPr>
    </w:p>
    <w:p>
      <w:pPr>
        <w:pStyle w:val="2"/>
        <w:rPr>
          <w:rFonts w:hint="default" w:ascii="Times New Roman" w:hAnsi="Times New Roman" w:eastAsia="仿宋_GB2312" w:cs="Times New Roman"/>
          <w:kern w:val="0"/>
          <w:sz w:val="32"/>
          <w:szCs w:val="32"/>
        </w:rPr>
      </w:pPr>
    </w:p>
    <w:p>
      <w:pPr>
        <w:rPr>
          <w:rFonts w:hint="default" w:ascii="Times New Roman" w:hAnsi="Times New Roman" w:eastAsia="仿宋_GB2312" w:cs="Times New Roman"/>
          <w:kern w:val="0"/>
          <w:sz w:val="32"/>
          <w:szCs w:val="32"/>
        </w:rPr>
      </w:pPr>
    </w:p>
    <w:p>
      <w:pPr>
        <w:pStyle w:val="2"/>
      </w:pPr>
      <w:r>
        <w:drawing>
          <wp:inline distT="0" distB="0" distL="114300" distR="114300">
            <wp:extent cx="5271135" cy="6677025"/>
            <wp:effectExtent l="0" t="0" r="190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71135" cy="6677025"/>
                    </a:xfrm>
                    <a:prstGeom prst="rect">
                      <a:avLst/>
                    </a:prstGeom>
                    <a:noFill/>
                    <a:ln>
                      <a:noFill/>
                    </a:ln>
                  </pic:spPr>
                </pic:pic>
              </a:graphicData>
            </a:graphic>
          </wp:inline>
        </w:drawing>
      </w:r>
    </w:p>
    <w:p/>
    <w:p>
      <w:r>
        <w:br w:type="page"/>
      </w:r>
    </w:p>
    <w:p/>
    <w:p>
      <w:r>
        <w:drawing>
          <wp:inline distT="0" distB="0" distL="114300" distR="114300">
            <wp:extent cx="5271135" cy="7141210"/>
            <wp:effectExtent l="0" t="0" r="1905"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8"/>
                    <a:stretch>
                      <a:fillRect/>
                    </a:stretch>
                  </pic:blipFill>
                  <pic:spPr>
                    <a:xfrm>
                      <a:off x="0" y="0"/>
                      <a:ext cx="5271135" cy="7141210"/>
                    </a:xfrm>
                    <a:prstGeom prst="rect">
                      <a:avLst/>
                    </a:prstGeom>
                    <a:noFill/>
                    <a:ln>
                      <a:noFill/>
                    </a:ln>
                  </pic:spPr>
                </pic:pic>
              </a:graphicData>
            </a:graphic>
          </wp:inline>
        </w:drawing>
      </w:r>
    </w:p>
    <w:p>
      <w:r>
        <w:br w:type="page"/>
      </w:r>
    </w:p>
    <w:p/>
    <w:p>
      <w:r>
        <w:drawing>
          <wp:inline distT="0" distB="0" distL="114300" distR="114300">
            <wp:extent cx="5271135" cy="7279005"/>
            <wp:effectExtent l="0" t="0" r="1905"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9"/>
                    <a:stretch>
                      <a:fillRect/>
                    </a:stretch>
                  </pic:blipFill>
                  <pic:spPr>
                    <a:xfrm>
                      <a:off x="0" y="0"/>
                      <a:ext cx="5271135" cy="7279005"/>
                    </a:xfrm>
                    <a:prstGeom prst="rect">
                      <a:avLst/>
                    </a:prstGeom>
                    <a:noFill/>
                    <a:ln>
                      <a:noFill/>
                    </a:ln>
                  </pic:spPr>
                </pic:pic>
              </a:graphicData>
            </a:graphic>
          </wp:inline>
        </w:drawing>
      </w:r>
    </w:p>
    <w:p>
      <w:r>
        <w:br w:type="page"/>
      </w:r>
    </w:p>
    <w:p/>
    <w:p>
      <w:r>
        <w:drawing>
          <wp:inline distT="0" distB="0" distL="114300" distR="114300">
            <wp:extent cx="5271135" cy="6686550"/>
            <wp:effectExtent l="0" t="0" r="1905" b="381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0"/>
                    <a:stretch>
                      <a:fillRect/>
                    </a:stretch>
                  </pic:blipFill>
                  <pic:spPr>
                    <a:xfrm>
                      <a:off x="0" y="0"/>
                      <a:ext cx="5271135" cy="6686550"/>
                    </a:xfrm>
                    <a:prstGeom prst="rect">
                      <a:avLst/>
                    </a:prstGeom>
                    <a:noFill/>
                    <a:ln>
                      <a:noFill/>
                    </a:ln>
                  </pic:spPr>
                </pic:pic>
              </a:graphicData>
            </a:graphic>
          </wp:inline>
        </w:drawing>
      </w:r>
    </w:p>
    <w:p>
      <w:r>
        <w:br w:type="page"/>
      </w:r>
    </w:p>
    <w:p/>
    <w:p>
      <w:pPr>
        <w:rPr>
          <w:rFonts w:hint="default"/>
        </w:rPr>
      </w:pPr>
      <w:r>
        <w:drawing>
          <wp:inline distT="0" distB="0" distL="114300" distR="114300">
            <wp:extent cx="5271135" cy="6701155"/>
            <wp:effectExtent l="0" t="0" r="1905" b="44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1"/>
                    <a:stretch>
                      <a:fillRect/>
                    </a:stretch>
                  </pic:blipFill>
                  <pic:spPr>
                    <a:xfrm>
                      <a:off x="0" y="0"/>
                      <a:ext cx="5271135" cy="6701155"/>
                    </a:xfrm>
                    <a:prstGeom prst="rect">
                      <a:avLst/>
                    </a:prstGeom>
                    <a:noFill/>
                    <a:ln>
                      <a:noFill/>
                    </a:ln>
                  </pic:spPr>
                </pic:pic>
              </a:graphicData>
            </a:graphic>
          </wp:inline>
        </w:drawing>
      </w:r>
    </w:p>
    <w:p>
      <w:pP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br w:type="page"/>
      </w:r>
    </w:p>
    <w:p>
      <w:pPr>
        <w:pStyle w:val="2"/>
        <w:rPr>
          <w:rFonts w:hint="default"/>
        </w:rPr>
      </w:pPr>
    </w:p>
    <w:p>
      <w:pPr>
        <w:pStyle w:val="2"/>
        <w:rPr>
          <w:rFonts w:hint="default"/>
        </w:rPr>
      </w:pPr>
      <w:r>
        <w:drawing>
          <wp:inline distT="0" distB="0" distL="114300" distR="114300">
            <wp:extent cx="5271135" cy="7418705"/>
            <wp:effectExtent l="0" t="0" r="1905" b="317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22"/>
                    <a:stretch>
                      <a:fillRect/>
                    </a:stretch>
                  </pic:blipFill>
                  <pic:spPr>
                    <a:xfrm>
                      <a:off x="0" y="0"/>
                      <a:ext cx="5271135" cy="7418705"/>
                    </a:xfrm>
                    <a:prstGeom prst="rect">
                      <a:avLst/>
                    </a:prstGeom>
                    <a:noFill/>
                    <a:ln>
                      <a:noFill/>
                    </a:ln>
                  </pic:spPr>
                </pic:pic>
              </a:graphicData>
            </a:graphic>
          </wp:inline>
        </w:drawing>
      </w:r>
    </w:p>
    <w:p>
      <w:pPr>
        <w:spacing w:line="578" w:lineRule="exact"/>
        <w:ind w:firstLine="640"/>
        <w:rPr>
          <w:rFonts w:hint="default" w:ascii="Times New Roman" w:hAnsi="Times New Roman" w:eastAsia="仿宋_GB2312" w:cs="Times New Roman"/>
          <w:kern w:val="0"/>
          <w:sz w:val="32"/>
          <w:szCs w:val="32"/>
        </w:rPr>
      </w:pPr>
      <w:bookmarkStart w:id="67" w:name="_Toc15396618"/>
      <w:r>
        <w:rPr>
          <w:rFonts w:hint="default" w:ascii="Times New Roman" w:hAnsi="Times New Roman" w:eastAsia="仿宋_GB2312" w:cs="Times New Roman"/>
          <w:kern w:val="0"/>
          <w:sz w:val="32"/>
          <w:szCs w:val="32"/>
        </w:rPr>
        <w:br w:type="page"/>
      </w:r>
    </w:p>
    <w:p>
      <w:pPr>
        <w:pStyle w:val="3"/>
        <w:jc w:val="center"/>
        <w:rPr>
          <w:rFonts w:hint="default" w:ascii="Times New Roman" w:hAnsi="Times New Roman" w:eastAsia="方正小标宋简体" w:cs="Times New Roman"/>
          <w:b w:val="0"/>
        </w:rPr>
      </w:pPr>
      <w:bookmarkStart w:id="68" w:name="_Toc3099"/>
      <w:r>
        <w:rPr>
          <w:rFonts w:hint="default" w:ascii="Times New Roman" w:hAnsi="Times New Roman" w:eastAsia="方正小标宋简体" w:cs="Times New Roman"/>
          <w:b w:val="0"/>
        </w:rPr>
        <w:t>第五部分 附表</w:t>
      </w:r>
      <w:bookmarkEnd w:id="64"/>
      <w:bookmarkEnd w:id="67"/>
      <w:bookmarkEnd w:id="68"/>
      <w:bookmarkStart w:id="69" w:name="_Toc15396619"/>
    </w:p>
    <w:p>
      <w:pPr>
        <w:pStyle w:val="4"/>
        <w:rPr>
          <w:rFonts w:hint="default" w:ascii="仿宋" w:hAnsi="仿宋" w:eastAsia="仿宋"/>
          <w:b w:val="0"/>
          <w:color w:val="auto"/>
          <w:highlight w:val="none"/>
        </w:rPr>
      </w:pPr>
      <w:bookmarkStart w:id="70" w:name="_Toc23259"/>
      <w:r>
        <w:rPr>
          <w:rFonts w:hint="default" w:ascii="仿宋" w:hAnsi="仿宋" w:eastAsia="仿宋"/>
          <w:b w:val="0"/>
          <w:color w:val="auto"/>
          <w:highlight w:val="none"/>
        </w:rPr>
        <w:t>一、收入支出决算总表</w:t>
      </w:r>
      <w:bookmarkEnd w:id="69"/>
      <w:bookmarkEnd w:id="70"/>
    </w:p>
    <w:p>
      <w:pPr>
        <w:pStyle w:val="4"/>
        <w:rPr>
          <w:rFonts w:hint="default" w:ascii="仿宋" w:hAnsi="仿宋" w:eastAsia="仿宋"/>
          <w:b w:val="0"/>
          <w:color w:val="auto"/>
          <w:highlight w:val="none"/>
        </w:rPr>
      </w:pPr>
      <w:bookmarkStart w:id="71" w:name="_Toc15396620"/>
      <w:bookmarkStart w:id="72" w:name="_Toc20558"/>
      <w:r>
        <w:rPr>
          <w:rFonts w:hint="default" w:ascii="仿宋" w:hAnsi="仿宋" w:eastAsia="仿宋"/>
          <w:b w:val="0"/>
          <w:color w:val="auto"/>
          <w:highlight w:val="none"/>
        </w:rPr>
        <w:t>二、收入决算表</w:t>
      </w:r>
      <w:bookmarkEnd w:id="71"/>
      <w:bookmarkEnd w:id="72"/>
    </w:p>
    <w:p>
      <w:pPr>
        <w:pStyle w:val="4"/>
        <w:rPr>
          <w:rFonts w:hint="default" w:ascii="仿宋" w:hAnsi="仿宋" w:eastAsia="仿宋"/>
          <w:b w:val="0"/>
          <w:color w:val="auto"/>
          <w:highlight w:val="none"/>
        </w:rPr>
      </w:pPr>
      <w:bookmarkStart w:id="73" w:name="_Toc14219"/>
      <w:bookmarkStart w:id="74" w:name="_Toc15396621"/>
      <w:r>
        <w:rPr>
          <w:rFonts w:hint="default" w:ascii="仿宋" w:hAnsi="仿宋" w:eastAsia="仿宋"/>
          <w:b w:val="0"/>
          <w:color w:val="auto"/>
          <w:highlight w:val="none"/>
        </w:rPr>
        <w:t>三、支出决算表</w:t>
      </w:r>
      <w:bookmarkEnd w:id="73"/>
      <w:bookmarkEnd w:id="74"/>
    </w:p>
    <w:p>
      <w:pPr>
        <w:pStyle w:val="4"/>
        <w:rPr>
          <w:rFonts w:hint="default" w:ascii="仿宋" w:hAnsi="仿宋" w:eastAsia="仿宋"/>
          <w:b w:val="0"/>
          <w:color w:val="auto"/>
          <w:highlight w:val="none"/>
        </w:rPr>
      </w:pPr>
      <w:bookmarkStart w:id="75" w:name="_Toc15396622"/>
      <w:bookmarkStart w:id="76" w:name="_Toc9476"/>
      <w:r>
        <w:rPr>
          <w:rFonts w:hint="default" w:ascii="仿宋" w:hAnsi="仿宋" w:eastAsia="仿宋"/>
          <w:b w:val="0"/>
          <w:color w:val="auto"/>
          <w:highlight w:val="none"/>
        </w:rPr>
        <w:t>四、财政拨款收入支出决算总表</w:t>
      </w:r>
      <w:bookmarkEnd w:id="75"/>
      <w:bookmarkEnd w:id="76"/>
    </w:p>
    <w:p>
      <w:pPr>
        <w:pStyle w:val="4"/>
        <w:rPr>
          <w:rFonts w:hint="default" w:ascii="仿宋" w:hAnsi="仿宋" w:eastAsia="仿宋"/>
          <w:b w:val="0"/>
          <w:color w:val="auto"/>
          <w:highlight w:val="none"/>
        </w:rPr>
      </w:pPr>
      <w:bookmarkStart w:id="77" w:name="_Toc17724"/>
      <w:bookmarkStart w:id="78" w:name="_Toc15396623"/>
      <w:r>
        <w:rPr>
          <w:rFonts w:hint="default" w:ascii="仿宋" w:hAnsi="仿宋" w:eastAsia="仿宋"/>
          <w:b w:val="0"/>
          <w:color w:val="auto"/>
          <w:highlight w:val="none"/>
        </w:rPr>
        <w:t>五、财政拨款支出决算明细表</w:t>
      </w:r>
      <w:bookmarkEnd w:id="77"/>
      <w:bookmarkEnd w:id="78"/>
      <w:bookmarkStart w:id="79" w:name="_Toc15396624"/>
    </w:p>
    <w:p>
      <w:pPr>
        <w:pStyle w:val="4"/>
        <w:rPr>
          <w:rFonts w:hint="default" w:ascii="仿宋" w:hAnsi="仿宋" w:eastAsia="仿宋"/>
          <w:b w:val="0"/>
          <w:color w:val="auto"/>
          <w:highlight w:val="none"/>
        </w:rPr>
      </w:pPr>
      <w:bookmarkStart w:id="80" w:name="_Toc29722"/>
      <w:r>
        <w:rPr>
          <w:rFonts w:hint="default" w:ascii="仿宋" w:hAnsi="仿宋" w:eastAsia="仿宋"/>
          <w:b w:val="0"/>
          <w:color w:val="auto"/>
          <w:highlight w:val="none"/>
        </w:rPr>
        <w:t>六、一般公共预算财政拨款支出决算表</w:t>
      </w:r>
      <w:bookmarkEnd w:id="79"/>
      <w:bookmarkEnd w:id="80"/>
    </w:p>
    <w:p>
      <w:pPr>
        <w:pStyle w:val="4"/>
        <w:rPr>
          <w:rFonts w:hint="default" w:ascii="仿宋" w:hAnsi="仿宋" w:eastAsia="仿宋"/>
          <w:b w:val="0"/>
          <w:color w:val="auto"/>
          <w:highlight w:val="none"/>
        </w:rPr>
      </w:pPr>
      <w:bookmarkStart w:id="81" w:name="_Toc15396625"/>
      <w:bookmarkStart w:id="82" w:name="_Toc7330"/>
      <w:r>
        <w:rPr>
          <w:rFonts w:hint="default" w:ascii="仿宋" w:hAnsi="仿宋" w:eastAsia="仿宋"/>
          <w:b w:val="0"/>
          <w:color w:val="auto"/>
          <w:highlight w:val="none"/>
        </w:rPr>
        <w:t>七、一般公共预算财政拨款支出决算明细表</w:t>
      </w:r>
      <w:bookmarkEnd w:id="81"/>
      <w:bookmarkEnd w:id="82"/>
    </w:p>
    <w:p>
      <w:pPr>
        <w:pStyle w:val="4"/>
        <w:rPr>
          <w:rFonts w:hint="default" w:ascii="仿宋" w:hAnsi="仿宋" w:eastAsia="仿宋"/>
          <w:b w:val="0"/>
          <w:color w:val="auto"/>
          <w:highlight w:val="none"/>
        </w:rPr>
      </w:pPr>
      <w:bookmarkStart w:id="83" w:name="_Toc15396626"/>
      <w:bookmarkStart w:id="84" w:name="_Toc6296"/>
      <w:r>
        <w:rPr>
          <w:rFonts w:hint="default" w:ascii="仿宋" w:hAnsi="仿宋" w:eastAsia="仿宋"/>
          <w:b w:val="0"/>
          <w:color w:val="auto"/>
          <w:highlight w:val="none"/>
        </w:rPr>
        <w:t>八、一般公共预算财政拨款基本支出决算表</w:t>
      </w:r>
      <w:bookmarkEnd w:id="83"/>
      <w:bookmarkEnd w:id="84"/>
    </w:p>
    <w:p>
      <w:pPr>
        <w:pStyle w:val="4"/>
        <w:rPr>
          <w:rFonts w:hint="default" w:ascii="仿宋" w:hAnsi="仿宋" w:eastAsia="仿宋"/>
          <w:b w:val="0"/>
          <w:color w:val="auto"/>
          <w:highlight w:val="none"/>
        </w:rPr>
      </w:pPr>
      <w:bookmarkStart w:id="85" w:name="_Toc15396627"/>
      <w:bookmarkStart w:id="86" w:name="_Toc17722"/>
      <w:r>
        <w:rPr>
          <w:rFonts w:hint="default" w:ascii="仿宋" w:hAnsi="仿宋" w:eastAsia="仿宋"/>
          <w:b w:val="0"/>
          <w:color w:val="auto"/>
          <w:highlight w:val="none"/>
        </w:rPr>
        <w:t>九、一般公共预算财政拨款项目支出决算表</w:t>
      </w:r>
      <w:bookmarkEnd w:id="85"/>
      <w:bookmarkEnd w:id="86"/>
    </w:p>
    <w:p>
      <w:pPr>
        <w:pStyle w:val="4"/>
        <w:rPr>
          <w:rFonts w:hint="default" w:ascii="仿宋" w:hAnsi="仿宋" w:eastAsia="仿宋"/>
          <w:b w:val="0"/>
          <w:color w:val="auto"/>
          <w:highlight w:val="none"/>
        </w:rPr>
      </w:pPr>
      <w:bookmarkStart w:id="87" w:name="_Toc15396628"/>
      <w:bookmarkStart w:id="88" w:name="_Toc6712"/>
      <w:r>
        <w:rPr>
          <w:rFonts w:hint="default" w:ascii="仿宋" w:hAnsi="仿宋" w:eastAsia="仿宋"/>
          <w:b w:val="0"/>
          <w:color w:val="auto"/>
          <w:highlight w:val="none"/>
        </w:rPr>
        <w:t>十、</w:t>
      </w:r>
      <w:bookmarkEnd w:id="87"/>
      <w:r>
        <w:rPr>
          <w:rFonts w:hint="default" w:ascii="仿宋" w:hAnsi="仿宋" w:eastAsia="仿宋"/>
          <w:b w:val="0"/>
          <w:color w:val="auto"/>
          <w:highlight w:val="none"/>
        </w:rPr>
        <w:t>政府性基金预算财政拨款收入支出决算表</w:t>
      </w:r>
      <w:bookmarkEnd w:id="88"/>
    </w:p>
    <w:p>
      <w:pPr>
        <w:pStyle w:val="4"/>
        <w:rPr>
          <w:rFonts w:hint="default" w:ascii="仿宋" w:hAnsi="仿宋" w:eastAsia="仿宋"/>
          <w:b w:val="0"/>
          <w:color w:val="auto"/>
          <w:highlight w:val="none"/>
        </w:rPr>
      </w:pPr>
      <w:bookmarkStart w:id="89" w:name="_Toc15396629"/>
      <w:bookmarkStart w:id="90" w:name="_Toc5445"/>
      <w:r>
        <w:rPr>
          <w:rFonts w:hint="default" w:ascii="仿宋" w:hAnsi="仿宋" w:eastAsia="仿宋"/>
          <w:b w:val="0"/>
          <w:color w:val="auto"/>
          <w:highlight w:val="none"/>
        </w:rPr>
        <w:t>十一、</w:t>
      </w:r>
      <w:bookmarkEnd w:id="89"/>
      <w:r>
        <w:rPr>
          <w:rFonts w:hint="default" w:ascii="仿宋" w:hAnsi="仿宋" w:eastAsia="仿宋"/>
          <w:b w:val="0"/>
          <w:color w:val="auto"/>
          <w:highlight w:val="none"/>
        </w:rPr>
        <w:t>国有资本经营预算财政拨款收入支出决算表</w:t>
      </w:r>
      <w:bookmarkEnd w:id="90"/>
    </w:p>
    <w:p>
      <w:pPr>
        <w:pStyle w:val="4"/>
        <w:rPr>
          <w:rFonts w:hint="default" w:ascii="仿宋" w:hAnsi="仿宋" w:eastAsia="仿宋"/>
          <w:b w:val="0"/>
          <w:color w:val="auto"/>
          <w:highlight w:val="none"/>
        </w:rPr>
      </w:pPr>
      <w:bookmarkStart w:id="91" w:name="_Toc15396630"/>
      <w:bookmarkStart w:id="92" w:name="_Toc22007"/>
      <w:r>
        <w:rPr>
          <w:rFonts w:hint="default" w:ascii="仿宋" w:hAnsi="仿宋" w:eastAsia="仿宋"/>
          <w:b w:val="0"/>
          <w:color w:val="auto"/>
          <w:highlight w:val="none"/>
        </w:rPr>
        <w:t>十二、</w:t>
      </w:r>
      <w:bookmarkEnd w:id="91"/>
      <w:r>
        <w:rPr>
          <w:rFonts w:hint="default" w:ascii="仿宋" w:hAnsi="仿宋" w:eastAsia="仿宋"/>
          <w:b w:val="0"/>
          <w:color w:val="auto"/>
          <w:highlight w:val="none"/>
        </w:rPr>
        <w:t>国有资本经营预算财政拨款支出决算表</w:t>
      </w:r>
      <w:bookmarkEnd w:id="92"/>
    </w:p>
    <w:p>
      <w:pPr>
        <w:pStyle w:val="4"/>
        <w:rPr>
          <w:rFonts w:hint="default" w:ascii="仿宋" w:hAnsi="仿宋" w:eastAsia="仿宋"/>
          <w:b w:val="0"/>
          <w:color w:val="auto"/>
          <w:highlight w:val="none"/>
        </w:rPr>
      </w:pPr>
      <w:bookmarkStart w:id="93" w:name="_Toc15396631"/>
      <w:bookmarkStart w:id="94" w:name="_Toc24193"/>
      <w:r>
        <w:rPr>
          <w:rFonts w:hint="default" w:ascii="仿宋" w:hAnsi="仿宋" w:eastAsia="仿宋"/>
          <w:b w:val="0"/>
          <w:color w:val="auto"/>
          <w:highlight w:val="none"/>
        </w:rPr>
        <w:t>十三、</w:t>
      </w:r>
      <w:bookmarkEnd w:id="93"/>
      <w:r>
        <w:rPr>
          <w:rFonts w:hint="default" w:ascii="仿宋" w:hAnsi="仿宋" w:eastAsia="仿宋"/>
          <w:b w:val="0"/>
          <w:color w:val="auto"/>
          <w:highlight w:val="none"/>
        </w:rPr>
        <w:t>财政拨款“三公”经费支出决算表</w:t>
      </w:r>
      <w:bookmarkEnd w:id="94"/>
    </w:p>
    <w:p>
      <w:pPr>
        <w:rPr>
          <w:rFonts w:hint="default" w:ascii="Times New Roman" w:hAnsi="Times New Roman" w:cs="Times New Roman"/>
        </w:rPr>
      </w:pPr>
    </w:p>
    <w:sectPr>
      <w:footerReference r:id="rId7" w:type="first"/>
      <w:footerReference r:id="rId6"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0"/>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- 2 -</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- 2 -</w:t>
                    </w:r>
                    <w:r>
                      <w:rPr>
                        <w:rFonts w:hint="eastAsia" w:ascii="宋体" w:hAnsi="宋体" w:eastAsia="宋体" w:cs="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563603D"/>
    <w:rsid w:val="061E35DE"/>
    <w:rsid w:val="064D0CC2"/>
    <w:rsid w:val="066E0107"/>
    <w:rsid w:val="07996F6E"/>
    <w:rsid w:val="07DFD8BA"/>
    <w:rsid w:val="09867E8F"/>
    <w:rsid w:val="09D825DE"/>
    <w:rsid w:val="0A2032A3"/>
    <w:rsid w:val="0B94257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CEA50FC"/>
    <w:rsid w:val="2DF04E50"/>
    <w:rsid w:val="2E586DFA"/>
    <w:rsid w:val="2F040D46"/>
    <w:rsid w:val="2F6B035B"/>
    <w:rsid w:val="2FAE5751"/>
    <w:rsid w:val="2FB1A395"/>
    <w:rsid w:val="2FD9A7D8"/>
    <w:rsid w:val="2FDBF714"/>
    <w:rsid w:val="30AB6865"/>
    <w:rsid w:val="319F7F4E"/>
    <w:rsid w:val="32BD1EF1"/>
    <w:rsid w:val="3304709D"/>
    <w:rsid w:val="33A773CB"/>
    <w:rsid w:val="349D6851"/>
    <w:rsid w:val="35E6413B"/>
    <w:rsid w:val="36AA5135"/>
    <w:rsid w:val="36BE0DA7"/>
    <w:rsid w:val="376B6AA6"/>
    <w:rsid w:val="376D39B2"/>
    <w:rsid w:val="377B18D2"/>
    <w:rsid w:val="37E16F03"/>
    <w:rsid w:val="37F53A3B"/>
    <w:rsid w:val="385E6B8E"/>
    <w:rsid w:val="389B6C89"/>
    <w:rsid w:val="38AB7438"/>
    <w:rsid w:val="38D469F0"/>
    <w:rsid w:val="39627CCD"/>
    <w:rsid w:val="397BAF1F"/>
    <w:rsid w:val="3AB79AF3"/>
    <w:rsid w:val="3AE834C0"/>
    <w:rsid w:val="3B7EF35A"/>
    <w:rsid w:val="3B9FDB6C"/>
    <w:rsid w:val="3BF5BC2F"/>
    <w:rsid w:val="3C410359"/>
    <w:rsid w:val="3CEBA265"/>
    <w:rsid w:val="3D98207C"/>
    <w:rsid w:val="3DEE7CF3"/>
    <w:rsid w:val="3E740A63"/>
    <w:rsid w:val="3E78745D"/>
    <w:rsid w:val="3EE17838"/>
    <w:rsid w:val="3F252092"/>
    <w:rsid w:val="3F55381A"/>
    <w:rsid w:val="3F7F7599"/>
    <w:rsid w:val="3FC71D16"/>
    <w:rsid w:val="3FF4CAE0"/>
    <w:rsid w:val="3FF7B227"/>
    <w:rsid w:val="44E268DA"/>
    <w:rsid w:val="450D13D7"/>
    <w:rsid w:val="45506656"/>
    <w:rsid w:val="476B6BD2"/>
    <w:rsid w:val="47B40579"/>
    <w:rsid w:val="486A6C7A"/>
    <w:rsid w:val="4A627F82"/>
    <w:rsid w:val="4B0E749A"/>
    <w:rsid w:val="4B2477C4"/>
    <w:rsid w:val="4B4F25DA"/>
    <w:rsid w:val="4BE068DB"/>
    <w:rsid w:val="4D577224"/>
    <w:rsid w:val="4DBF1CEB"/>
    <w:rsid w:val="4DF0007C"/>
    <w:rsid w:val="4EAB630A"/>
    <w:rsid w:val="4ECE2238"/>
    <w:rsid w:val="4F833267"/>
    <w:rsid w:val="4FE9BD67"/>
    <w:rsid w:val="4FFB052F"/>
    <w:rsid w:val="51A46F68"/>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1C372F"/>
    <w:rsid w:val="5ECEC941"/>
    <w:rsid w:val="5FBF9FF3"/>
    <w:rsid w:val="5FCD4E2C"/>
    <w:rsid w:val="5FEF394A"/>
    <w:rsid w:val="5FF67715"/>
    <w:rsid w:val="62BF3928"/>
    <w:rsid w:val="63B3701E"/>
    <w:rsid w:val="647F5392"/>
    <w:rsid w:val="6494784D"/>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05465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image" Target="media/image6.emf"/><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image" Target="media/image3.emf"/><Relationship Id="rId17" Type="http://schemas.openxmlformats.org/officeDocument/2006/relationships/image" Target="media/image2.emf"/><Relationship Id="rId16" Type="http://schemas.openxmlformats.org/officeDocument/2006/relationships/image" Target="media/image1.emf"/><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360MoveData\Users\&#27754;\Documents\WeChat%20Files\wxid_ibvovbvnnxcv21\FileStorage\File\2025-09\&#20915;&#31639;&#22270;&#34920;(1)(1).et"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27754;\Desktop\&#38463;&#22365;&#24030;&#20915;&#31639;&#20844;&#24320;\3-&#22270;&#34920;&#29983;&#2510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27754;\Desktop\&#38463;&#22365;&#24030;&#20915;&#31639;&#20844;&#24320;\3-&#22270;&#34920;&#29983;&#2510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60MoveData\Users\&#27754;\Documents\WeChat%20Files\wxid_ibvovbvnnxcv21\FileStorage\File\2025-09\&#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60MoveData\Users\&#27754;\Documents\WeChat%20Files\wxid_ibvovbvnnxcv21\FileStorage\File\2025-09\&#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360MoveData\Users\&#27754;\Documents\WeChat%20Files\wxid_ibvovbvnnxcv21\FileStorage\File\2025-09\&#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360MoveData\Users\&#27754;\Documents\WeChat%20Files\wxid_ibvovbvnnxcv21\FileStorage\File\2025-09\&#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endParaRPr>
          </a:p>
          <a:p>
            <a:pPr algn="ctr" defTabSz="914400">
              <a:defRPr lang="zh-CN"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2334.05</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2334.05</a:t>
                    </a:r>
                  </a:p>
                </c:rich>
              </c:tx>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#,##0.00</c:formatCode>
                <c:ptCount val="2"/>
                <c:pt idx="0">
                  <c:v>2334.05</c:v>
                </c:pt>
                <c:pt idx="1">
                  <c:v>2334.05</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General</c:formatCode>
                <c:ptCount val="2"/>
                <c:pt idx="0">
                  <c:v>2296.15</c:v>
                </c:pt>
                <c:pt idx="1">
                  <c:v>2296.15</c:v>
                </c:pt>
              </c:numCache>
            </c:numRef>
          </c:val>
        </c:ser>
        <c:dLbls>
          <c:showLegendKey val="0"/>
          <c:showVal val="0"/>
          <c:showCatName val="0"/>
          <c:showSerName val="0"/>
          <c:showPercent val="0"/>
          <c:showBubbleSize val="0"/>
        </c:dLbls>
        <c:gapWidth val="219"/>
        <c:overlap val="-27"/>
        <c:axId val="801574680"/>
        <c:axId val="70494269"/>
      </c:barChart>
      <c:catAx>
        <c:axId val="80157468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0494269"/>
        <c:crosses val="autoZero"/>
        <c:auto val="1"/>
        <c:lblAlgn val="ctr"/>
        <c:lblOffset val="100"/>
        <c:noMultiLvlLbl val="0"/>
      </c:catAx>
      <c:valAx>
        <c:axId val="70494269"/>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1574680"/>
        <c:crosses val="autoZero"/>
        <c:crossBetween val="between"/>
      </c:valAx>
      <c:spPr>
        <a:noFill/>
        <a:ln>
          <a:noFill/>
        </a:ln>
        <a:effectLst/>
      </c:spPr>
    </c:plotArea>
    <c:legend>
      <c:legendPos val="r"/>
      <c:layout>
        <c:manualLayout>
          <c:xMode val="edge"/>
          <c:yMode val="edge"/>
          <c:x val="0.3875"/>
          <c:y val="0.9"/>
          <c:w val="0.220650636492221"/>
          <c:h val="0.0698537474468757"/>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'[3-图表生成.xlsx]Sheet1'!$I$3</c:f>
              <c:strCache>
                <c:ptCount val="1"/>
                <c:pt idx="0">
                  <c:v>一般公共预算财政拨款收入</c:v>
                </c:pt>
              </c:strCache>
            </c:strRef>
          </c:cat>
          <c:val>
            <c:numRef>
              <c:f>'[3-图表生成.xlsx]Sheet1'!$J$3</c:f>
              <c:numCache>
                <c:formatCode>General</c:formatCode>
                <c:ptCount val="1"/>
                <c:pt idx="0">
                  <c:v>2070.7</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93.5</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manualLayout>
                  <c:x val="0.108372981064183"/>
                  <c:y val="-0.020791091425825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6.5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'[3-图表生成.xlsx]Sheet1'!$O$3:$O$4</c:f>
              <c:strCache>
                <c:ptCount val="2"/>
                <c:pt idx="0">
                  <c:v>基本支出</c:v>
                </c:pt>
                <c:pt idx="1">
                  <c:v>项目支出</c:v>
                </c:pt>
              </c:strCache>
            </c:strRef>
          </c:cat>
          <c:val>
            <c:numRef>
              <c:f>'[3-图表生成.xlsx]Sheet1'!$P$3:$P$4</c:f>
              <c:numCache>
                <c:formatCode>General</c:formatCode>
                <c:ptCount val="2"/>
                <c:pt idx="0">
                  <c:v>2146.32</c:v>
                </c:pt>
                <c:pt idx="1" c:formatCode="#,##0.00">
                  <c:v>149.83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378274268104777"/>
          <c:y val="0.0851851851851852"/>
          <c:w val="0.243194658448896"/>
          <c:h val="0.116666666666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0024433585073300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2334.05</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'[决算图表(1)(1).et]Sheet1'!$E$36:$E$38</c:f>
              <c:numCache>
                <c:formatCode>#,##0.00</c:formatCode>
                <c:ptCount val="3"/>
                <c:pt idx="0">
                  <c:v>2334.05</c:v>
                </c:pt>
                <c:pt idx="1" c:formatCode="General">
                  <c:v>2296.15</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2334.05</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'[决算图表(1)(1).et]Sheet1'!$F$36:$F$38</c:f>
              <c:numCache>
                <c:formatCode>#,##0.00</c:formatCode>
                <c:ptCount val="3"/>
                <c:pt idx="0">
                  <c:v>2334.05</c:v>
                </c:pt>
                <c:pt idx="1" c:formatCode="General">
                  <c:v>2296.15</c:v>
                </c:pt>
              </c:numCache>
            </c:numRef>
          </c:val>
        </c:ser>
        <c:dLbls>
          <c:showLegendKey val="0"/>
          <c:showVal val="0"/>
          <c:showCatName val="0"/>
          <c:showSerName val="0"/>
          <c:showPercent val="0"/>
          <c:showBubbleSize val="0"/>
        </c:dLbls>
        <c:gapWidth val="219"/>
        <c:overlap val="-27"/>
        <c:axId val="492153339"/>
        <c:axId val="399053515"/>
      </c:barChart>
      <c:catAx>
        <c:axId val="492153339"/>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9053515"/>
        <c:crosses val="autoZero"/>
        <c:auto val="1"/>
        <c:lblAlgn val="ctr"/>
        <c:lblOffset val="100"/>
        <c:noMultiLvlLbl val="0"/>
      </c:catAx>
      <c:valAx>
        <c:axId val="399053515"/>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2153339"/>
        <c:crosses val="autoZero"/>
        <c:crossBetween val="between"/>
      </c:valAx>
      <c:spPr>
        <a:noFill/>
        <a:ln>
          <a:noFill/>
        </a:ln>
        <a:effectLst/>
      </c:spPr>
    </c:plotArea>
    <c:legend>
      <c:legendPos val="r"/>
      <c:layout>
        <c:manualLayout>
          <c:xMode val="edge"/>
          <c:yMode val="edge"/>
          <c:x val="0.4035"/>
          <c:y val="0.90075"/>
          <c:w val="0.189804778516683"/>
          <c:h val="0.072744908933073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5672115674405"/>
          <c:y val="0.0470002710410111"/>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2">
                  <a:lumMod val="60000"/>
                  <a:lumOff val="40000"/>
                </a:schemeClr>
              </a:solidFill>
              <a:ln>
                <a:noFill/>
              </a:ln>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solidFill>
                        <a:latin typeface="+mn-lt"/>
                        <a:ea typeface="+mn-ea"/>
                        <a:cs typeface="+mn-cs"/>
                      </a:defRPr>
                    </a:pPr>
                    <a:r>
                      <a:t>2334.05</a:t>
                    </a:r>
                  </a:p>
                </c:rich>
              </c:tx>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#,##0.00</c:formatCode>
                <c:ptCount val="2"/>
                <c:pt idx="0">
                  <c:v>2334.05</c:v>
                </c:pt>
                <c:pt idx="1" c:formatCode="General">
                  <c:v>2296.15</c:v>
                </c:pt>
              </c:numCache>
            </c:numRef>
          </c:val>
        </c:ser>
        <c:dLbls>
          <c:showLegendKey val="0"/>
          <c:showVal val="0"/>
          <c:showCatName val="0"/>
          <c:showSerName val="0"/>
          <c:showPercent val="0"/>
          <c:showBubbleSize val="0"/>
        </c:dLbls>
        <c:gapWidth val="219"/>
        <c:overlap val="-27"/>
        <c:axId val="840043582"/>
        <c:axId val="327537114"/>
      </c:barChart>
      <c:catAx>
        <c:axId val="84004358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327537114"/>
        <c:crosses val="autoZero"/>
        <c:auto val="1"/>
        <c:lblAlgn val="ctr"/>
        <c:lblOffset val="100"/>
        <c:noMultiLvlLbl val="0"/>
      </c:catAx>
      <c:valAx>
        <c:axId val="32753711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840043582"/>
        <c:crosses val="autoZero"/>
        <c:crossBetween val="between"/>
      </c:valAx>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3969849246231"/>
          <c:y val="0.0106398070648319"/>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manualLayout>
                  <c:x val="0.073115182824624"/>
                  <c:y val="-0.020515274022705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245.04, 10.7%</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12031923067344"/>
                  <c:y val="0.0035753250805325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109.06, 4.7%</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503521155006843"/>
                  <c:y val="0.023002781660099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141.03, 6.1%</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724304524523434"/>
                  <c:y val="-0.031445665940940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1801.02, 78.4%</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'[决算图表(1)(1).et]Sheet1'!$F$63:$F$66</c:f>
              <c:strCache>
                <c:ptCount val="4"/>
                <c:pt idx="0">
                  <c:v>社会保障和就业支出</c:v>
                </c:pt>
                <c:pt idx="1">
                  <c:v>卫生健康支出</c:v>
                </c:pt>
                <c:pt idx="2">
                  <c:v>住房保障支出</c:v>
                </c:pt>
                <c:pt idx="3">
                  <c:v>交通运输支出</c:v>
                </c:pt>
              </c:strCache>
            </c:strRef>
          </c:cat>
          <c:val>
            <c:numRef>
              <c:f>'[决算图表(1)(1).et]Sheet1'!$G$63:$G$66</c:f>
              <c:numCache>
                <c:formatCode>General</c:formatCode>
                <c:ptCount val="4"/>
                <c:pt idx="0">
                  <c:v>245.04</c:v>
                </c:pt>
                <c:pt idx="1">
                  <c:v>109.06</c:v>
                </c:pt>
                <c:pt idx="2">
                  <c:v>141.03</c:v>
                </c:pt>
                <c:pt idx="3">
                  <c:v>1801.02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09775"/>
          <c:y val="0.879"/>
          <c:w val="0.804531290766243"/>
          <c:h val="0.099071207430340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305844790067533"/>
                  <c:y val="-0.16056366333508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11.41, 98.</a:t>
                    </a:r>
                    <a:r>
                      <a:rPr lang="en-US" altLang="zh-CN"/>
                      <a:t>9</a:t>
                    </a:r>
                    <a:r>
                      <a:t>%</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27349008650444"/>
                  <c:y val="0.10066038399938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0.13, 1.1%</a:t>
                    </a:r>
                  </a:p>
                </c:rich>
              </c:tx>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'[决算图表(1)(1).et]Sheet1'!$B$128:$B$129</c:f>
              <c:numCache>
                <c:formatCode>General</c:formatCode>
                <c:ptCount val="2"/>
                <c:pt idx="0">
                  <c:v>11.41</c:v>
                </c:pt>
                <c:pt idx="1">
                  <c:v>0.13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103560396683466"/>
          <c:y val="0.882573726541555"/>
          <c:w val="0.797268736790766"/>
          <c:h val="0.1085790884718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27</Pages>
  <Words>6061</Words>
  <Characters>6481</Characters>
  <Lines>60</Lines>
  <Paragraphs>17</Paragraphs>
  <TotalTime>0</TotalTime>
  <ScaleCrop>false</ScaleCrop>
  <LinksUpToDate>false</LinksUpToDate>
  <CharactersWithSpaces>6664</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2025-09-18T07:42:47Z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4F51B6BD43ED49D7BCA051481A3E7C1A</vt:lpwstr>
  </property>
  <property fmtid="{D5CDD505-2E9C-101B-9397-08002B2CF9AE}" pid="4" name="KSOTemplateDocerSaveRecord">
    <vt:lpwstr>eyJoZGlkIjoiOTQ4YzFiYmUzZmUzYmRjYzJiZDIzODgyMTcxYTJiNGMiLCJ1c2VySWQiOiIzMTg5Nzk4OTQifQ==</vt:lpwstr>
  </property>
</Properties>
</file>