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hint="default" w:ascii="Times New Roman" w:hAnsi="Times New Roman" w:eastAsia="方正小标宋简体" w:cs="Times New Roman"/>
          <w:kern w:val="2"/>
          <w:sz w:val="72"/>
          <w:szCs w:val="72"/>
        </w:rPr>
      </w:pPr>
      <w:bookmarkStart w:id="0" w:name="_Toc15396475"/>
      <w:bookmarkStart w:id="1" w:name="_Toc15396597"/>
      <w:bookmarkStart w:id="2" w:name="_Toc15378441"/>
      <w:bookmarkStart w:id="3" w:name="_Toc15377193"/>
      <w:bookmarkStart w:id="4" w:name="_Toc15306267"/>
      <w:bookmarkStart w:id="5" w:name="_Toc15377425"/>
    </w:p>
    <w:p>
      <w:pPr>
        <w:pStyle w:val="2"/>
        <w:spacing w:before="93"/>
        <w:rPr>
          <w:rFonts w:hint="default" w:ascii="Times New Roman" w:hAnsi="Times New Roman" w:eastAsia="方正小标宋简体" w:cs="Times New Roman"/>
          <w:kern w:val="2"/>
          <w:sz w:val="72"/>
          <w:szCs w:val="72"/>
        </w:rPr>
      </w:pPr>
    </w:p>
    <w:p>
      <w:pPr>
        <w:pStyle w:val="2"/>
        <w:spacing w:before="93"/>
        <w:rPr>
          <w:rFonts w:hint="default" w:ascii="Times New Roman" w:hAnsi="Times New Roman" w:eastAsia="方正小标宋简体" w:cs="Times New Roman"/>
          <w:kern w:val="2"/>
          <w:sz w:val="72"/>
          <w:szCs w:val="72"/>
        </w:rPr>
      </w:pP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default" w:ascii="Times New Roman" w:hAnsi="Times New Roman" w:eastAsia="方正小标宋简体" w:cs="Times New Roman"/>
          <w:color w:val="auto"/>
          <w:kern w:val="2"/>
          <w:sz w:val="44"/>
          <w:szCs w:val="44"/>
          <w:highlight w:val="none"/>
          <w:lang w:val="en-US" w:eastAsia="zh-CN" w:bidi="ar-SA"/>
        </w:rPr>
        <w:t>2024年度阿坝藏族羌族自治州公路管理局理县公路管理分局决算</w:t>
      </w:r>
      <w:r>
        <w:rPr>
          <w:rFonts w:hint="eastAsia" w:ascii="Times New Roman" w:eastAsia="方正小标宋简体" w:cs="Times New Roman"/>
          <w:color w:val="auto"/>
          <w:kern w:val="2"/>
          <w:sz w:val="44"/>
          <w:szCs w:val="44"/>
          <w:highlight w:val="none"/>
          <w:lang w:val="en-US" w:eastAsia="zh-CN" w:bidi="ar-SA"/>
        </w:rPr>
        <w:t>公开</w:t>
      </w:r>
      <w:bookmarkStart w:id="92" w:name="_GoBack"/>
      <w:bookmarkEnd w:id="92"/>
    </w:p>
    <w:p>
      <w:pPr>
        <w:spacing w:line="600" w:lineRule="exact"/>
        <w:jc w:val="center"/>
        <w:outlineLvl w:val="9"/>
        <w:rPr>
          <w:rFonts w:hint="default" w:ascii="Times New Roman" w:hAnsi="Times New Roman" w:eastAsia="方正小标宋简体" w:cs="Times New Roman"/>
          <w:sz w:val="72"/>
          <w:szCs w:val="72"/>
        </w:rPr>
      </w:pPr>
    </w:p>
    <w:p>
      <w:pPr>
        <w:pStyle w:val="19"/>
        <w:rPr>
          <w:rFonts w:hint="default" w:ascii="Times New Roman" w:hAnsi="Times New Roman" w:cs="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pStyle w:val="2"/>
        <w:spacing w:before="93"/>
        <w:jc w:val="center"/>
        <w:rPr>
          <w:rFonts w:hint="default" w:ascii="Times New Roman" w:hAnsi="Times New Roman" w:eastAsia="方正小标宋简体" w:cs="Times New Roman"/>
          <w:kern w:val="2"/>
          <w:sz w:val="44"/>
          <w:szCs w:val="44"/>
        </w:rPr>
      </w:pPr>
    </w:p>
    <w:bookmarkEnd w:id="0"/>
    <w:bookmarkEnd w:id="1"/>
    <w:bookmarkEnd w:id="2"/>
    <w:bookmarkEnd w:id="3"/>
    <w:bookmarkEnd w:id="4"/>
    <w:bookmarkEnd w:id="5"/>
    <w:p>
      <w:pPr>
        <w:widowControl/>
        <w:jc w:val="center"/>
        <w:rPr>
          <w:rFonts w:hint="default" w:ascii="Times New Roman" w:hAnsi="Times New Roman" w:eastAsia="黑体" w:cs="Times New Roman"/>
          <w:sz w:val="48"/>
          <w:szCs w:val="48"/>
        </w:rPr>
      </w:pPr>
      <w:r>
        <w:rPr>
          <w:rFonts w:hint="default" w:ascii="Times New Roman" w:hAnsi="Times New Roman" w:eastAsia="黑体" w:cs="Times New Roman"/>
          <w:sz w:val="48"/>
          <w:szCs w:val="48"/>
        </w:rPr>
        <w:t>目录</w:t>
      </w:r>
    </w:p>
    <w:p>
      <w:pPr>
        <w:widowControl/>
        <w:jc w:val="center"/>
        <w:rPr>
          <w:rFonts w:hint="default" w:ascii="Times New Roman" w:hAnsi="Times New Roman" w:eastAsia="黑体" w:cs="Times New Roman"/>
          <w:sz w:val="28"/>
          <w:szCs w:val="28"/>
        </w:rPr>
      </w:pPr>
    </w:p>
    <w:p>
      <w:pPr>
        <w:pStyle w:val="1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公开时间：202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xml:space="preserve">年 </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 xml:space="preserve"> 月 </w:t>
      </w: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 xml:space="preserve"> 日</w:t>
      </w:r>
    </w:p>
    <w:sdt>
      <w:sdtPr>
        <w:rPr>
          <w:rFonts w:ascii="宋体" w:hAnsi="宋体" w:eastAsia="宋体" w:cs="Times New Roman"/>
          <w:kern w:val="2"/>
          <w:sz w:val="21"/>
          <w:szCs w:val="24"/>
          <w:lang w:val="en-US" w:eastAsia="zh-CN" w:bidi="ar-SA"/>
        </w:rPr>
        <w:id w:val="147475706"/>
        <w15:color w:val="DBDBDB"/>
        <w:docPartObj>
          <w:docPartGallery w:val="Table of Contents"/>
          <w:docPartUnique/>
        </w:docPartObj>
      </w:sdtPr>
      <w:sdtEndPr>
        <w:rPr>
          <w:rFonts w:hint="default" w:ascii="Times New Roman" w:hAnsi="Times New Roman" w:eastAsia="宋体" w:cs="Times New Roman"/>
          <w:kern w:val="2"/>
          <w:sz w:val="21"/>
          <w:szCs w:val="24"/>
          <w:lang w:val="en-US" w:eastAsia="zh-CN" w:bidi="ar-SA"/>
        </w:rPr>
      </w:sdtEndPr>
      <w:sdtContent>
        <w:p>
          <w:pPr>
            <w:spacing w:before="0" w:beforeLines="0" w:after="0" w:afterLines="0" w:line="360" w:lineRule="auto"/>
            <w:ind w:left="0" w:leftChars="0" w:right="0" w:rightChars="0" w:firstLine="0" w:firstLineChars="0"/>
            <w:jc w:val="center"/>
          </w:pPr>
        </w:p>
        <w:p>
          <w:pPr>
            <w:pStyle w:val="12"/>
            <w:tabs>
              <w:tab w:val="right" w:leader="dot" w:pos="8306"/>
              <w:tab w:val="clear" w:pos="8296"/>
            </w:tabs>
            <w:spacing w:line="360" w:lineRule="auto"/>
            <w:rPr>
              <w:rFonts w:hint="eastAsia" w:ascii="仿宋" w:hAnsi="仿宋" w:eastAsia="仿宋" w:cs="仿宋"/>
              <w:sz w:val="28"/>
              <w:szCs w:val="28"/>
            </w:rPr>
          </w:pPr>
          <w:r>
            <w:rPr>
              <w:rFonts w:hint="default"/>
            </w:rPr>
            <w:fldChar w:fldCharType="begin"/>
          </w:r>
          <w:r>
            <w:rPr>
              <w:rFonts w:hint="default"/>
            </w:rPr>
            <w:instrText xml:space="preserve">TOC \o "1-2" \h \u </w:instrText>
          </w:r>
          <w:r>
            <w:rPr>
              <w:rFonts w:hint="default"/>
            </w:rPr>
            <w:fldChar w:fldCharType="separate"/>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_Toc22983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xml:space="preserve">第一部分  </w:t>
          </w:r>
          <w:r>
            <w:rPr>
              <w:rFonts w:hint="eastAsia" w:ascii="仿宋" w:hAnsi="仿宋" w:eastAsia="仿宋" w:cs="仿宋"/>
              <w:b/>
              <w:bCs/>
              <w:sz w:val="28"/>
              <w:szCs w:val="28"/>
              <w:lang w:val="en-US" w:eastAsia="zh-CN"/>
            </w:rPr>
            <w:t>单位</w:t>
          </w:r>
          <w:r>
            <w:rPr>
              <w:rFonts w:hint="eastAsia" w:ascii="仿宋" w:hAnsi="仿宋" w:eastAsia="仿宋" w:cs="仿宋"/>
              <w:b/>
              <w:bCs/>
              <w:sz w:val="28"/>
              <w:szCs w:val="28"/>
            </w:rPr>
            <w:t>概况</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_Toc22983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- 4 -</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_Toc22104 </w:instrText>
          </w:r>
          <w:r>
            <w:rPr>
              <w:rFonts w:hint="eastAsia" w:ascii="仿宋" w:hAnsi="仿宋" w:eastAsia="仿宋" w:cs="仿宋"/>
              <w:sz w:val="28"/>
              <w:szCs w:val="28"/>
            </w:rPr>
            <w:fldChar w:fldCharType="separate"/>
          </w:r>
          <w:r>
            <w:rPr>
              <w:rFonts w:hint="eastAsia" w:ascii="仿宋" w:hAnsi="仿宋" w:eastAsia="仿宋" w:cs="仿宋"/>
              <w:sz w:val="28"/>
              <w:szCs w:val="28"/>
            </w:rPr>
            <w:t>一、</w:t>
          </w:r>
          <w:r>
            <w:rPr>
              <w:rFonts w:hint="eastAsia" w:ascii="仿宋" w:hAnsi="仿宋" w:eastAsia="仿宋" w:cs="仿宋"/>
              <w:sz w:val="28"/>
              <w:szCs w:val="28"/>
              <w:lang w:val="en-US" w:eastAsia="zh-CN"/>
            </w:rPr>
            <w:t>主要</w:t>
          </w:r>
          <w:r>
            <w:rPr>
              <w:rFonts w:hint="eastAsia" w:ascii="仿宋" w:hAnsi="仿宋" w:eastAsia="仿宋" w:cs="仿宋"/>
              <w:sz w:val="28"/>
              <w:szCs w:val="28"/>
            </w:rPr>
            <w:t>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_Toc22104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_Toc25054 </w:instrText>
          </w:r>
          <w:r>
            <w:rPr>
              <w:rFonts w:hint="eastAsia" w:ascii="仿宋" w:hAnsi="仿宋" w:eastAsia="仿宋" w:cs="仿宋"/>
              <w:sz w:val="28"/>
              <w:szCs w:val="28"/>
            </w:rPr>
            <w:fldChar w:fldCharType="separate"/>
          </w:r>
          <w:r>
            <w:rPr>
              <w:rFonts w:hint="eastAsia" w:ascii="仿宋" w:hAnsi="仿宋" w:eastAsia="仿宋" w:cs="仿宋"/>
              <w:sz w:val="28"/>
              <w:szCs w:val="28"/>
            </w:rPr>
            <w:t>二、机</w:t>
          </w:r>
          <w:r>
            <w:rPr>
              <w:rFonts w:hint="eastAsia" w:ascii="仿宋" w:hAnsi="仿宋" w:eastAsia="仿宋" w:cs="仿宋"/>
              <w:bCs w:val="0"/>
              <w:sz w:val="28"/>
              <w:szCs w:val="28"/>
            </w:rPr>
            <w:t>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_Toc25054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_Toc25166 </w:instrText>
          </w:r>
          <w:r>
            <w:rPr>
              <w:rFonts w:hint="eastAsia" w:ascii="仿宋" w:hAnsi="仿宋" w:eastAsia="仿宋" w:cs="仿宋"/>
              <w:sz w:val="28"/>
              <w:szCs w:val="28"/>
            </w:rPr>
            <w:fldChar w:fldCharType="separate"/>
          </w:r>
          <w:r>
            <w:rPr>
              <w:rFonts w:hint="eastAsia" w:ascii="仿宋" w:hAnsi="仿宋" w:eastAsia="仿宋" w:cs="仿宋"/>
              <w:b/>
              <w:bCs/>
              <w:sz w:val="28"/>
              <w:szCs w:val="28"/>
            </w:rPr>
            <w:t>第二部分  2024年度部门决算情况说明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_Toc25166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_Toc17383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一、收入支出决算总体情况说明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_Toc17383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- 5 -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_Toc21137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二、收入决算情况说明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_Toc21137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- 5 -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_Toc14246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三、支出决算情况说明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_Toc14246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- 6 -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_Toc4826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四、财政拨款收入支出决算总体情况说明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_Toc4826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- 6 -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_Toc26832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五、一般公共预算财政拨款支出决算情况说明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_Toc26832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- 7 -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_Toc23403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六、一般公共预算财政拨款基本支出决算情况说明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_Toc23403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- 9 -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_Toc25747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七、财政拨款“三公”经费支出决算情况说明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_Toc25747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- 10 -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_Toc10975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八、政府性基金预算支出决算情况说明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_Toc10975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- 11 -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_Toc25759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九、国有资本经营预算支出决算情况说明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_Toc25759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- 12 -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_Toc15266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十、其他重要事项的情况说明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_Toc15266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- 12 -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2"/>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_Toc27460 </w:instrText>
          </w:r>
          <w:r>
            <w:rPr>
              <w:rFonts w:hint="eastAsia" w:ascii="仿宋" w:hAnsi="仿宋" w:eastAsia="仿宋" w:cs="仿宋"/>
              <w:sz w:val="28"/>
              <w:szCs w:val="28"/>
            </w:rPr>
            <w:fldChar w:fldCharType="separate"/>
          </w:r>
          <w:r>
            <w:rPr>
              <w:rFonts w:hint="eastAsia" w:ascii="仿宋" w:hAnsi="仿宋" w:eastAsia="仿宋" w:cs="仿宋"/>
              <w:b/>
              <w:bCs/>
              <w:sz w:val="28"/>
              <w:szCs w:val="28"/>
            </w:rPr>
            <w:t>第三部分  名词解释</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_Toc27460 \h </w:instrText>
          </w:r>
          <w:r>
            <w:rPr>
              <w:rFonts w:hint="eastAsia" w:ascii="仿宋" w:hAnsi="仿宋" w:eastAsia="仿宋" w:cs="仿宋"/>
              <w:sz w:val="28"/>
              <w:szCs w:val="28"/>
            </w:rPr>
            <w:fldChar w:fldCharType="separate"/>
          </w:r>
          <w:r>
            <w:rPr>
              <w:rFonts w:hint="eastAsia" w:ascii="仿宋" w:hAnsi="仿宋" w:eastAsia="仿宋" w:cs="仿宋"/>
              <w:sz w:val="28"/>
              <w:szCs w:val="28"/>
            </w:rPr>
            <w:t>- 14 -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_Toc14860 </w:instrText>
          </w:r>
          <w:r>
            <w:rPr>
              <w:rFonts w:hint="eastAsia" w:ascii="仿宋" w:hAnsi="仿宋" w:eastAsia="仿宋" w:cs="仿宋"/>
              <w:sz w:val="28"/>
              <w:szCs w:val="28"/>
            </w:rPr>
            <w:fldChar w:fldCharType="separate"/>
          </w:r>
          <w:r>
            <w:rPr>
              <w:rFonts w:hint="eastAsia" w:ascii="仿宋" w:hAnsi="仿宋" w:eastAsia="仿宋" w:cs="仿宋"/>
              <w:b/>
              <w:bCs/>
              <w:sz w:val="28"/>
              <w:szCs w:val="28"/>
            </w:rPr>
            <w:t>第四部分  附件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_Toc14860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_Toc409 </w:instrText>
          </w:r>
          <w:r>
            <w:rPr>
              <w:rFonts w:hint="eastAsia" w:ascii="仿宋" w:hAnsi="仿宋" w:eastAsia="仿宋" w:cs="仿宋"/>
              <w:sz w:val="28"/>
              <w:szCs w:val="28"/>
            </w:rPr>
            <w:fldChar w:fldCharType="separate"/>
          </w:r>
          <w:r>
            <w:rPr>
              <w:rFonts w:hint="eastAsia" w:ascii="仿宋" w:hAnsi="仿宋" w:eastAsia="仿宋" w:cs="仿宋"/>
              <w:b/>
              <w:bCs/>
              <w:sz w:val="28"/>
              <w:szCs w:val="28"/>
            </w:rPr>
            <w:t>第五部分 附表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_Toc409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_Toc26740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_Toc26740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_Toc12238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_Toc12238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_Toc2228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三、支出决算表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_Toc2228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_Toc18706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_Toc18706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_Toc24311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_Toc24311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_Toc12219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_Toc12219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_Toc32710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七、一般公共预算财政拨款支出决算明细表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_Toc32710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_Toc7054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八、一般公共预算财政拨款基本支出决算表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_Toc7054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_Toc27567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九、一般公共预算财政拨款项目支出决算表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_Toc27567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_Toc31571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十、政府性基金预算财政拨款收入支出决算表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_Toc31571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_Toc19711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十一、国有资本经营预算财政拨款收入支出决算表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_Toc19711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_Toc5157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十二、国有资本经营预算财政拨款支出决算表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_Toc5157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_Toc4192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十三、财政拨款“三公”经费支出决算表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_Toc4192 \h </w:instrText>
          </w:r>
          <w:r>
            <w:rPr>
              <w:rFonts w:hint="eastAsia" w:ascii="仿宋" w:hAnsi="仿宋" w:eastAsia="仿宋" w:cs="仿宋"/>
              <w:sz w:val="28"/>
              <w:szCs w:val="28"/>
            </w:rPr>
            <w:fldChar w:fldCharType="separate"/>
          </w:r>
          <w:r>
            <w:rPr>
              <w:rFonts w:hint="eastAsia" w:ascii="仿宋" w:hAnsi="仿宋" w:eastAsia="仿宋" w:cs="仿宋"/>
              <w:sz w:val="28"/>
              <w:szCs w:val="28"/>
            </w:rPr>
            <w:t>- 25 -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spacing w:line="360" w:lineRule="auto"/>
            <w:rPr>
              <w:rFonts w:hint="default" w:ascii="Times New Roman" w:hAnsi="Times New Roman" w:eastAsia="宋体" w:cs="Times New Roman"/>
              <w:kern w:val="2"/>
              <w:sz w:val="21"/>
              <w:szCs w:val="24"/>
              <w:lang w:val="en-US" w:eastAsia="zh-CN" w:bidi="ar-SA"/>
            </w:rPr>
          </w:pPr>
          <w:r>
            <w:rPr>
              <w:rFonts w:hint="default"/>
            </w:rPr>
            <w:fldChar w:fldCharType="end"/>
          </w:r>
        </w:p>
      </w:sdtContent>
    </w:sdt>
    <w:p>
      <w:pPr>
        <w:widowControl/>
        <w:spacing w:line="560" w:lineRule="exact"/>
        <w:jc w:val="left"/>
        <w:rPr>
          <w:rFonts w:hint="default" w:ascii="Times New Roman" w:hAnsi="Times New Roman" w:eastAsia="仿宋_GB2312" w:cs="Times New Roman"/>
          <w:bCs/>
          <w:kern w:val="44"/>
          <w:sz w:val="32"/>
          <w:szCs w:val="32"/>
        </w:rPr>
      </w:pPr>
      <w:bookmarkStart w:id="6" w:name="_Toc15396599"/>
      <w:bookmarkStart w:id="7" w:name="_Toc15377196"/>
      <w:r>
        <w:rPr>
          <w:rFonts w:hint="default" w:ascii="Times New Roman" w:hAnsi="Times New Roman" w:eastAsia="仿宋_GB2312" w:cs="Times New Roman"/>
          <w:b/>
          <w:sz w:val="32"/>
          <w:szCs w:val="32"/>
        </w:rPr>
        <w:br w:type="page"/>
      </w:r>
    </w:p>
    <w:p>
      <w:pPr>
        <w:pStyle w:val="3"/>
        <w:jc w:val="center"/>
        <w:rPr>
          <w:rStyle w:val="28"/>
          <w:rFonts w:hint="default" w:ascii="Times New Roman" w:hAnsi="Times New Roman" w:eastAsia="方正小标宋简体" w:cs="Times New Roman"/>
          <w:b/>
          <w:bCs w:val="0"/>
        </w:rPr>
      </w:pPr>
      <w:bookmarkStart w:id="8" w:name="_Toc22983"/>
      <w:r>
        <w:rPr>
          <w:rFonts w:hint="default" w:ascii="Times New Roman" w:hAnsi="Times New Roman" w:eastAsia="方正小标宋简体" w:cs="Times New Roman"/>
          <w:b w:val="0"/>
        </w:rPr>
        <w:t xml:space="preserve">第一部分  </w:t>
      </w:r>
      <w:r>
        <w:rPr>
          <w:rStyle w:val="28"/>
          <w:rFonts w:hint="default" w:ascii="Times New Roman" w:hAnsi="Times New Roman" w:eastAsia="方正小标宋简体" w:cs="Times New Roman"/>
          <w:b w:val="0"/>
          <w:bCs w:val="0"/>
          <w:lang w:val="en-US" w:eastAsia="zh-CN"/>
        </w:rPr>
        <w:t>单位</w:t>
      </w:r>
      <w:r>
        <w:rPr>
          <w:rStyle w:val="28"/>
          <w:rFonts w:hint="default" w:ascii="Times New Roman" w:hAnsi="Times New Roman" w:eastAsia="方正小标宋简体" w:cs="Times New Roman"/>
          <w:b w:val="0"/>
          <w:bCs w:val="0"/>
        </w:rPr>
        <w:t>概况</w:t>
      </w:r>
      <w:bookmarkEnd w:id="6"/>
      <w:bookmarkEnd w:id="7"/>
      <w:bookmarkEnd w:id="8"/>
    </w:p>
    <w:p>
      <w:pPr>
        <w:pStyle w:val="4"/>
        <w:numPr>
          <w:ilvl w:val="0"/>
          <w:numId w:val="1"/>
        </w:numPr>
        <w:rPr>
          <w:rFonts w:hint="default" w:ascii="Times New Roman" w:hAnsi="Times New Roman" w:eastAsia="黑体" w:cs="Times New Roman"/>
          <w:b w:val="0"/>
        </w:rPr>
      </w:pPr>
      <w:bookmarkStart w:id="9" w:name="_Toc22104"/>
      <w:r>
        <w:rPr>
          <w:rFonts w:hint="default" w:ascii="Times New Roman" w:hAnsi="Times New Roman" w:eastAsia="黑体" w:cs="Times New Roman"/>
          <w:b w:val="0"/>
          <w:lang w:val="en-US" w:eastAsia="zh-CN"/>
        </w:rPr>
        <w:t>主要</w:t>
      </w:r>
      <w:r>
        <w:rPr>
          <w:rFonts w:hint="default" w:ascii="Times New Roman" w:hAnsi="Times New Roman" w:eastAsia="黑体" w:cs="Times New Roman"/>
          <w:b w:val="0"/>
        </w:rPr>
        <w:t>职责</w:t>
      </w:r>
      <w:bookmarkEnd w:id="9"/>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主要职能“贯彻执行国家公路管理法律法规，负责下辖的公路建设管理和维护，确保公路的完好和畅通”资金来源为：阿坝州财政局全额拨款，执行《事业单位财务制度》《事业单位会计制度》和《政府会计制度》。</w:t>
      </w:r>
    </w:p>
    <w:p>
      <w:pPr>
        <w:pStyle w:val="4"/>
        <w:rPr>
          <w:rStyle w:val="29"/>
          <w:rFonts w:hint="default" w:ascii="Times New Roman" w:hAnsi="Times New Roman" w:cs="Times New Roman"/>
          <w:b w:val="0"/>
          <w:bCs w:val="0"/>
        </w:rPr>
      </w:pPr>
      <w:bookmarkStart w:id="10" w:name="_Toc15396601"/>
      <w:bookmarkStart w:id="11" w:name="_Toc15377200"/>
      <w:bookmarkStart w:id="12" w:name="_Toc25054"/>
      <w:r>
        <w:rPr>
          <w:rFonts w:hint="default" w:ascii="Times New Roman" w:hAnsi="Times New Roman" w:eastAsia="黑体" w:cs="Times New Roman"/>
          <w:b w:val="0"/>
        </w:rPr>
        <w:t>二、机</w:t>
      </w:r>
      <w:r>
        <w:rPr>
          <w:rStyle w:val="29"/>
          <w:rFonts w:hint="default" w:ascii="Times New Roman" w:hAnsi="Times New Roman" w:eastAsia="黑体" w:cs="Times New Roman"/>
          <w:b w:val="0"/>
          <w:bCs w:val="0"/>
        </w:rPr>
        <w:t>构设置</w:t>
      </w:r>
      <w:bookmarkEnd w:id="10"/>
      <w:bookmarkEnd w:id="11"/>
      <w:bookmarkEnd w:id="12"/>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阿坝藏族羌族自治州公路管理局理县公路管理分局，因“管理体制改革”，由原“阿坝藏族羌族自治州公路管理局理县公路管理分局”隶属于阿坝藏族羌族自治州公路局；内设党支部办公室、行政办公室、工程股、财务股、机料股、劳动人事股、路政保卫股（两室五股）以及下设薛城养护中心、狮子坪应急保通中心两个公路管理养护站。</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br w:type="page"/>
      </w:r>
    </w:p>
    <w:p>
      <w:pPr>
        <w:pStyle w:val="3"/>
        <w:jc w:val="center"/>
        <w:rPr>
          <w:rFonts w:hint="default" w:ascii="Times New Roman" w:hAnsi="Times New Roman" w:eastAsia="方正小标宋简体" w:cs="Times New Roman"/>
          <w:b w:val="0"/>
        </w:rPr>
      </w:pPr>
      <w:bookmarkStart w:id="13" w:name="_Toc15396602"/>
      <w:bookmarkStart w:id="14" w:name="_Toc25166"/>
      <w:bookmarkStart w:id="15" w:name="_Toc15377204"/>
      <w:r>
        <w:rPr>
          <w:rFonts w:hint="default" w:ascii="Times New Roman" w:hAnsi="Times New Roman" w:eastAsia="方正小标宋简体" w:cs="Times New Roman"/>
          <w:b w:val="0"/>
        </w:rPr>
        <w:t>第二部分  2024年度部门决算情况说明</w:t>
      </w:r>
      <w:bookmarkEnd w:id="13"/>
      <w:bookmarkEnd w:id="14"/>
      <w:bookmarkEnd w:id="15"/>
    </w:p>
    <w:p>
      <w:pPr>
        <w:pStyle w:val="27"/>
        <w:spacing w:line="600" w:lineRule="exact"/>
        <w:ind w:firstLine="640"/>
        <w:outlineLvl w:val="1"/>
        <w:rPr>
          <w:rStyle w:val="29"/>
          <w:rFonts w:hint="default" w:ascii="Times New Roman" w:hAnsi="Times New Roman" w:eastAsia="黑体" w:cs="Times New Roman"/>
          <w:b w:val="0"/>
        </w:rPr>
      </w:pPr>
      <w:bookmarkStart w:id="16" w:name="_Toc15377205"/>
      <w:bookmarkStart w:id="17" w:name="_Toc17383"/>
      <w:bookmarkStart w:id="18" w:name="_Toc15396603"/>
      <w:r>
        <w:rPr>
          <w:rFonts w:hint="default" w:ascii="Times New Roman" w:hAnsi="Times New Roman" w:eastAsia="黑体" w:cs="Times New Roman"/>
          <w:sz w:val="32"/>
          <w:szCs w:val="32"/>
        </w:rPr>
        <w:t>一、收</w:t>
      </w:r>
      <w:r>
        <w:rPr>
          <w:rStyle w:val="29"/>
          <w:rFonts w:hint="default" w:ascii="Times New Roman" w:hAnsi="Times New Roman" w:eastAsia="黑体" w:cs="Times New Roman"/>
          <w:b w:val="0"/>
        </w:rPr>
        <w:t>入支出决算总体情况说明</w:t>
      </w:r>
      <w:bookmarkEnd w:id="16"/>
      <w:bookmarkEnd w:id="17"/>
      <w:bookmarkEnd w:id="18"/>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2024年度收入、支出总计均为5939.81万元。与2023年度相比，收入、支出总计</w:t>
      </w:r>
      <w:r>
        <w:rPr>
          <w:rFonts w:hint="eastAsia" w:eastAsia="仿宋_GB2312" w:cs="Times New Roman"/>
          <w:sz w:val="32"/>
          <w:szCs w:val="32"/>
          <w:lang w:val="en-US" w:eastAsia="zh-CN"/>
        </w:rPr>
        <w:t>增加1884.86</w:t>
      </w:r>
      <w:r>
        <w:rPr>
          <w:rFonts w:hint="default" w:ascii="Times New Roman" w:hAnsi="Times New Roman" w:eastAsia="仿宋_GB2312" w:cs="Times New Roman"/>
          <w:sz w:val="32"/>
          <w:szCs w:val="32"/>
          <w:lang w:val="en-US" w:eastAsia="zh-CN"/>
        </w:rPr>
        <w:t>万元，</w:t>
      </w:r>
      <w:r>
        <w:rPr>
          <w:rFonts w:hint="eastAsia" w:eastAsia="仿宋_GB2312" w:cs="Times New Roman"/>
          <w:sz w:val="32"/>
          <w:szCs w:val="32"/>
          <w:lang w:val="en-US" w:eastAsia="zh-CN"/>
        </w:rPr>
        <w:t>增长46.5</w:t>
      </w:r>
      <w:r>
        <w:rPr>
          <w:rFonts w:hint="default" w:ascii="Times New Roman" w:hAnsi="Times New Roman" w:eastAsia="仿宋_GB2312" w:cs="Times New Roman"/>
          <w:sz w:val="32"/>
          <w:szCs w:val="32"/>
          <w:lang w:val="en-US" w:eastAsia="zh-CN"/>
        </w:rPr>
        <w:t>%。主要变动原因是本年收入增加。</w:t>
      </w:r>
    </w:p>
    <w:p>
      <w:pPr>
        <w:jc w:val="center"/>
        <w:rPr>
          <w:rFonts w:hint="default" w:ascii="Times New Roman" w:hAnsi="Times New Roman" w:eastAsia="仿宋_GB2312" w:cs="Times New Roman"/>
          <w:sz w:val="32"/>
          <w:szCs w:val="32"/>
        </w:rPr>
      </w:pPr>
      <w:r>
        <w:drawing>
          <wp:inline distT="0" distB="0" distL="114300" distR="114300">
            <wp:extent cx="5012055" cy="2753360"/>
            <wp:effectExtent l="4445" t="4445" r="12700" b="1079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default" w:ascii="Times New Roman" w:hAnsi="Times New Roman" w:eastAsia="仿宋_GB2312" w:cs="Times New Roman"/>
          <w:sz w:val="32"/>
          <w:szCs w:val="32"/>
        </w:rPr>
        <w:t>（图1：收入、支出决算总计变动情况图）</w:t>
      </w:r>
    </w:p>
    <w:p>
      <w:pPr>
        <w:pStyle w:val="27"/>
        <w:spacing w:line="600" w:lineRule="exact"/>
        <w:ind w:firstLine="640"/>
        <w:outlineLvl w:val="1"/>
        <w:rPr>
          <w:rFonts w:hint="default" w:ascii="Times New Roman" w:hAnsi="Times New Roman" w:eastAsia="黑体" w:cs="Times New Roman"/>
          <w:sz w:val="32"/>
          <w:szCs w:val="32"/>
        </w:rPr>
      </w:pPr>
      <w:bookmarkStart w:id="19" w:name="_Toc15396604"/>
      <w:bookmarkStart w:id="20" w:name="_Toc15377206"/>
      <w:bookmarkStart w:id="21" w:name="_Toc21137"/>
      <w:r>
        <w:rPr>
          <w:rFonts w:hint="default" w:ascii="Times New Roman" w:hAnsi="Times New Roman" w:eastAsia="黑体" w:cs="Times New Roman"/>
          <w:sz w:val="32"/>
          <w:szCs w:val="32"/>
        </w:rPr>
        <w:t>二、收入决算情况说明</w:t>
      </w:r>
      <w:bookmarkEnd w:id="19"/>
      <w:bookmarkEnd w:id="20"/>
      <w:bookmarkEnd w:id="21"/>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2024年度本年收入合计5786.43万元，其中：一般公共预算财政拨款收入5786.43万元，占100%。</w:t>
      </w:r>
    </w:p>
    <w:p>
      <w:pPr>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drawing>
          <wp:anchor distT="0" distB="0" distL="114300" distR="114300" simplePos="0" relativeHeight="251659264" behindDoc="0" locked="0" layoutInCell="1" allowOverlap="1">
            <wp:simplePos x="0" y="0"/>
            <wp:positionH relativeFrom="column">
              <wp:posOffset>762000</wp:posOffset>
            </wp:positionH>
            <wp:positionV relativeFrom="paragraph">
              <wp:posOffset>75565</wp:posOffset>
            </wp:positionV>
            <wp:extent cx="3836670" cy="2522220"/>
            <wp:effectExtent l="4445" t="4445" r="14605" b="18415"/>
            <wp:wrapTopAndBottom/>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default" w:ascii="Times New Roman" w:hAnsi="Times New Roman" w:eastAsia="仿宋_GB2312" w:cs="Times New Roman"/>
          <w:sz w:val="32"/>
          <w:szCs w:val="32"/>
          <w:lang w:val="en-US" w:eastAsia="zh-CN"/>
        </w:rPr>
        <w:t>（图2：收入决算结构图）</w:t>
      </w:r>
    </w:p>
    <w:p>
      <w:pPr>
        <w:pStyle w:val="27"/>
        <w:spacing w:line="600" w:lineRule="exact"/>
        <w:ind w:firstLine="640"/>
        <w:outlineLvl w:val="1"/>
        <w:rPr>
          <w:rStyle w:val="29"/>
          <w:rFonts w:hint="default" w:ascii="Times New Roman" w:hAnsi="Times New Roman" w:eastAsia="黑体" w:cs="Times New Roman"/>
          <w:b w:val="0"/>
        </w:rPr>
      </w:pPr>
      <w:bookmarkStart w:id="22" w:name="_Toc15396605"/>
      <w:bookmarkStart w:id="23" w:name="_Toc14246"/>
      <w:bookmarkStart w:id="24" w:name="_Toc15377207"/>
      <w:r>
        <w:rPr>
          <w:rFonts w:hint="default" w:ascii="Times New Roman" w:hAnsi="Times New Roman" w:eastAsia="黑体" w:cs="Times New Roman"/>
          <w:sz w:val="32"/>
          <w:szCs w:val="32"/>
        </w:rPr>
        <w:t>三、支</w:t>
      </w:r>
      <w:r>
        <w:rPr>
          <w:rStyle w:val="29"/>
          <w:rFonts w:hint="default" w:ascii="Times New Roman" w:hAnsi="Times New Roman" w:eastAsia="黑体" w:cs="Times New Roman"/>
          <w:b w:val="0"/>
        </w:rPr>
        <w:t>出决算情况说明</w:t>
      </w:r>
      <w:bookmarkEnd w:id="22"/>
      <w:bookmarkEnd w:id="23"/>
      <w:bookmarkEnd w:id="24"/>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2024年度本年支出合计5798.72万元，其中：基本支出2280.61万元，占</w:t>
      </w:r>
      <w:r>
        <w:rPr>
          <w:rFonts w:hint="eastAsia" w:eastAsia="仿宋_GB2312" w:cs="Times New Roman"/>
          <w:sz w:val="32"/>
          <w:szCs w:val="32"/>
          <w:lang w:val="en-US" w:eastAsia="zh-CN"/>
        </w:rPr>
        <w:t>39.3</w:t>
      </w:r>
      <w:r>
        <w:rPr>
          <w:rFonts w:hint="default" w:ascii="Times New Roman" w:hAnsi="Times New Roman" w:eastAsia="仿宋_GB2312" w:cs="Times New Roman"/>
          <w:sz w:val="32"/>
          <w:szCs w:val="32"/>
        </w:rPr>
        <w:t>%；项目支出3518.1</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60.7</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ind w:firstLine="525" w:firstLineChars="250"/>
        <w:jc w:val="center"/>
        <w:rPr>
          <w:rFonts w:hint="default" w:ascii="Times New Roman" w:hAnsi="Times New Roman" w:eastAsia="仿宋_GB2312" w:cs="Times New Roman"/>
          <w:sz w:val="32"/>
          <w:szCs w:val="32"/>
        </w:rPr>
      </w:pPr>
      <w:r>
        <w:drawing>
          <wp:inline distT="0" distB="0" distL="114300" distR="114300">
            <wp:extent cx="4756150" cy="2667000"/>
            <wp:effectExtent l="4445" t="5080" r="14605" b="762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default" w:ascii="Times New Roman" w:hAnsi="Times New Roman" w:eastAsia="仿宋_GB2312" w:cs="Times New Roman"/>
          <w:sz w:val="32"/>
          <w:szCs w:val="32"/>
        </w:rPr>
        <w:t>（图3：支出决算结构图）</w:t>
      </w:r>
    </w:p>
    <w:p>
      <w:pPr>
        <w:spacing w:line="600" w:lineRule="exact"/>
        <w:ind w:firstLine="640" w:firstLineChars="200"/>
        <w:outlineLvl w:val="1"/>
        <w:rPr>
          <w:rStyle w:val="29"/>
          <w:rFonts w:hint="default" w:ascii="Times New Roman" w:hAnsi="Times New Roman" w:eastAsia="黑体" w:cs="Times New Roman"/>
          <w:b w:val="0"/>
        </w:rPr>
      </w:pPr>
      <w:bookmarkStart w:id="25" w:name="_Toc15396606"/>
      <w:bookmarkStart w:id="26" w:name="_Toc4826"/>
      <w:bookmarkStart w:id="27" w:name="_Toc15377208"/>
      <w:r>
        <w:rPr>
          <w:rFonts w:hint="default" w:ascii="Times New Roman" w:hAnsi="Times New Roman" w:eastAsia="黑体" w:cs="Times New Roman"/>
          <w:sz w:val="32"/>
          <w:szCs w:val="32"/>
        </w:rPr>
        <w:t>四、财</w:t>
      </w:r>
      <w:r>
        <w:rPr>
          <w:rStyle w:val="29"/>
          <w:rFonts w:hint="default" w:ascii="Times New Roman" w:hAnsi="Times New Roman" w:eastAsia="黑体" w:cs="Times New Roman"/>
          <w:b w:val="0"/>
        </w:rPr>
        <w:t>政拨款收入支出决算总体情况说明</w:t>
      </w:r>
      <w:bookmarkEnd w:id="25"/>
      <w:bookmarkEnd w:id="26"/>
      <w:bookmarkEnd w:id="27"/>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2024年度财政拨款收入、支出总计均为5928.53万元。与2023年度相比，财政拨款收入总计、支出总计</w:t>
      </w:r>
      <w:r>
        <w:rPr>
          <w:rFonts w:hint="default" w:ascii="Times New Roman" w:hAnsi="Times New Roman" w:eastAsia="仿宋_GB2312" w:cs="Times New Roman"/>
          <w:sz w:val="32"/>
          <w:szCs w:val="32"/>
          <w:lang w:val="en-US" w:eastAsia="zh-CN"/>
        </w:rPr>
        <w:t>各</w:t>
      </w:r>
      <w:r>
        <w:rPr>
          <w:rFonts w:hint="eastAsia" w:eastAsia="仿宋_GB2312" w:cs="Times New Roman"/>
          <w:sz w:val="32"/>
          <w:szCs w:val="32"/>
          <w:lang w:val="en-US" w:eastAsia="zh-CN"/>
        </w:rPr>
        <w:t>增加</w:t>
      </w:r>
      <w:r>
        <w:rPr>
          <w:rFonts w:hint="default" w:ascii="Times New Roman" w:hAnsi="Times New Roman" w:eastAsia="仿宋_GB2312" w:cs="Times New Roman"/>
          <w:sz w:val="32"/>
          <w:szCs w:val="32"/>
        </w:rPr>
        <w:t>1884.86万元，</w:t>
      </w:r>
      <w:r>
        <w:rPr>
          <w:rFonts w:hint="eastAsia" w:eastAsia="仿宋_GB2312" w:cs="Times New Roman"/>
          <w:sz w:val="32"/>
          <w:szCs w:val="32"/>
          <w:lang w:val="en-US" w:eastAsia="zh-CN"/>
        </w:rPr>
        <w:t>增长46.6</w:t>
      </w:r>
      <w:r>
        <w:rPr>
          <w:rFonts w:hint="default" w:ascii="Times New Roman" w:hAnsi="Times New Roman" w:eastAsia="仿宋_GB2312" w:cs="Times New Roman"/>
          <w:sz w:val="32"/>
          <w:szCs w:val="32"/>
        </w:rPr>
        <w:t>%。主要变动原因是本年收入增加</w:t>
      </w:r>
      <w:r>
        <w:rPr>
          <w:rFonts w:hint="default" w:ascii="Times New Roman" w:hAnsi="Times New Roman" w:eastAsia="仿宋_GB2312" w:cs="Times New Roman"/>
          <w:sz w:val="32"/>
          <w:szCs w:val="32"/>
          <w:lang w:eastAsia="zh-CN"/>
        </w:rPr>
        <w:t>。</w:t>
      </w:r>
    </w:p>
    <w:p>
      <w:pPr>
        <w:pStyle w:val="2"/>
        <w:jc w:val="center"/>
        <w:rPr>
          <w:rFonts w:hint="default" w:ascii="Times New Roman" w:hAnsi="Times New Roman" w:cs="Times New Roman"/>
        </w:rPr>
      </w:pPr>
      <w:r>
        <w:drawing>
          <wp:inline distT="0" distB="0" distL="114300" distR="114300">
            <wp:extent cx="4653915" cy="2667000"/>
            <wp:effectExtent l="4445" t="4445" r="15240" b="8255"/>
            <wp:docPr id="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（图4：财政拨款收、支决算总计变动情况）</w:t>
      </w:r>
    </w:p>
    <w:p>
      <w:pPr>
        <w:spacing w:line="600" w:lineRule="exact"/>
        <w:ind w:firstLine="640" w:firstLineChars="200"/>
        <w:outlineLvl w:val="1"/>
        <w:rPr>
          <w:rStyle w:val="29"/>
          <w:rFonts w:hint="default" w:ascii="Times New Roman" w:hAnsi="Times New Roman" w:eastAsia="黑体" w:cs="Times New Roman"/>
          <w:b w:val="0"/>
        </w:rPr>
      </w:pPr>
      <w:bookmarkStart w:id="28" w:name="_Toc15396607"/>
      <w:bookmarkStart w:id="29" w:name="_Toc15377209"/>
      <w:bookmarkStart w:id="30" w:name="_Toc26832"/>
      <w:r>
        <w:rPr>
          <w:rFonts w:hint="default" w:ascii="Times New Roman" w:hAnsi="Times New Roman" w:eastAsia="黑体" w:cs="Times New Roman"/>
          <w:sz w:val="32"/>
          <w:szCs w:val="32"/>
        </w:rPr>
        <w:t>五、</w:t>
      </w:r>
      <w:r>
        <w:rPr>
          <w:rFonts w:hint="default" w:ascii="Times New Roman" w:hAnsi="Times New Roman" w:eastAsia="黑体" w:cs="Times New Roman"/>
          <w:b/>
          <w:sz w:val="32"/>
          <w:szCs w:val="32"/>
        </w:rPr>
        <w:t>一</w:t>
      </w:r>
      <w:r>
        <w:rPr>
          <w:rStyle w:val="29"/>
          <w:rFonts w:hint="default" w:ascii="Times New Roman" w:hAnsi="Times New Roman" w:eastAsia="黑体" w:cs="Times New Roman"/>
          <w:b w:val="0"/>
        </w:rPr>
        <w:t>般公共预算财政拨款支出决算情况说明</w:t>
      </w:r>
      <w:bookmarkEnd w:id="28"/>
      <w:bookmarkEnd w:id="29"/>
      <w:bookmarkEnd w:id="30"/>
    </w:p>
    <w:p>
      <w:pPr>
        <w:spacing w:line="600" w:lineRule="exact"/>
        <w:ind w:firstLine="643" w:firstLineChars="200"/>
        <w:outlineLvl w:val="9"/>
        <w:rPr>
          <w:rFonts w:hint="default" w:ascii="Times New Roman" w:hAnsi="Times New Roman" w:eastAsia="楷体_GB2312" w:cs="Times New Roman"/>
          <w:b/>
          <w:sz w:val="32"/>
          <w:szCs w:val="32"/>
        </w:rPr>
      </w:pPr>
      <w:bookmarkStart w:id="31" w:name="_Toc15377210"/>
      <w:r>
        <w:rPr>
          <w:rFonts w:hint="default" w:ascii="Times New Roman" w:hAnsi="Times New Roman" w:eastAsia="楷体_GB2312" w:cs="Times New Roman"/>
          <w:b/>
          <w:sz w:val="32"/>
          <w:szCs w:val="32"/>
        </w:rPr>
        <w:t>（一）一般公共预算财政拨款支出决算总体情况</w:t>
      </w:r>
      <w:bookmarkEnd w:id="31"/>
    </w:p>
    <w:p>
      <w:pPr>
        <w:spacing w:line="600" w:lineRule="exact"/>
        <w:ind w:firstLine="640"/>
      </w:pPr>
      <w:r>
        <w:rPr>
          <w:rFonts w:hint="default" w:ascii="Times New Roman" w:hAnsi="Times New Roman" w:eastAsia="仿宋_GB2312" w:cs="Times New Roman"/>
          <w:sz w:val="32"/>
          <w:szCs w:val="32"/>
        </w:rPr>
        <w:t>2024年度一般公共预算财政拨款支出5798.72万元，占本年支出合计的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%。与2023年度相比，一般公共预算财政拨款支出</w:t>
      </w:r>
      <w:r>
        <w:rPr>
          <w:rFonts w:hint="eastAsia" w:eastAsia="仿宋_GB2312" w:cs="Times New Roman"/>
          <w:sz w:val="32"/>
          <w:szCs w:val="32"/>
          <w:lang w:val="en-US" w:eastAsia="zh-CN"/>
        </w:rPr>
        <w:t>增加1897.15</w:t>
      </w:r>
      <w:r>
        <w:rPr>
          <w:rFonts w:hint="default" w:ascii="Times New Roman" w:hAnsi="Times New Roman" w:eastAsia="仿宋_GB2312" w:cs="Times New Roman"/>
          <w:sz w:val="32"/>
          <w:szCs w:val="32"/>
        </w:rPr>
        <w:t>万元，</w:t>
      </w:r>
      <w:r>
        <w:rPr>
          <w:rFonts w:hint="eastAsia" w:eastAsia="仿宋_GB2312" w:cs="Times New Roman"/>
          <w:sz w:val="32"/>
          <w:szCs w:val="32"/>
          <w:lang w:val="en-US" w:eastAsia="zh-CN"/>
        </w:rPr>
        <w:t>增长48.6</w:t>
      </w:r>
      <w:r>
        <w:rPr>
          <w:rFonts w:hint="default" w:ascii="Times New Roman" w:hAnsi="Times New Roman" w:eastAsia="仿宋_GB2312" w:cs="Times New Roman"/>
          <w:sz w:val="32"/>
          <w:szCs w:val="32"/>
        </w:rPr>
        <w:t>%。主要变动原因是2024年项目增加</w:t>
      </w:r>
      <w:r>
        <w:rPr>
          <w:rFonts w:hint="default" w:ascii="Times New Roman" w:hAnsi="Times New Roman" w:eastAsia="仿宋_GB2312" w:cs="Times New Roman"/>
          <w:sz w:val="32"/>
          <w:szCs w:val="32"/>
          <w:lang w:eastAsia="zh-CN"/>
        </w:rPr>
        <w:t>。</w:t>
      </w:r>
    </w:p>
    <w:p>
      <w:pPr>
        <w:pStyle w:val="2"/>
        <w:jc w:val="center"/>
      </w:pPr>
      <w:r>
        <w:drawing>
          <wp:inline distT="0" distB="0" distL="114300" distR="114300">
            <wp:extent cx="4162425" cy="2844800"/>
            <wp:effectExtent l="4445" t="4445" r="11430" b="8255"/>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（图5：一般公共预算财政拨款支出决算变动情况）</w:t>
      </w:r>
    </w:p>
    <w:p>
      <w:pPr>
        <w:spacing w:line="600" w:lineRule="exact"/>
        <w:ind w:firstLine="643" w:firstLineChars="200"/>
        <w:outlineLvl w:val="9"/>
        <w:rPr>
          <w:rFonts w:hint="default" w:ascii="Times New Roman" w:hAnsi="Times New Roman" w:eastAsia="楷体_GB2312" w:cs="Times New Roman"/>
          <w:b/>
          <w:sz w:val="32"/>
          <w:szCs w:val="32"/>
        </w:rPr>
      </w:pPr>
      <w:bookmarkStart w:id="32" w:name="_Toc15377211"/>
      <w:r>
        <w:rPr>
          <w:rFonts w:hint="default" w:ascii="Times New Roman" w:hAnsi="Times New Roman" w:eastAsia="楷体_GB2312" w:cs="Times New Roman"/>
          <w:b/>
          <w:sz w:val="32"/>
          <w:szCs w:val="32"/>
        </w:rPr>
        <w:t>（二）一般公共预算财政拨款支出决算结构情况</w:t>
      </w:r>
      <w:bookmarkEnd w:id="32"/>
    </w:p>
    <w:p>
      <w:pPr>
        <w:spacing w:line="600" w:lineRule="exact"/>
        <w:ind w:firstLine="640"/>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sz w:val="32"/>
          <w:szCs w:val="32"/>
        </w:rPr>
        <w:t>2024年度一般公共预算财政拨款支出5798.72万元，主要用于以下方面：社会保障和就业支出262.58万元，占</w:t>
      </w:r>
      <w:r>
        <w:rPr>
          <w:rFonts w:hint="eastAsia" w:eastAsia="仿宋_GB2312" w:cs="Times New Roman"/>
          <w:sz w:val="32"/>
          <w:szCs w:val="32"/>
          <w:lang w:val="en-US" w:eastAsia="zh-CN"/>
        </w:rPr>
        <w:t>4.5</w:t>
      </w:r>
      <w:r>
        <w:rPr>
          <w:rFonts w:hint="default" w:ascii="Times New Roman" w:hAnsi="Times New Roman" w:eastAsia="仿宋_GB2312" w:cs="Times New Roman"/>
          <w:sz w:val="32"/>
          <w:szCs w:val="32"/>
        </w:rPr>
        <w:t>%；卫生健康支出123.94万元，占</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交通运输支出5272.33万元，占比</w:t>
      </w:r>
      <w:r>
        <w:rPr>
          <w:rFonts w:hint="eastAsia" w:eastAsia="仿宋_GB2312" w:cs="Times New Roman"/>
          <w:sz w:val="32"/>
          <w:szCs w:val="32"/>
          <w:lang w:val="en-US" w:eastAsia="zh-CN"/>
        </w:rPr>
        <w:t>90.9</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住房保障支出139.87万元，占</w:t>
      </w:r>
      <w:r>
        <w:rPr>
          <w:rFonts w:hint="eastAsia" w:eastAsia="仿宋_GB2312" w:cs="Times New Roman"/>
          <w:sz w:val="32"/>
          <w:szCs w:val="32"/>
          <w:lang w:val="en-US" w:eastAsia="zh-CN"/>
        </w:rPr>
        <w:t>2.4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jc w:val="center"/>
      </w:pPr>
      <w:r>
        <w:drawing>
          <wp:inline distT="0" distB="0" distL="114300" distR="114300">
            <wp:extent cx="4824095" cy="2667000"/>
            <wp:effectExtent l="4445" t="5080" r="10160" b="7620"/>
            <wp:docPr id="1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（图6：一般公共预算财政拨款支出决算结构）</w:t>
      </w:r>
    </w:p>
    <w:p>
      <w:pPr>
        <w:spacing w:line="600" w:lineRule="exact"/>
        <w:ind w:firstLine="643" w:firstLineChars="200"/>
        <w:outlineLvl w:val="9"/>
        <w:rPr>
          <w:rFonts w:hint="default" w:ascii="Times New Roman" w:hAnsi="Times New Roman" w:eastAsia="楷体_GB2312" w:cs="Times New Roman"/>
          <w:b/>
          <w:sz w:val="32"/>
          <w:szCs w:val="32"/>
        </w:rPr>
      </w:pPr>
      <w:bookmarkStart w:id="33" w:name="_Toc15377212"/>
      <w:r>
        <w:rPr>
          <w:rFonts w:hint="default" w:ascii="Times New Roman" w:hAnsi="Times New Roman" w:eastAsia="楷体_GB2312" w:cs="Times New Roman"/>
          <w:b/>
          <w:sz w:val="32"/>
          <w:szCs w:val="32"/>
        </w:rPr>
        <w:t>（三）一般公共预算财政拨款支出决算具体情况</w:t>
      </w:r>
      <w:bookmarkEnd w:id="33"/>
    </w:p>
    <w:p>
      <w:pPr>
        <w:spacing w:line="600" w:lineRule="exact"/>
        <w:ind w:firstLine="640"/>
        <w:rPr>
          <w:rFonts w:hint="default" w:ascii="Times New Roman" w:hAnsi="Times New Roman" w:eastAsia="仿宋_GB2312" w:cs="Times New Roman"/>
          <w:sz w:val="32"/>
          <w:szCs w:val="32"/>
        </w:rPr>
      </w:pPr>
      <w:bookmarkStart w:id="34" w:name="_Toc15378460"/>
      <w:bookmarkStart w:id="35" w:name="_Toc15377444"/>
      <w:bookmarkStart w:id="36" w:name="_Toc15377213"/>
      <w:r>
        <w:rPr>
          <w:rFonts w:hint="default" w:ascii="Times New Roman" w:hAnsi="Times New Roman" w:eastAsia="仿宋_GB2312" w:cs="Times New Roman"/>
          <w:sz w:val="32"/>
          <w:szCs w:val="32"/>
        </w:rPr>
        <w:t>2024年度一般公共预算财政拨款支出决算数为5798.72</w:t>
      </w:r>
      <w:r>
        <w:rPr>
          <w:rFonts w:hint="eastAsia" w:eastAsia="仿宋_GB2312" w:cs="Times New Roman"/>
          <w:sz w:val="32"/>
          <w:szCs w:val="32"/>
          <w:lang w:val="en-US" w:eastAsia="zh-CN"/>
        </w:rPr>
        <w:t>万元</w:t>
      </w:r>
      <w:r>
        <w:rPr>
          <w:rFonts w:hint="default" w:ascii="Times New Roman" w:hAnsi="Times New Roman" w:eastAsia="仿宋_GB2312" w:cs="Times New Roman"/>
          <w:sz w:val="32"/>
          <w:szCs w:val="32"/>
        </w:rPr>
        <w:t>，完成预算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%。其中：</w:t>
      </w:r>
      <w:bookmarkEnd w:id="34"/>
      <w:bookmarkEnd w:id="35"/>
      <w:bookmarkEnd w:id="36"/>
    </w:p>
    <w:p>
      <w:pPr>
        <w:spacing w:line="600" w:lineRule="exact"/>
        <w:ind w:firstLine="643" w:firstLineChars="200"/>
        <w:rPr>
          <w:rFonts w:hint="default" w:ascii="Times New Roman" w:hAnsi="Times New Roman" w:eastAsia="仿宋_GB2312" w:cs="Times New Roman"/>
          <w:sz w:val="32"/>
          <w:szCs w:val="32"/>
        </w:rPr>
      </w:pPr>
      <w:r>
        <w:rPr>
          <w:rStyle w:val="17"/>
          <w:rFonts w:hint="eastAsia" w:eastAsia="仿宋" w:cs="Times New Roman"/>
          <w:bCs/>
          <w:color w:val="auto"/>
          <w:sz w:val="32"/>
          <w:szCs w:val="32"/>
          <w:highlight w:val="none"/>
          <w:lang w:val="en-US" w:eastAsia="zh-CN"/>
        </w:rPr>
        <w:t>1</w:t>
      </w:r>
      <w:r>
        <w:rPr>
          <w:rStyle w:val="17"/>
          <w:rFonts w:hint="default" w:ascii="Times New Roman" w:hAnsi="Times New Roman" w:eastAsia="仿宋" w:cs="Times New Roman"/>
          <w:bCs/>
          <w:color w:val="auto"/>
          <w:sz w:val="32"/>
          <w:szCs w:val="32"/>
          <w:highlight w:val="none"/>
        </w:rPr>
        <w:t>.社会保障和就业支出（类）行政事业单位养老支出（款）事业单位离退休（项）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支出决算为29.92万元，完成预算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eastAsia" w:eastAsia="仿宋" w:cs="Times New Roman"/>
          <w:bCs/>
          <w:color w:val="auto"/>
          <w:sz w:val="32"/>
          <w:szCs w:val="32"/>
          <w:highlight w:val="none"/>
          <w:lang w:val="en-US" w:eastAsia="zh-CN"/>
        </w:rPr>
        <w:t>2</w:t>
      </w:r>
      <w:r>
        <w:rPr>
          <w:rStyle w:val="17"/>
          <w:rFonts w:hint="default" w:ascii="Times New Roman" w:hAnsi="Times New Roman" w:eastAsia="仿宋" w:cs="Times New Roman"/>
          <w:bCs/>
          <w:color w:val="auto"/>
          <w:sz w:val="32"/>
          <w:szCs w:val="32"/>
          <w:highlight w:val="none"/>
        </w:rPr>
        <w:t>.社会保障和就业支出（类）行政事业单位养老支出（款）机关事业单位基本养老保险缴费支出（项）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支出决算为155.1万元，完成预算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Style w:val="17"/>
          <w:rFonts w:hint="default" w:ascii="Times New Roman" w:hAnsi="Times New Roman" w:eastAsia="仿宋" w:cs="Times New Roman"/>
          <w:b w:val="0"/>
          <w:bCs/>
          <w:color w:val="auto"/>
          <w:sz w:val="32"/>
          <w:szCs w:val="32"/>
          <w:highlight w:val="none"/>
        </w:rPr>
      </w:pPr>
      <w:r>
        <w:rPr>
          <w:rStyle w:val="17"/>
          <w:rFonts w:hint="eastAsia" w:eastAsia="仿宋" w:cs="Times New Roman"/>
          <w:bCs/>
          <w:color w:val="auto"/>
          <w:sz w:val="32"/>
          <w:szCs w:val="32"/>
          <w:highlight w:val="none"/>
          <w:lang w:val="en-US" w:eastAsia="zh-CN"/>
        </w:rPr>
        <w:t>3</w:t>
      </w:r>
      <w:r>
        <w:rPr>
          <w:rStyle w:val="17"/>
          <w:rFonts w:hint="default" w:ascii="Times New Roman" w:hAnsi="Times New Roman" w:eastAsia="仿宋" w:cs="Times New Roman"/>
          <w:bCs/>
          <w:color w:val="auto"/>
          <w:sz w:val="32"/>
          <w:szCs w:val="32"/>
          <w:highlight w:val="none"/>
        </w:rPr>
        <w:t>.社会保障和就业支出（类）行政事业单位养老支出（款）机关事业单位职业年金缴费支出（项）</w:t>
      </w:r>
      <w:r>
        <w:rPr>
          <w:rStyle w:val="17"/>
          <w:rFonts w:hint="eastAsia"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支出决算为77.55万元，完成预算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4</w:t>
      </w:r>
      <w:r>
        <w:rPr>
          <w:rStyle w:val="17"/>
          <w:rFonts w:hint="default" w:ascii="Times New Roman" w:hAnsi="Times New Roman" w:eastAsia="仿宋" w:cs="Times New Roman"/>
          <w:bCs/>
          <w:color w:val="auto"/>
          <w:sz w:val="32"/>
          <w:szCs w:val="32"/>
          <w:highlight w:val="none"/>
        </w:rPr>
        <w:t>.卫生健康支出（类）行政事业单位医疗（款）事业单位医疗（项）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支出决算为72.49万元，完成预算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5</w:t>
      </w:r>
      <w:r>
        <w:rPr>
          <w:rStyle w:val="17"/>
          <w:rFonts w:hint="default" w:ascii="Times New Roman" w:hAnsi="Times New Roman" w:eastAsia="仿宋" w:cs="Times New Roman"/>
          <w:bCs/>
          <w:color w:val="auto"/>
          <w:sz w:val="32"/>
          <w:szCs w:val="32"/>
          <w:highlight w:val="none"/>
        </w:rPr>
        <w:t>.卫生健康支出（类）行政事业单位医疗（款）其他行政事业单位医疗支出（项）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支出决算为51.46万元，完成预算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Style w:val="17"/>
          <w:rFonts w:hint="default" w:ascii="Times New Roman" w:hAnsi="Times New Roman" w:eastAsia="仿宋" w:cs="Times New Roman"/>
          <w:b w:val="0"/>
          <w:bCs/>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6</w:t>
      </w:r>
      <w:r>
        <w:rPr>
          <w:rStyle w:val="17"/>
          <w:rFonts w:hint="default" w:ascii="Times New Roman" w:hAnsi="Times New Roman" w:eastAsia="仿宋" w:cs="Times New Roman"/>
          <w:bCs/>
          <w:color w:val="auto"/>
          <w:sz w:val="32"/>
          <w:szCs w:val="32"/>
          <w:highlight w:val="none"/>
        </w:rPr>
        <w:t>.交通运输支出（类）公路水路运输（款）公路养护（项）</w:t>
      </w:r>
      <w:r>
        <w:rPr>
          <w:rStyle w:val="17"/>
          <w:rFonts w:hint="default" w:ascii="Times New Roman" w:hAnsi="Times New Roman" w:eastAsia="仿宋" w:cs="Times New Roman"/>
          <w:bCs/>
          <w:color w:val="auto"/>
          <w:sz w:val="32"/>
          <w:szCs w:val="32"/>
          <w:highlight w:val="none"/>
          <w:lang w:eastAsia="zh-CN"/>
        </w:rPr>
        <w:t>：</w:t>
      </w:r>
      <w:r>
        <w:rPr>
          <w:rStyle w:val="17"/>
          <w:rFonts w:hint="default" w:ascii="Times New Roman" w:hAnsi="Times New Roman" w:eastAsia="仿宋" w:cs="Times New Roman"/>
          <w:b w:val="0"/>
          <w:bCs/>
          <w:color w:val="auto"/>
          <w:sz w:val="32"/>
          <w:szCs w:val="32"/>
          <w:highlight w:val="none"/>
        </w:rPr>
        <w:t xml:space="preserve"> </w:t>
      </w:r>
      <w:r>
        <w:rPr>
          <w:rFonts w:hint="default" w:ascii="Times New Roman" w:hAnsi="Times New Roman" w:eastAsia="仿宋_GB2312" w:cs="Times New Roman"/>
          <w:sz w:val="32"/>
          <w:szCs w:val="32"/>
        </w:rPr>
        <w:t>支出决算为5272.33万元，完成预算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color w:val="auto"/>
          <w:sz w:val="32"/>
          <w:szCs w:val="32"/>
          <w:highlight w:val="none"/>
          <w:lang w:eastAsia="zh-CN"/>
        </w:rPr>
      </w:pPr>
      <w:r>
        <w:rPr>
          <w:rStyle w:val="17"/>
          <w:rFonts w:hint="eastAsia" w:eastAsia="仿宋" w:cs="Times New Roman"/>
          <w:bCs/>
          <w:color w:val="auto"/>
          <w:sz w:val="32"/>
          <w:szCs w:val="32"/>
          <w:highlight w:val="none"/>
          <w:lang w:val="en-US" w:eastAsia="zh-CN"/>
        </w:rPr>
        <w:t>7</w:t>
      </w:r>
      <w:r>
        <w:rPr>
          <w:rStyle w:val="17"/>
          <w:rFonts w:hint="default" w:ascii="Times New Roman" w:hAnsi="Times New Roman" w:eastAsia="仿宋" w:cs="Times New Roman"/>
          <w:bCs/>
          <w:color w:val="auto"/>
          <w:sz w:val="32"/>
          <w:szCs w:val="32"/>
          <w:highlight w:val="none"/>
          <w:lang w:val="en-US" w:eastAsia="zh-CN"/>
        </w:rPr>
        <w:t>.</w:t>
      </w:r>
      <w:r>
        <w:rPr>
          <w:rStyle w:val="17"/>
          <w:rFonts w:hint="default" w:ascii="Times New Roman" w:hAnsi="Times New Roman" w:eastAsia="仿宋" w:cs="Times New Roman"/>
          <w:bCs/>
          <w:color w:val="auto"/>
          <w:sz w:val="32"/>
          <w:szCs w:val="32"/>
          <w:highlight w:val="none"/>
        </w:rPr>
        <w:t>住房保障支出（类）住房改革支出（款）住房公积金（项）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支出决算为133.87万元，完成预算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spacing w:line="600" w:lineRule="exact"/>
        <w:ind w:firstLine="643" w:firstLineChars="200"/>
        <w:rPr>
          <w:rFonts w:hint="default" w:ascii="Times New Roman" w:hAnsi="Times New Roman" w:eastAsia="仿宋" w:cs="Times New Roman"/>
          <w:color w:val="auto"/>
          <w:sz w:val="32"/>
          <w:szCs w:val="32"/>
          <w:highlight w:val="none"/>
          <w:lang w:eastAsia="zh-CN"/>
        </w:rPr>
      </w:pPr>
      <w:r>
        <w:rPr>
          <w:rStyle w:val="17"/>
          <w:rFonts w:hint="eastAsia" w:eastAsia="仿宋" w:cs="Times New Roman"/>
          <w:bCs/>
          <w:color w:val="auto"/>
          <w:kern w:val="2"/>
          <w:sz w:val="32"/>
          <w:szCs w:val="32"/>
          <w:highlight w:val="none"/>
          <w:lang w:val="en-US" w:eastAsia="zh-CN" w:bidi="ar-SA"/>
        </w:rPr>
        <w:t>8</w:t>
      </w:r>
      <w:r>
        <w:rPr>
          <w:rStyle w:val="17"/>
          <w:rFonts w:hint="default" w:ascii="Times New Roman" w:hAnsi="Times New Roman" w:eastAsia="仿宋" w:cs="Times New Roman"/>
          <w:bCs/>
          <w:color w:val="auto"/>
          <w:kern w:val="2"/>
          <w:sz w:val="32"/>
          <w:szCs w:val="32"/>
          <w:highlight w:val="none"/>
          <w:lang w:val="en-US" w:eastAsia="zh-CN" w:bidi="ar-SA"/>
        </w:rPr>
        <w:t>.</w:t>
      </w:r>
      <w:r>
        <w:rPr>
          <w:rStyle w:val="17"/>
          <w:rFonts w:hint="default" w:ascii="Times New Roman" w:hAnsi="Times New Roman" w:eastAsia="仿宋" w:cs="Times New Roman"/>
          <w:bCs/>
          <w:color w:val="auto"/>
          <w:sz w:val="32"/>
          <w:szCs w:val="32"/>
          <w:highlight w:val="none"/>
        </w:rPr>
        <w:t>住房保障支出（类）住房改革支出（款）购房补贴（项）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Style w:val="17"/>
          <w:rFonts w:hint="default" w:ascii="Times New Roman" w:hAnsi="Times New Roman" w:eastAsia="仿宋" w:cs="Times New Roman"/>
          <w:b w:val="0"/>
          <w:bCs/>
          <w:color w:val="auto"/>
          <w:sz w:val="32"/>
          <w:szCs w:val="32"/>
          <w:highlight w:val="none"/>
          <w:lang w:eastAsia="zh-CN"/>
        </w:rPr>
        <w:t>。</w:t>
      </w:r>
    </w:p>
    <w:p>
      <w:pPr>
        <w:tabs>
          <w:tab w:val="right" w:pos="8306"/>
        </w:tabs>
        <w:spacing w:line="600" w:lineRule="exact"/>
        <w:ind w:firstLine="640"/>
        <w:outlineLvl w:val="1"/>
        <w:rPr>
          <w:rStyle w:val="29"/>
          <w:rFonts w:hint="default" w:ascii="Times New Roman" w:hAnsi="Times New Roman" w:cs="Times New Roman"/>
        </w:rPr>
      </w:pPr>
      <w:bookmarkStart w:id="37" w:name="_Toc23403"/>
      <w:bookmarkStart w:id="38" w:name="_Toc15377214"/>
      <w:bookmarkStart w:id="39" w:name="_Toc15396608"/>
      <w:r>
        <w:rPr>
          <w:rFonts w:hint="default" w:ascii="Times New Roman" w:hAnsi="Times New Roman" w:eastAsia="黑体" w:cs="Times New Roman"/>
          <w:sz w:val="32"/>
          <w:szCs w:val="32"/>
        </w:rPr>
        <w:t>六</w:t>
      </w:r>
      <w:r>
        <w:rPr>
          <w:rFonts w:hint="default" w:ascii="Times New Roman" w:hAnsi="Times New Roman" w:eastAsia="黑体" w:cs="Times New Roman"/>
          <w:b/>
          <w:sz w:val="32"/>
          <w:szCs w:val="32"/>
        </w:rPr>
        <w:t>、一</w:t>
      </w:r>
      <w:r>
        <w:rPr>
          <w:rStyle w:val="29"/>
          <w:rFonts w:hint="default" w:ascii="Times New Roman" w:hAnsi="Times New Roman" w:eastAsia="黑体" w:cs="Times New Roman"/>
          <w:b w:val="0"/>
        </w:rPr>
        <w:t>般公共预算财政拨款基本支出决算情况说明</w:t>
      </w:r>
      <w:bookmarkEnd w:id="37"/>
      <w:bookmarkEnd w:id="38"/>
      <w:bookmarkEnd w:id="39"/>
      <w:r>
        <w:rPr>
          <w:rStyle w:val="29"/>
          <w:rFonts w:hint="default" w:ascii="Times New Roman" w:hAnsi="Times New Roman" w:eastAsia="黑体" w:cs="Times New Roman"/>
          <w:b w:val="0"/>
        </w:rPr>
        <w:tab/>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2024年度一般公共预算财政拨款基本支出2280.61万元，其中：</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人员经费2093.35万元，主要包括：基本工资、津贴补贴、奖金、</w:t>
      </w:r>
      <w:r>
        <w:rPr>
          <w:rFonts w:hint="eastAsia" w:eastAsia="仿宋_GB2312" w:cs="Times New Roman"/>
          <w:sz w:val="32"/>
          <w:szCs w:val="32"/>
          <w:lang w:val="en-US" w:eastAsia="zh-CN"/>
        </w:rPr>
        <w:t>伙食补助费、</w:t>
      </w:r>
      <w:r>
        <w:rPr>
          <w:rFonts w:hint="default" w:ascii="Times New Roman" w:hAnsi="Times New Roman" w:eastAsia="仿宋_GB2312" w:cs="Times New Roman"/>
          <w:sz w:val="32"/>
          <w:szCs w:val="32"/>
        </w:rPr>
        <w:t>绩效工资、机关事业单位基本养老保险缴费、职业年金缴费、职工基本医疗保险缴费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其他社会保障缴费、住房公积金、其他工资福利支出、生活补助、奖励金等。</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公用经费187.26万元，主要包括：办公费、印刷费、</w:t>
      </w:r>
      <w:r>
        <w:rPr>
          <w:rFonts w:hint="eastAsia" w:eastAsia="仿宋_GB2312" w:cs="Times New Roman"/>
          <w:sz w:val="32"/>
          <w:szCs w:val="32"/>
          <w:lang w:val="en-US" w:eastAsia="zh-CN"/>
        </w:rPr>
        <w:t>水费、</w:t>
      </w:r>
      <w:r>
        <w:rPr>
          <w:rFonts w:hint="default" w:ascii="Times New Roman" w:hAnsi="Times New Roman" w:eastAsia="仿宋_GB2312" w:cs="Times New Roman"/>
          <w:sz w:val="32"/>
          <w:szCs w:val="32"/>
        </w:rPr>
        <w:t>电费、邮电费、差旅费、维修（护）费、培训费、</w:t>
      </w:r>
      <w:r>
        <w:rPr>
          <w:rFonts w:hint="eastAsia" w:eastAsia="仿宋_GB2312" w:cs="Times New Roman"/>
          <w:sz w:val="32"/>
          <w:szCs w:val="32"/>
          <w:lang w:val="en-US" w:eastAsia="zh-CN"/>
        </w:rPr>
        <w:t>公务接待费、</w:t>
      </w:r>
      <w:r>
        <w:rPr>
          <w:rFonts w:hint="default" w:ascii="Times New Roman" w:hAnsi="Times New Roman" w:eastAsia="仿宋_GB2312" w:cs="Times New Roman"/>
          <w:sz w:val="32"/>
          <w:szCs w:val="32"/>
        </w:rPr>
        <w:t>专用材料费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劳务费、福利费、公务用车运行维护费、其他交通费、其他商品和服务支出</w:t>
      </w:r>
      <w:r>
        <w:rPr>
          <w:rFonts w:hint="default" w:ascii="Times New Roman" w:hAnsi="Times New Roman" w:eastAsia="仿宋_GB2312" w:cs="Times New Roman"/>
          <w:sz w:val="32"/>
          <w:szCs w:val="32"/>
          <w:lang w:eastAsia="zh-CN"/>
        </w:rPr>
        <w:t>。</w:t>
      </w:r>
    </w:p>
    <w:p>
      <w:pPr>
        <w:spacing w:line="600" w:lineRule="exact"/>
        <w:ind w:firstLine="640"/>
        <w:outlineLvl w:val="1"/>
        <w:rPr>
          <w:rStyle w:val="29"/>
          <w:rFonts w:hint="default" w:ascii="Times New Roman" w:hAnsi="Times New Roman" w:eastAsia="黑体" w:cs="Times New Roman"/>
          <w:b w:val="0"/>
        </w:rPr>
      </w:pPr>
      <w:bookmarkStart w:id="40" w:name="_Toc15377215"/>
      <w:bookmarkStart w:id="41" w:name="_Toc15396609"/>
      <w:bookmarkStart w:id="42" w:name="_Toc25747"/>
      <w:r>
        <w:rPr>
          <w:rFonts w:hint="default" w:ascii="Times New Roman" w:hAnsi="Times New Roman" w:eastAsia="黑体" w:cs="Times New Roman"/>
          <w:sz w:val="32"/>
          <w:szCs w:val="32"/>
        </w:rPr>
        <w:t>七、</w:t>
      </w:r>
      <w:r>
        <w:rPr>
          <w:rStyle w:val="29"/>
          <w:rFonts w:hint="default" w:ascii="Times New Roman" w:hAnsi="Times New Roman" w:eastAsia="黑体" w:cs="Times New Roman"/>
          <w:b w:val="0"/>
        </w:rPr>
        <w:t>财政拨款</w:t>
      </w:r>
      <w:r>
        <w:rPr>
          <w:rStyle w:val="29"/>
          <w:rFonts w:hint="default" w:ascii="Times New Roman" w:hAnsi="Times New Roman" w:eastAsia="黑体" w:cs="Times New Roman"/>
        </w:rPr>
        <w:t>“</w:t>
      </w:r>
      <w:r>
        <w:rPr>
          <w:rStyle w:val="29"/>
          <w:rFonts w:hint="default" w:ascii="Times New Roman" w:hAnsi="Times New Roman" w:eastAsia="黑体" w:cs="Times New Roman"/>
          <w:b w:val="0"/>
        </w:rPr>
        <w:t>三公”经费支出决算情况说明</w:t>
      </w:r>
      <w:bookmarkEnd w:id="40"/>
      <w:bookmarkEnd w:id="41"/>
      <w:bookmarkEnd w:id="42"/>
    </w:p>
    <w:p>
      <w:pPr>
        <w:spacing w:line="600" w:lineRule="exact"/>
        <w:ind w:firstLine="643" w:firstLineChars="200"/>
        <w:outlineLvl w:val="9"/>
        <w:rPr>
          <w:rFonts w:hint="default" w:ascii="Times New Roman" w:hAnsi="Times New Roman" w:eastAsia="楷体_GB2312" w:cs="Times New Roman"/>
          <w:b/>
          <w:sz w:val="32"/>
          <w:szCs w:val="32"/>
        </w:rPr>
      </w:pPr>
      <w:bookmarkStart w:id="43" w:name="_Toc15377216"/>
      <w:r>
        <w:rPr>
          <w:rFonts w:hint="default" w:ascii="Times New Roman" w:hAnsi="Times New Roman" w:eastAsia="楷体_GB2312" w:cs="Times New Roman"/>
          <w:b/>
          <w:sz w:val="32"/>
          <w:szCs w:val="32"/>
        </w:rPr>
        <w:t>（一）“三公”经费财政拨款支出决算总体情况说明</w:t>
      </w:r>
      <w:bookmarkEnd w:id="43"/>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2024年度“三公”经费财政拨款支出决算为</w:t>
      </w:r>
      <w:r>
        <w:rPr>
          <w:rFonts w:hint="eastAsia" w:eastAsia="仿宋_GB2312" w:cs="Times New Roman"/>
          <w:sz w:val="32"/>
          <w:szCs w:val="32"/>
          <w:lang w:val="en-US" w:eastAsia="zh-CN"/>
        </w:rPr>
        <w:t>19.05</w:t>
      </w:r>
      <w:r>
        <w:rPr>
          <w:rFonts w:hint="default" w:ascii="Times New Roman" w:hAnsi="Times New Roman" w:eastAsia="仿宋_GB2312" w:cs="Times New Roman"/>
          <w:sz w:val="32"/>
          <w:szCs w:val="32"/>
        </w:rPr>
        <w:t>万元，完成预算</w:t>
      </w:r>
      <w:r>
        <w:rPr>
          <w:rFonts w:hint="eastAsia" w:eastAsia="仿宋_GB2312" w:cs="Times New Roman"/>
          <w:sz w:val="32"/>
          <w:szCs w:val="32"/>
          <w:lang w:val="en-US" w:eastAsia="zh-CN"/>
        </w:rPr>
        <w:t>82.8</w:t>
      </w:r>
      <w:r>
        <w:rPr>
          <w:rFonts w:hint="default" w:ascii="Times New Roman" w:hAnsi="Times New Roman" w:eastAsia="仿宋_GB2312" w:cs="Times New Roman"/>
          <w:sz w:val="32"/>
          <w:szCs w:val="32"/>
        </w:rPr>
        <w:t>%，较上年度</w:t>
      </w:r>
      <w:r>
        <w:rPr>
          <w:rFonts w:hint="eastAsia" w:eastAsia="仿宋_GB2312" w:cs="Times New Roman"/>
          <w:sz w:val="32"/>
          <w:szCs w:val="32"/>
          <w:lang w:val="en-US" w:eastAsia="zh-CN"/>
        </w:rPr>
        <w:t>减少0.2</w:t>
      </w:r>
      <w:r>
        <w:rPr>
          <w:rFonts w:hint="default" w:ascii="Times New Roman" w:hAnsi="Times New Roman" w:eastAsia="仿宋_GB2312" w:cs="Times New Roman"/>
          <w:sz w:val="32"/>
          <w:szCs w:val="32"/>
        </w:rPr>
        <w:t>万元，</w:t>
      </w:r>
      <w:r>
        <w:rPr>
          <w:rFonts w:hint="eastAsia" w:eastAsia="仿宋_GB2312" w:cs="Times New Roman"/>
          <w:sz w:val="32"/>
          <w:szCs w:val="32"/>
          <w:lang w:val="en-US" w:eastAsia="zh-CN"/>
        </w:rPr>
        <w:t>下降1</w:t>
      </w:r>
      <w:r>
        <w:rPr>
          <w:rFonts w:hint="default" w:ascii="Times New Roman" w:hAnsi="Times New Roman" w:eastAsia="仿宋_GB2312" w:cs="Times New Roman"/>
          <w:sz w:val="32"/>
          <w:szCs w:val="32"/>
        </w:rPr>
        <w:t>%。决算数小于预算数的主要原因是依据厉行节约的原则，缩减三公经费</w:t>
      </w:r>
      <w:r>
        <w:rPr>
          <w:rFonts w:hint="default" w:ascii="Times New Roman" w:hAnsi="Times New Roman" w:eastAsia="仿宋_GB2312" w:cs="Times New Roman"/>
          <w:sz w:val="32"/>
          <w:szCs w:val="32"/>
          <w:lang w:eastAsia="zh-CN"/>
        </w:rPr>
        <w:t>。</w:t>
      </w:r>
    </w:p>
    <w:p>
      <w:pPr>
        <w:spacing w:line="600" w:lineRule="exact"/>
        <w:ind w:firstLine="643" w:firstLineChars="200"/>
        <w:outlineLvl w:val="9"/>
        <w:rPr>
          <w:rFonts w:hint="default" w:ascii="Times New Roman" w:hAnsi="Times New Roman" w:eastAsia="楷体_GB2312" w:cs="Times New Roman"/>
          <w:b/>
          <w:sz w:val="32"/>
          <w:szCs w:val="32"/>
        </w:rPr>
      </w:pPr>
      <w:bookmarkStart w:id="44" w:name="_Toc15377217"/>
      <w:r>
        <w:rPr>
          <w:rFonts w:hint="default" w:ascii="Times New Roman" w:hAnsi="Times New Roman" w:eastAsia="楷体_GB2312" w:cs="Times New Roman"/>
          <w:b/>
          <w:sz w:val="32"/>
          <w:szCs w:val="32"/>
        </w:rPr>
        <w:t>（二）“三公”经费财政拨款支出决算具体情况说明</w:t>
      </w:r>
      <w:bookmarkEnd w:id="44"/>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2024年度“三公”经费财政拨款支出决算中，因公出国（境）费支出决算</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%；公务用车购置及运行维护费支出决算</w:t>
      </w:r>
      <w:r>
        <w:rPr>
          <w:rFonts w:hint="eastAsia" w:eastAsia="仿宋_GB2312" w:cs="Times New Roman"/>
          <w:sz w:val="32"/>
          <w:szCs w:val="32"/>
          <w:lang w:val="en-US" w:eastAsia="zh-CN"/>
        </w:rPr>
        <w:t>19</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99.7</w:t>
      </w:r>
      <w:r>
        <w:rPr>
          <w:rFonts w:hint="default" w:ascii="Times New Roman" w:hAnsi="Times New Roman" w:eastAsia="仿宋_GB2312" w:cs="Times New Roman"/>
          <w:sz w:val="32"/>
          <w:szCs w:val="32"/>
        </w:rPr>
        <w:t>%；公务接待费支出决算</w:t>
      </w:r>
      <w:r>
        <w:rPr>
          <w:rFonts w:hint="eastAsia" w:eastAsia="仿宋_GB2312" w:cs="Times New Roman"/>
          <w:sz w:val="32"/>
          <w:szCs w:val="32"/>
          <w:lang w:val="en-US" w:eastAsia="zh-CN"/>
        </w:rPr>
        <w:t>0.05</w:t>
      </w:r>
      <w:r>
        <w:rPr>
          <w:rFonts w:hint="default" w:ascii="Times New Roman" w:hAnsi="Times New Roman" w:eastAsia="仿宋_GB2312" w:cs="Times New Roman"/>
          <w:sz w:val="32"/>
          <w:szCs w:val="32"/>
        </w:rPr>
        <w:t>万元，占</w:t>
      </w:r>
      <w:r>
        <w:rPr>
          <w:rFonts w:hint="eastAsia" w:eastAsia="仿宋_GB2312" w:cs="Times New Roman"/>
          <w:sz w:val="32"/>
          <w:szCs w:val="32"/>
          <w:lang w:val="en-US" w:eastAsia="zh-CN"/>
        </w:rPr>
        <w:t>0.3</w:t>
      </w:r>
      <w:r>
        <w:rPr>
          <w:rFonts w:hint="default" w:ascii="Times New Roman" w:hAnsi="Times New Roman" w:eastAsia="仿宋_GB2312" w:cs="Times New Roman"/>
          <w:sz w:val="32"/>
          <w:szCs w:val="32"/>
        </w:rPr>
        <w:t>%。具体情况如下：</w:t>
      </w:r>
    </w:p>
    <w:p>
      <w:pPr>
        <w:jc w:val="center"/>
      </w:pPr>
      <w:r>
        <w:drawing>
          <wp:inline distT="0" distB="0" distL="114300" distR="114300">
            <wp:extent cx="5240655" cy="2667000"/>
            <wp:effectExtent l="4445" t="4445" r="12700" b="8255"/>
            <wp:docPr id="23"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（图7：“三公”经费财政拨款支出结构）</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1.因公出国（境）经费支出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万元，完成预算</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w:t>
      </w:r>
    </w:p>
    <w:p>
      <w:pPr>
        <w:spacing w:line="600" w:lineRule="exact"/>
        <w:ind w:firstLine="640"/>
        <w:rPr>
          <w:rFonts w:ascii="仿宋" w:hAnsi="仿宋" w:eastAsia="仿宋"/>
          <w:sz w:val="32"/>
          <w:szCs w:val="32"/>
        </w:rPr>
      </w:pPr>
      <w:r>
        <w:rPr>
          <w:rFonts w:hint="default" w:ascii="Times New Roman" w:hAnsi="Times New Roman" w:eastAsia="仿宋_GB2312" w:cs="Times New Roman"/>
          <w:b/>
          <w:bCs/>
          <w:sz w:val="32"/>
          <w:szCs w:val="32"/>
        </w:rPr>
        <w:t>2.公务用车购置及运行维护费支出</w:t>
      </w:r>
      <w:r>
        <w:rPr>
          <w:rFonts w:hint="default" w:ascii="Times New Roman" w:hAnsi="Times New Roman" w:eastAsia="仿宋_GB2312" w:cs="Times New Roman"/>
          <w:sz w:val="32"/>
          <w:szCs w:val="32"/>
        </w:rPr>
        <w:t>19</w:t>
      </w:r>
      <w:r>
        <w:rPr>
          <w:rFonts w:hint="default" w:ascii="Times New Roman" w:hAnsi="Times New Roman" w:eastAsia="仿宋_GB2312" w:cs="Times New Roman"/>
          <w:b/>
          <w:bCs/>
          <w:sz w:val="32"/>
          <w:szCs w:val="32"/>
        </w:rPr>
        <w:t>万元，完成预算</w:t>
      </w:r>
      <w:r>
        <w:rPr>
          <w:rFonts w:hint="default" w:ascii="Times New Roman" w:hAnsi="Times New Roman" w:eastAsia="仿宋_GB2312" w:cs="Times New Roman"/>
          <w:b/>
          <w:bCs/>
          <w:sz w:val="32"/>
          <w:szCs w:val="32"/>
          <w:lang w:val="en-US" w:eastAsia="zh-CN"/>
        </w:rPr>
        <w:t>100</w:t>
      </w:r>
      <w:r>
        <w:rPr>
          <w:rFonts w:hint="eastAsia" w:eastAsia="仿宋_GB2312" w:cs="Times New Roman"/>
          <w:b/>
          <w:bCs/>
          <w:sz w:val="32"/>
          <w:szCs w:val="32"/>
          <w:lang w:val="en-US" w:eastAsia="zh-CN"/>
        </w:rPr>
        <w:t>%</w:t>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公务用车购置及运行维护费支出决算比2023年度</w:t>
      </w:r>
      <w:r>
        <w:rPr>
          <w:rFonts w:hint="eastAsia" w:eastAsia="仿宋_GB2312" w:cs="Times New Roman"/>
          <w:sz w:val="32"/>
          <w:szCs w:val="32"/>
          <w:lang w:val="en-US" w:eastAsia="zh-CN"/>
        </w:rPr>
        <w:t>减少0.14</w:t>
      </w:r>
      <w:r>
        <w:rPr>
          <w:rFonts w:hint="default" w:ascii="Times New Roman" w:hAnsi="Times New Roman" w:eastAsia="仿宋_GB2312" w:cs="Times New Roman"/>
          <w:sz w:val="32"/>
          <w:szCs w:val="32"/>
        </w:rPr>
        <w:t>万元，</w:t>
      </w:r>
      <w:r>
        <w:rPr>
          <w:rFonts w:hint="eastAsia" w:eastAsia="仿宋_GB2312" w:cs="Times New Roman"/>
          <w:sz w:val="32"/>
          <w:szCs w:val="32"/>
          <w:lang w:val="en-US" w:eastAsia="zh-CN"/>
        </w:rPr>
        <w:t>下降0.7</w:t>
      </w:r>
      <w:r>
        <w:rPr>
          <w:rFonts w:hint="default" w:ascii="Times New Roman" w:hAnsi="Times New Roman" w:eastAsia="仿宋_GB2312" w:cs="Times New Roman"/>
          <w:sz w:val="32"/>
          <w:szCs w:val="32"/>
        </w:rPr>
        <w:t>%。</w:t>
      </w:r>
      <w:r>
        <w:rPr>
          <w:rFonts w:hint="default" w:ascii="仿宋" w:hAnsi="仿宋" w:eastAsia="仿宋" w:cs="Times New Roman"/>
          <w:sz w:val="32"/>
          <w:szCs w:val="32"/>
        </w:rPr>
        <w:t>主要原因是</w:t>
      </w:r>
      <w:r>
        <w:rPr>
          <w:rFonts w:hint="eastAsia" w:ascii="仿宋" w:hAnsi="仿宋" w:eastAsia="仿宋" w:cs="Times New Roman"/>
          <w:sz w:val="32"/>
          <w:szCs w:val="32"/>
        </w:rPr>
        <w:t>依据厉行节约的原则，缩减三公经费。</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其中：公务用车购置支出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万元。全年按规定更新购置公务用车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辆。截至2024年12月31日，单位共有公务用车</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辆，其中：轿车</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辆、越野车</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辆、</w:t>
      </w:r>
      <w:r>
        <w:rPr>
          <w:rFonts w:hint="default" w:ascii="Times New Roman" w:hAnsi="Times New Roman" w:eastAsia="仿宋_GB2312" w:cs="Times New Roman"/>
          <w:sz w:val="32"/>
          <w:szCs w:val="32"/>
          <w:lang w:eastAsia="zh-CN"/>
        </w:rPr>
        <w:t>其他车型</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辆</w:t>
      </w:r>
      <w:r>
        <w:rPr>
          <w:rFonts w:hint="default" w:ascii="Times New Roman" w:hAnsi="Times New Roman" w:eastAsia="仿宋_GB2312" w:cs="Times New Roman"/>
          <w:sz w:val="32"/>
          <w:szCs w:val="32"/>
        </w:rPr>
        <w:t>。</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公务用车运行维护费支出</w:t>
      </w:r>
      <w:r>
        <w:rPr>
          <w:rFonts w:hint="eastAsia" w:eastAsia="仿宋_GB2312" w:cs="Times New Roman"/>
          <w:sz w:val="32"/>
          <w:szCs w:val="32"/>
          <w:lang w:val="en-US" w:eastAsia="zh-CN"/>
        </w:rPr>
        <w:t>19</w:t>
      </w:r>
      <w:r>
        <w:rPr>
          <w:rFonts w:hint="default" w:ascii="Times New Roman" w:hAnsi="Times New Roman" w:eastAsia="仿宋_GB2312" w:cs="Times New Roman"/>
          <w:sz w:val="32"/>
          <w:szCs w:val="32"/>
        </w:rPr>
        <w:t>万元。主要用于</w:t>
      </w:r>
      <w:r>
        <w:rPr>
          <w:rFonts w:hint="default" w:ascii="Times New Roman" w:hAnsi="Times New Roman" w:eastAsia="仿宋_GB2312" w:cs="Times New Roman"/>
          <w:sz w:val="32"/>
          <w:szCs w:val="32"/>
          <w:lang w:val="en-US" w:eastAsia="zh-CN"/>
        </w:rPr>
        <w:t>公路养护</w:t>
      </w:r>
      <w:r>
        <w:rPr>
          <w:rFonts w:hint="default" w:ascii="Times New Roman" w:hAnsi="Times New Roman" w:eastAsia="仿宋_GB2312" w:cs="Times New Roman"/>
          <w:sz w:val="32"/>
          <w:szCs w:val="32"/>
        </w:rPr>
        <w:t>等所需的公务用车燃料费、维修费、过路过桥费、保险费等支出。</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3.公务接待费支出</w:t>
      </w:r>
      <w:r>
        <w:rPr>
          <w:rFonts w:hint="eastAsia" w:eastAsia="仿宋_GB2312" w:cs="Times New Roman"/>
          <w:sz w:val="32"/>
          <w:szCs w:val="32"/>
          <w:lang w:val="en-US" w:eastAsia="zh-CN"/>
        </w:rPr>
        <w:t>0.05</w:t>
      </w:r>
      <w:r>
        <w:rPr>
          <w:rFonts w:hint="default" w:ascii="Times New Roman" w:hAnsi="Times New Roman" w:eastAsia="仿宋_GB2312" w:cs="Times New Roman"/>
          <w:sz w:val="32"/>
          <w:szCs w:val="32"/>
        </w:rPr>
        <w:t>万元，完成预算</w:t>
      </w:r>
      <w:r>
        <w:rPr>
          <w:rFonts w:hint="eastAsia" w:eastAsia="仿宋_GB2312" w:cs="Times New Roman"/>
          <w:sz w:val="32"/>
          <w:szCs w:val="32"/>
          <w:lang w:val="en-US" w:eastAsia="zh-CN"/>
        </w:rPr>
        <w:t>1.3</w:t>
      </w:r>
      <w:r>
        <w:rPr>
          <w:rFonts w:hint="default" w:ascii="Times New Roman" w:hAnsi="Times New Roman" w:eastAsia="仿宋_GB2312" w:cs="Times New Roman"/>
          <w:sz w:val="32"/>
          <w:szCs w:val="32"/>
        </w:rPr>
        <w:t>%。公务接待费支出决算比202</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年度减少0.</w:t>
      </w:r>
      <w:r>
        <w:rPr>
          <w:rFonts w:hint="eastAsia" w:eastAsia="仿宋_GB2312" w:cs="Times New Roman"/>
          <w:sz w:val="32"/>
          <w:szCs w:val="32"/>
          <w:lang w:val="en-US" w:eastAsia="zh-CN"/>
        </w:rPr>
        <w:t>06</w:t>
      </w:r>
      <w:r>
        <w:rPr>
          <w:rFonts w:hint="default" w:ascii="Times New Roman" w:hAnsi="Times New Roman" w:eastAsia="仿宋_GB2312" w:cs="Times New Roman"/>
          <w:sz w:val="32"/>
          <w:szCs w:val="32"/>
        </w:rPr>
        <w:t>万元，下降</w:t>
      </w:r>
      <w:r>
        <w:rPr>
          <w:rFonts w:hint="eastAsia" w:eastAsia="仿宋_GB2312" w:cs="Times New Roman"/>
          <w:sz w:val="32"/>
          <w:szCs w:val="32"/>
          <w:lang w:val="en-US" w:eastAsia="zh-CN"/>
        </w:rPr>
        <w:t>54.5</w:t>
      </w:r>
      <w:r>
        <w:rPr>
          <w:rFonts w:hint="default" w:ascii="Times New Roman" w:hAnsi="Times New Roman" w:eastAsia="仿宋_GB2312" w:cs="Times New Roman"/>
          <w:sz w:val="32"/>
          <w:szCs w:val="32"/>
        </w:rPr>
        <w:t>%。主要原因是依据厉行节约的原则，缩减三公经费。其中：</w:t>
      </w:r>
    </w:p>
    <w:p>
      <w:pPr>
        <w:spacing w:line="600" w:lineRule="exact"/>
        <w:ind w:firstLine="640"/>
        <w:rPr>
          <w:rFonts w:hint="default" w:ascii="Times New Roman" w:hAnsi="Times New Roman" w:eastAsia="仿宋_GB2312" w:cs="Times New Roman"/>
          <w:color w:val="auto"/>
          <w:sz w:val="32"/>
          <w:szCs w:val="32"/>
          <w:highlight w:val="yellow"/>
        </w:rPr>
      </w:pPr>
      <w:bookmarkStart w:id="45" w:name="_Toc15377218"/>
      <w:bookmarkStart w:id="46" w:name="_Toc15396610"/>
      <w:r>
        <w:rPr>
          <w:rFonts w:hint="default" w:ascii="Times New Roman" w:hAnsi="Times New Roman" w:eastAsia="仿宋" w:cs="Times New Roman"/>
          <w:b/>
          <w:color w:val="auto"/>
          <w:sz w:val="32"/>
          <w:szCs w:val="32"/>
          <w:highlight w:val="none"/>
        </w:rPr>
        <w:t>国内公务接待支出</w:t>
      </w:r>
      <w:r>
        <w:rPr>
          <w:rFonts w:hint="eastAsia" w:eastAsia="仿宋_GB2312" w:cs="Times New Roman"/>
          <w:sz w:val="32"/>
          <w:szCs w:val="32"/>
          <w:lang w:val="en-US" w:eastAsia="zh-CN"/>
        </w:rPr>
        <w:t>0.05</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，主要用于隧道安全检查等活动开支的交通费、住宿费、用餐费等</w:t>
      </w:r>
      <w:r>
        <w:rPr>
          <w:rFonts w:hint="default" w:ascii="Times New Roman" w:hAnsi="Times New Roman" w:eastAsia="仿宋_GB2312" w:cs="Times New Roman"/>
          <w:sz w:val="32"/>
          <w:szCs w:val="32"/>
        </w:rPr>
        <w:t>。国内公务接待</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批次，</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人次（不包括陪同人员），共计支出</w:t>
      </w:r>
      <w:r>
        <w:rPr>
          <w:rFonts w:hint="eastAsia" w:ascii="Times New Roman" w:hAnsi="Times New Roman" w:eastAsia="仿宋_GB2312" w:cs="Times New Roman"/>
          <w:sz w:val="32"/>
          <w:szCs w:val="32"/>
          <w:lang w:val="en-US" w:eastAsia="zh-CN"/>
        </w:rPr>
        <w:t>0.05</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，具体内容包括：开展202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年全州国省干线公路第二季度养护考核工作，接待支出</w:t>
      </w:r>
      <w:r>
        <w:rPr>
          <w:rFonts w:hint="eastAsia" w:ascii="Times New Roman" w:hAnsi="Times New Roman" w:eastAsia="仿宋_GB2312" w:cs="Times New Roman"/>
          <w:sz w:val="32"/>
          <w:szCs w:val="32"/>
          <w:lang w:val="en-US" w:eastAsia="zh-CN"/>
        </w:rPr>
        <w:t>528</w:t>
      </w:r>
      <w:r>
        <w:rPr>
          <w:rFonts w:hint="eastAsia" w:ascii="Times New Roman" w:hAnsi="Times New Roman" w:eastAsia="仿宋_GB2312" w:cs="Times New Roman"/>
          <w:sz w:val="32"/>
          <w:szCs w:val="32"/>
          <w:lang w:eastAsia="zh-CN"/>
        </w:rPr>
        <w:t>元</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 w:cs="Times New Roman"/>
          <w:b/>
          <w:color w:val="auto"/>
          <w:sz w:val="32"/>
          <w:szCs w:val="32"/>
          <w:highlight w:val="none"/>
        </w:rPr>
        <w:t>外事接待支出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外事接待</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批次，</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人</w:t>
      </w:r>
      <w:r>
        <w:rPr>
          <w:rFonts w:hint="default" w:ascii="Times New Roman" w:hAnsi="Times New Roman" w:eastAsia="仿宋_GB2312" w:cs="Times New Roman"/>
          <w:sz w:val="32"/>
          <w:szCs w:val="32"/>
          <w:lang w:eastAsia="zh-CN"/>
        </w:rPr>
        <w:t>次（不包括陪同人员）</w:t>
      </w:r>
      <w:r>
        <w:rPr>
          <w:rFonts w:hint="default" w:ascii="Times New Roman" w:hAnsi="Times New Roman" w:eastAsia="仿宋_GB2312" w:cs="Times New Roman"/>
          <w:sz w:val="32"/>
          <w:szCs w:val="32"/>
        </w:rPr>
        <w:t>，共计支出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firstLine="640"/>
        <w:outlineLvl w:val="1"/>
        <w:rPr>
          <w:rStyle w:val="29"/>
          <w:rFonts w:hint="default" w:ascii="Times New Roman" w:hAnsi="Times New Roman" w:eastAsia="黑体" w:cs="Times New Roman"/>
        </w:rPr>
      </w:pPr>
      <w:bookmarkStart w:id="47" w:name="_Toc10975"/>
      <w:r>
        <w:rPr>
          <w:rFonts w:hint="default" w:ascii="Times New Roman" w:hAnsi="Times New Roman" w:eastAsia="黑体" w:cs="Times New Roman"/>
          <w:sz w:val="32"/>
          <w:szCs w:val="32"/>
        </w:rPr>
        <w:t>八、</w:t>
      </w:r>
      <w:r>
        <w:rPr>
          <w:rStyle w:val="29"/>
          <w:rFonts w:hint="default" w:ascii="Times New Roman" w:hAnsi="Times New Roman" w:eastAsia="黑体" w:cs="Times New Roman"/>
          <w:b w:val="0"/>
        </w:rPr>
        <w:t>政府性基金预算支出决算情况说明</w:t>
      </w:r>
      <w:bookmarkEnd w:id="45"/>
      <w:bookmarkEnd w:id="46"/>
      <w:bookmarkEnd w:id="47"/>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政府性基金预算</w:t>
      </w:r>
      <w:r>
        <w:rPr>
          <w:rFonts w:hint="default" w:ascii="Times New Roman" w:hAnsi="Times New Roman" w:eastAsia="仿宋_GB2312" w:cs="Times New Roman"/>
          <w:sz w:val="32"/>
          <w:szCs w:val="32"/>
          <w:lang w:eastAsia="zh-CN"/>
        </w:rPr>
        <w:t>财政</w:t>
      </w:r>
      <w:r>
        <w:rPr>
          <w:rFonts w:hint="default" w:ascii="Times New Roman" w:hAnsi="Times New Roman" w:eastAsia="仿宋_GB2312" w:cs="Times New Roman"/>
          <w:sz w:val="32"/>
          <w:szCs w:val="32"/>
        </w:rPr>
        <w:t>拨款支出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left="630"/>
        <w:outlineLvl w:val="1"/>
        <w:rPr>
          <w:rStyle w:val="29"/>
          <w:rFonts w:hint="default" w:ascii="Times New Roman" w:hAnsi="Times New Roman" w:eastAsia="黑体" w:cs="Times New Roman"/>
          <w:b w:val="0"/>
        </w:rPr>
      </w:pPr>
      <w:bookmarkStart w:id="48" w:name="_Toc15377219"/>
      <w:bookmarkStart w:id="49" w:name="_Toc15396611"/>
      <w:bookmarkStart w:id="50" w:name="_Toc25759"/>
      <w:r>
        <w:rPr>
          <w:rStyle w:val="29"/>
          <w:rFonts w:hint="default" w:ascii="Times New Roman" w:hAnsi="Times New Roman" w:eastAsia="黑体" w:cs="Times New Roman"/>
          <w:b w:val="0"/>
        </w:rPr>
        <w:t>九、国有资本经营预算支出决算情况说明</w:t>
      </w:r>
      <w:bookmarkEnd w:id="48"/>
      <w:bookmarkEnd w:id="49"/>
      <w:bookmarkEnd w:id="50"/>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国有资本经营预算</w:t>
      </w:r>
      <w:r>
        <w:rPr>
          <w:rFonts w:hint="default" w:ascii="Times New Roman" w:hAnsi="Times New Roman" w:eastAsia="仿宋_GB2312" w:cs="Times New Roman"/>
          <w:sz w:val="32"/>
          <w:szCs w:val="32"/>
          <w:lang w:eastAsia="zh-CN"/>
        </w:rPr>
        <w:t>财政</w:t>
      </w:r>
      <w:r>
        <w:rPr>
          <w:rFonts w:hint="default" w:ascii="Times New Roman" w:hAnsi="Times New Roman" w:eastAsia="仿宋_GB2312" w:cs="Times New Roman"/>
          <w:sz w:val="32"/>
          <w:szCs w:val="32"/>
        </w:rPr>
        <w:t>拨款支出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left="630"/>
        <w:outlineLvl w:val="1"/>
        <w:rPr>
          <w:rStyle w:val="29"/>
          <w:rFonts w:hint="default" w:ascii="Times New Roman" w:hAnsi="Times New Roman" w:eastAsia="黑体" w:cs="Times New Roman"/>
          <w:b w:val="0"/>
        </w:rPr>
      </w:pPr>
      <w:bookmarkStart w:id="51" w:name="_Toc15377221"/>
      <w:bookmarkStart w:id="52" w:name="_Toc15266"/>
      <w:bookmarkStart w:id="53" w:name="_Toc15396612"/>
      <w:r>
        <w:rPr>
          <w:rStyle w:val="29"/>
          <w:rFonts w:hint="default" w:ascii="Times New Roman" w:hAnsi="Times New Roman" w:eastAsia="黑体" w:cs="Times New Roman"/>
          <w:b w:val="0"/>
        </w:rPr>
        <w:t>十、其他重要事项的情况说明</w:t>
      </w:r>
      <w:bookmarkEnd w:id="51"/>
      <w:bookmarkEnd w:id="52"/>
      <w:bookmarkEnd w:id="53"/>
    </w:p>
    <w:p>
      <w:pPr>
        <w:spacing w:line="600" w:lineRule="exact"/>
        <w:ind w:firstLine="643" w:firstLineChars="200"/>
        <w:outlineLvl w:val="9"/>
        <w:rPr>
          <w:rFonts w:hint="default" w:ascii="Times New Roman" w:hAnsi="Times New Roman" w:eastAsia="楷体_GB2312" w:cs="Times New Roman"/>
          <w:b/>
          <w:sz w:val="32"/>
          <w:szCs w:val="32"/>
        </w:rPr>
      </w:pPr>
      <w:bookmarkStart w:id="54" w:name="_Toc15377222"/>
      <w:r>
        <w:rPr>
          <w:rFonts w:hint="default" w:ascii="Times New Roman" w:hAnsi="Times New Roman" w:eastAsia="楷体_GB2312" w:cs="Times New Roman"/>
          <w:b/>
          <w:sz w:val="32"/>
          <w:szCs w:val="32"/>
        </w:rPr>
        <w:t>（一）机关运行经费支出情况</w:t>
      </w:r>
      <w:bookmarkEnd w:id="54"/>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机关运行经费支出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p>
    <w:p>
      <w:pPr>
        <w:spacing w:line="600" w:lineRule="exact"/>
        <w:ind w:firstLine="643" w:firstLineChars="200"/>
        <w:outlineLvl w:val="9"/>
        <w:rPr>
          <w:rFonts w:hint="default" w:ascii="Times New Roman" w:hAnsi="Times New Roman" w:eastAsia="楷体_GB2312" w:cs="Times New Roman"/>
          <w:b/>
          <w:sz w:val="32"/>
          <w:szCs w:val="32"/>
        </w:rPr>
      </w:pPr>
      <w:bookmarkStart w:id="55" w:name="_Toc15377223"/>
      <w:r>
        <w:rPr>
          <w:rFonts w:hint="default" w:ascii="Times New Roman" w:hAnsi="Times New Roman" w:eastAsia="楷体_GB2312" w:cs="Times New Roman"/>
          <w:b/>
          <w:sz w:val="32"/>
          <w:szCs w:val="32"/>
        </w:rPr>
        <w:t>（二）政府采购支出情况</w:t>
      </w:r>
      <w:bookmarkEnd w:id="55"/>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采购支出总额</w:t>
      </w:r>
      <w:r>
        <w:rPr>
          <w:rFonts w:hint="eastAsia" w:eastAsia="仿宋_GB2312" w:cs="Times New Roman"/>
          <w:sz w:val="32"/>
          <w:szCs w:val="32"/>
          <w:lang w:val="en-US" w:eastAsia="zh-CN"/>
        </w:rPr>
        <w:t>4.62</w:t>
      </w:r>
      <w:r>
        <w:rPr>
          <w:rFonts w:hint="default" w:ascii="Times New Roman" w:hAnsi="Times New Roman" w:eastAsia="仿宋_GB2312" w:cs="Times New Roman"/>
          <w:sz w:val="32"/>
          <w:szCs w:val="32"/>
        </w:rPr>
        <w:t>万元，其中：政府采购货物支出</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万元、政府采购工程支出</w:t>
      </w:r>
      <w:r>
        <w:rPr>
          <w:rFonts w:hint="eastAsia" w:eastAsia="仿宋_GB2312" w:cs="Times New Roman"/>
          <w:sz w:val="32"/>
          <w:szCs w:val="32"/>
          <w:lang w:val="en-US" w:eastAsia="zh-CN"/>
        </w:rPr>
        <w:t>3.81</w:t>
      </w:r>
      <w:r>
        <w:rPr>
          <w:rFonts w:hint="default" w:ascii="Times New Roman" w:hAnsi="Times New Roman" w:eastAsia="仿宋_GB2312" w:cs="Times New Roman"/>
          <w:sz w:val="32"/>
          <w:szCs w:val="32"/>
        </w:rPr>
        <w:t>万元、政府采购服务支出</w:t>
      </w:r>
      <w:r>
        <w:rPr>
          <w:rFonts w:hint="eastAsia" w:eastAsia="仿宋_GB2312" w:cs="Times New Roman"/>
          <w:sz w:val="32"/>
          <w:szCs w:val="32"/>
          <w:lang w:val="en-US" w:eastAsia="zh-CN"/>
        </w:rPr>
        <w:t>0.82</w:t>
      </w:r>
      <w:r>
        <w:rPr>
          <w:rFonts w:hint="default"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val="en-US" w:eastAsia="zh-CN"/>
        </w:rPr>
        <w:t>单位项目支出中的采购</w:t>
      </w:r>
      <w:r>
        <w:rPr>
          <w:rFonts w:hint="default" w:ascii="Times New Roman" w:hAnsi="Times New Roman" w:eastAsia="仿宋_GB2312" w:cs="Times New Roman"/>
          <w:sz w:val="32"/>
          <w:szCs w:val="32"/>
        </w:rPr>
        <w:t>。授予中小企业合同金额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%，其中：授予小微企业合同金额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spacing w:line="600" w:lineRule="exact"/>
        <w:ind w:firstLine="643" w:firstLineChars="200"/>
        <w:outlineLvl w:val="9"/>
        <w:rPr>
          <w:rFonts w:hint="default" w:ascii="Times New Roman" w:hAnsi="Times New Roman" w:eastAsia="楷体_GB2312" w:cs="Times New Roman"/>
          <w:b/>
          <w:sz w:val="32"/>
          <w:szCs w:val="32"/>
        </w:rPr>
      </w:pPr>
      <w:bookmarkStart w:id="56" w:name="_Toc15377224"/>
      <w:r>
        <w:rPr>
          <w:rFonts w:hint="default" w:ascii="Times New Roman" w:hAnsi="Times New Roman" w:eastAsia="楷体_GB2312" w:cs="Times New Roman"/>
          <w:b/>
          <w:sz w:val="32"/>
          <w:szCs w:val="32"/>
        </w:rPr>
        <w:t>（三）国有资产占有使用情况</w:t>
      </w:r>
      <w:bookmarkEnd w:id="56"/>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w:t>
      </w:r>
      <w:r>
        <w:rPr>
          <w:rFonts w:hint="default" w:ascii="Times New Roman" w:hAnsi="Times New Roman" w:eastAsia="仿宋_GB2312" w:cs="Times New Roman"/>
          <w:sz w:val="32"/>
          <w:szCs w:val="32"/>
          <w:lang w:eastAsia="zh-CN"/>
        </w:rPr>
        <w:t>2023</w:t>
      </w:r>
      <w:r>
        <w:rPr>
          <w:rFonts w:hint="default" w:ascii="Times New Roman" w:hAnsi="Times New Roman" w:eastAsia="仿宋_GB2312" w:cs="Times New Roman"/>
          <w:sz w:val="32"/>
          <w:szCs w:val="32"/>
        </w:rPr>
        <w:t>年12月31日，</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共有车辆</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辆，其中：应急保障用车</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辆、其他用车</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其他用车主要是用于</w:t>
      </w:r>
      <w:r>
        <w:rPr>
          <w:rFonts w:hint="default" w:ascii="Times New Roman" w:hAnsi="Times New Roman" w:eastAsia="仿宋_GB2312" w:cs="Times New Roman"/>
          <w:sz w:val="32"/>
          <w:szCs w:val="32"/>
          <w:lang w:val="en-US" w:eastAsia="zh-CN"/>
        </w:rPr>
        <w:t>公路养护</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单价50万元以上通用设备</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台（套），单价100万元以上专用设备</w:t>
      </w:r>
      <w:r>
        <w:rPr>
          <w:rFonts w:hint="default" w:ascii="Times New Roman" w:hAnsi="Times New Roman" w:eastAsia="仿宋_GB2312" w:cs="Times New Roman"/>
          <w:sz w:val="32"/>
          <w:szCs w:val="32"/>
          <w:lang w:eastAsia="zh-CN"/>
        </w:rPr>
        <w:t>（不含车辆）</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台（套）。</w:t>
      </w:r>
    </w:p>
    <w:p>
      <w:pPr>
        <w:spacing w:line="600" w:lineRule="exact"/>
        <w:ind w:firstLine="643" w:firstLineChars="200"/>
        <w:outlineLvl w:val="9"/>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（四）预算绩效管理情况</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w:t>
      </w:r>
      <w:r>
        <w:rPr>
          <w:rFonts w:hint="eastAsia" w:eastAsia="仿宋_GB2312" w:cs="Times New Roman"/>
          <w:sz w:val="32"/>
          <w:szCs w:val="32"/>
          <w:lang w:val="en-US" w:eastAsia="zh-CN"/>
        </w:rPr>
        <w:t>本单位</w:t>
      </w:r>
      <w:r>
        <w:rPr>
          <w:rFonts w:hint="default" w:ascii="Times New Roman" w:hAnsi="Times New Roman" w:eastAsia="仿宋_GB2312" w:cs="Times New Roman"/>
          <w:sz w:val="32"/>
          <w:szCs w:val="32"/>
        </w:rPr>
        <w:t>在2024年度预算编制阶段，组织对G317线理县国省干线小修保养</w:t>
      </w:r>
      <w:r>
        <w:rPr>
          <w:rFonts w:hint="eastAsia" w:eastAsia="仿宋_GB2312" w:cs="Times New Roman"/>
          <w:sz w:val="32"/>
          <w:szCs w:val="32"/>
          <w:lang w:eastAsia="zh-CN"/>
        </w:rPr>
        <w:t>、理县交调站维护费</w:t>
      </w:r>
      <w:r>
        <w:rPr>
          <w:rFonts w:hint="default" w:ascii="Times New Roman" w:hAnsi="Times New Roman" w:eastAsia="仿宋_GB2312" w:cs="Times New Roman"/>
          <w:sz w:val="32"/>
          <w:szCs w:val="32"/>
        </w:rPr>
        <w:t>等</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个项目开展了预算事前绩效评估，对</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个项目编制了绩效目标，预算执行过程中，选取</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个项目开展绩效监控。绩效自评表详见第四部分附件。</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spacing w:line="600" w:lineRule="exact"/>
        <w:ind w:firstLine="640"/>
        <w:rPr>
          <w:rFonts w:hint="default" w:ascii="Times New Roman" w:hAnsi="Times New Roman" w:eastAsia="仿宋_GB2312" w:cs="Times New Roman"/>
          <w:sz w:val="32"/>
          <w:szCs w:val="32"/>
        </w:rPr>
      </w:pPr>
    </w:p>
    <w:p>
      <w:pPr>
        <w:pStyle w:val="3"/>
        <w:jc w:val="center"/>
        <w:rPr>
          <w:rFonts w:hint="default" w:ascii="Times New Roman" w:hAnsi="Times New Roman" w:eastAsia="方正小标宋简体" w:cs="Times New Roman"/>
          <w:b w:val="0"/>
        </w:rPr>
      </w:pPr>
      <w:bookmarkStart w:id="57" w:name="_Toc15377225"/>
      <w:bookmarkStart w:id="58" w:name="_Toc15396613"/>
      <w:bookmarkStart w:id="59" w:name="_Toc27460"/>
      <w:r>
        <w:rPr>
          <w:rFonts w:hint="default" w:ascii="Times New Roman" w:hAnsi="Times New Roman" w:eastAsia="方正小标宋简体" w:cs="Times New Roman"/>
          <w:b w:val="0"/>
        </w:rPr>
        <w:t>第三部分  名词解释</w:t>
      </w:r>
      <w:bookmarkEnd w:id="57"/>
      <w:bookmarkEnd w:id="58"/>
      <w:bookmarkEnd w:id="59"/>
    </w:p>
    <w:p>
      <w:pPr>
        <w:ind w:firstLine="640" w:firstLineChars="200"/>
        <w:rPr>
          <w:rFonts w:hint="default" w:ascii="Times New Roman" w:hAnsi="Times New Roman" w:eastAsia="仿宋_GB2312" w:cs="Times New Roman"/>
          <w:color w:val="auto"/>
          <w:kern w:val="2"/>
          <w:sz w:val="32"/>
          <w:szCs w:val="32"/>
          <w:lang w:val="en-US" w:eastAsia="zh-CN" w:bidi="ar-SA"/>
        </w:rPr>
      </w:pPr>
      <w:bookmarkStart w:id="60" w:name="_Toc14338"/>
      <w:bookmarkStart w:id="61" w:name="_Toc15377226"/>
      <w:r>
        <w:rPr>
          <w:rFonts w:hint="default" w:ascii="Times New Roman" w:hAnsi="Times New Roman" w:eastAsia="仿宋_GB2312" w:cs="Times New Roman"/>
          <w:color w:val="auto"/>
          <w:kern w:val="2"/>
          <w:sz w:val="32"/>
          <w:szCs w:val="32"/>
          <w:lang w:val="en-US" w:eastAsia="zh-CN" w:bidi="ar-SA"/>
        </w:rPr>
        <w:t>1.财政拨款收入：指单位从同级财政单位取得的财政预算资金。</w:t>
      </w:r>
      <w:bookmarkEnd w:id="60"/>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2.社会保障和就业支出（类）行政事业单位养老支出（款）机关事业单位基本养老保险缴费支出（项）：指反映机关事业单位实施养老保险制度由单位缴纳的基本养老保险费支出。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3.社会保障和就业支出（类）行政事业单位养老支出（款）机关事业单位职业年金缴费支出（项）：指反映机关事业单位实施养老保险制度由单位实际缴纳的职业年金支出。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4.卫生健康支出（类）行政事业单位医疗（款）事业单位医疗（项）</w:t>
      </w:r>
      <w:r>
        <w:rPr>
          <w:rFonts w:hint="eastAsia"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指反映财政部门安排的事业单位基本医疗保险缴费经费，未参加医疗保险的事业单位的公费医疗经费，按国家规定享受离休人员待遇的医疗经费。</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5.卫生健康支出（类）行政事业单位医疗（款）其他行政事业单位医疗支出（项）：指反映除上述项目以外的其他用于行政事业单位医疗方面的支出。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6.交通运输支出（类）公路水路运输（款）公路养护（项）：指反映公路养护支出。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7.住房保障支出（类）住房改革支出（款）住房公积金（项）：指反映行政事业单位按人力资源和社会保障部、财政部规定的基本工资和津贴补贴以及规定比例为职工缴纳的住房公积金。</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8.住房保障支出（类）住房改革支出（款）购房补贴（项）：指反映按房改政策规定，行政事业单位向符合条件职工（含离 退休人员）、军队（含武警）向转役复员离退休人员发放的用于购买住房的补贴。</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9.基本支出：指为保障机构正常运转、完成日常工作任务而发生的人员支出和公用支出。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 xml:space="preserve">10.项目支出：指在基本支出之外为完成特定行政任务和事业发展目标所发生的支出。 </w:t>
      </w:r>
    </w:p>
    <w:p>
      <w:pPr>
        <w:pStyle w:val="26"/>
        <w:spacing w:line="560" w:lineRule="exact"/>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11.“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
        <w:jc w:val="center"/>
        <w:rPr>
          <w:rStyle w:val="28"/>
          <w:rFonts w:hint="default" w:ascii="Times New Roman" w:hAnsi="Times New Roman" w:eastAsia="黑体" w:cs="Times New Roman"/>
          <w:b w:val="0"/>
          <w:bCs/>
        </w:rPr>
      </w:pPr>
      <w:r>
        <w:rPr>
          <w:rFonts w:hint="default" w:ascii="Times New Roman" w:hAnsi="Times New Roman" w:eastAsia="仿宋_GB2312" w:cs="Times New Roman"/>
          <w:color w:val="auto"/>
          <w:kern w:val="2"/>
          <w:sz w:val="32"/>
          <w:szCs w:val="32"/>
          <w:lang w:val="en-US" w:eastAsia="zh-CN" w:bidi="ar-SA"/>
        </w:rPr>
        <w:br w:type="page"/>
      </w:r>
      <w:bookmarkStart w:id="62" w:name="_Toc15396614"/>
      <w:bookmarkStart w:id="63" w:name="_Toc14860"/>
      <w:r>
        <w:rPr>
          <w:rFonts w:hint="default" w:ascii="Times New Roman" w:hAnsi="Times New Roman" w:eastAsia="方正小标宋简体" w:cs="Times New Roman"/>
          <w:b w:val="0"/>
        </w:rPr>
        <w:t>第四部分  附件</w:t>
      </w:r>
      <w:bookmarkEnd w:id="62"/>
      <w:bookmarkEnd w:id="63"/>
    </w:p>
    <w:p>
      <w:pPr>
        <w:pStyle w:val="2"/>
      </w:pPr>
      <w:bookmarkStart w:id="64" w:name="_Toc15396618"/>
      <w:r>
        <w:drawing>
          <wp:inline distT="0" distB="0" distL="114300" distR="114300">
            <wp:extent cx="5265420" cy="6024880"/>
            <wp:effectExtent l="0" t="0" r="1143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5265420" cy="6024880"/>
                    </a:xfrm>
                    <a:prstGeom prst="rect">
                      <a:avLst/>
                    </a:prstGeom>
                    <a:noFill/>
                    <a:ln>
                      <a:noFill/>
                    </a:ln>
                  </pic:spPr>
                </pic:pic>
              </a:graphicData>
            </a:graphic>
          </wp:inline>
        </w:drawing>
      </w:r>
    </w:p>
    <w:p/>
    <w:p>
      <w:pPr>
        <w:pStyle w:val="2"/>
      </w:pPr>
      <w:r>
        <w:drawing>
          <wp:inline distT="0" distB="0" distL="114300" distR="114300">
            <wp:extent cx="5265420" cy="6946265"/>
            <wp:effectExtent l="0" t="0" r="1143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7"/>
                    <a:stretch>
                      <a:fillRect/>
                    </a:stretch>
                  </pic:blipFill>
                  <pic:spPr>
                    <a:xfrm>
                      <a:off x="0" y="0"/>
                      <a:ext cx="5265420" cy="6946265"/>
                    </a:xfrm>
                    <a:prstGeom prst="rect">
                      <a:avLst/>
                    </a:prstGeom>
                    <a:noFill/>
                    <a:ln>
                      <a:noFill/>
                    </a:ln>
                  </pic:spPr>
                </pic:pic>
              </a:graphicData>
            </a:graphic>
          </wp:inline>
        </w:drawing>
      </w:r>
    </w:p>
    <w:p/>
    <w:p>
      <w:pPr>
        <w:pStyle w:val="2"/>
      </w:pPr>
      <w:r>
        <w:drawing>
          <wp:inline distT="0" distB="0" distL="114300" distR="114300">
            <wp:extent cx="5265420" cy="7067550"/>
            <wp:effectExtent l="0" t="0" r="1143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8"/>
                    <a:stretch>
                      <a:fillRect/>
                    </a:stretch>
                  </pic:blipFill>
                  <pic:spPr>
                    <a:xfrm>
                      <a:off x="0" y="0"/>
                      <a:ext cx="5265420" cy="7067550"/>
                    </a:xfrm>
                    <a:prstGeom prst="rect">
                      <a:avLst/>
                    </a:prstGeom>
                    <a:noFill/>
                    <a:ln>
                      <a:noFill/>
                    </a:ln>
                  </pic:spPr>
                </pic:pic>
              </a:graphicData>
            </a:graphic>
          </wp:inline>
        </w:drawing>
      </w:r>
    </w:p>
    <w:p/>
    <w:p>
      <w:pPr>
        <w:pStyle w:val="2"/>
      </w:pPr>
    </w:p>
    <w:p/>
    <w:p>
      <w:pPr>
        <w:pStyle w:val="2"/>
      </w:pPr>
      <w:r>
        <w:drawing>
          <wp:inline distT="0" distB="0" distL="114300" distR="114300">
            <wp:extent cx="5265420" cy="7318375"/>
            <wp:effectExtent l="0" t="0" r="11430" b="1587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9"/>
                    <a:stretch>
                      <a:fillRect/>
                    </a:stretch>
                  </pic:blipFill>
                  <pic:spPr>
                    <a:xfrm>
                      <a:off x="0" y="0"/>
                      <a:ext cx="5265420" cy="7318375"/>
                    </a:xfrm>
                    <a:prstGeom prst="rect">
                      <a:avLst/>
                    </a:prstGeom>
                    <a:noFill/>
                    <a:ln>
                      <a:noFill/>
                    </a:ln>
                  </pic:spPr>
                </pic:pic>
              </a:graphicData>
            </a:graphic>
          </wp:inline>
        </w:drawing>
      </w:r>
    </w:p>
    <w:p>
      <w:pPr>
        <w:rPr>
          <w:rFonts w:hint="default"/>
        </w:rPr>
      </w:pPr>
    </w:p>
    <w:p/>
    <w:p/>
    <w:p>
      <w:r>
        <w:drawing>
          <wp:inline distT="0" distB="0" distL="114300" distR="114300">
            <wp:extent cx="5271135" cy="6752590"/>
            <wp:effectExtent l="0" t="0" r="5715" b="1016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20"/>
                    <a:stretch>
                      <a:fillRect/>
                    </a:stretch>
                  </pic:blipFill>
                  <pic:spPr>
                    <a:xfrm>
                      <a:off x="0" y="0"/>
                      <a:ext cx="5271135" cy="6752590"/>
                    </a:xfrm>
                    <a:prstGeom prst="rect">
                      <a:avLst/>
                    </a:prstGeom>
                    <a:noFill/>
                    <a:ln>
                      <a:noFill/>
                    </a:ln>
                  </pic:spPr>
                </pic:pic>
              </a:graphicData>
            </a:graphic>
          </wp:inline>
        </w:drawing>
      </w:r>
    </w:p>
    <w:p>
      <w:pPr>
        <w:pStyle w:val="2"/>
      </w:pPr>
      <w:r>
        <w:drawing>
          <wp:inline distT="0" distB="0" distL="114300" distR="114300">
            <wp:extent cx="5271135" cy="7474585"/>
            <wp:effectExtent l="0" t="0" r="5715" b="1206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21"/>
                    <a:stretch>
                      <a:fillRect/>
                    </a:stretch>
                  </pic:blipFill>
                  <pic:spPr>
                    <a:xfrm>
                      <a:off x="0" y="0"/>
                      <a:ext cx="5271135" cy="7474585"/>
                    </a:xfrm>
                    <a:prstGeom prst="rect">
                      <a:avLst/>
                    </a:prstGeom>
                    <a:noFill/>
                    <a:ln>
                      <a:noFill/>
                    </a:ln>
                  </pic:spPr>
                </pic:pic>
              </a:graphicData>
            </a:graphic>
          </wp:inline>
        </w:drawing>
      </w:r>
    </w:p>
    <w:p/>
    <w:p>
      <w:pPr>
        <w:pStyle w:val="2"/>
      </w:pPr>
      <w:r>
        <w:drawing>
          <wp:inline distT="0" distB="0" distL="114300" distR="114300">
            <wp:extent cx="5265420" cy="8300085"/>
            <wp:effectExtent l="0" t="0" r="11430" b="5715"/>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22"/>
                    <a:stretch>
                      <a:fillRect/>
                    </a:stretch>
                  </pic:blipFill>
                  <pic:spPr>
                    <a:xfrm>
                      <a:off x="0" y="0"/>
                      <a:ext cx="5265420" cy="8300085"/>
                    </a:xfrm>
                    <a:prstGeom prst="rect">
                      <a:avLst/>
                    </a:prstGeom>
                    <a:noFill/>
                    <a:ln>
                      <a:noFill/>
                    </a:ln>
                  </pic:spPr>
                </pic:pic>
              </a:graphicData>
            </a:graphic>
          </wp:inline>
        </w:drawing>
      </w:r>
    </w:p>
    <w:p/>
    <w:p>
      <w:pPr>
        <w:pStyle w:val="2"/>
      </w:pPr>
      <w:r>
        <w:drawing>
          <wp:inline distT="0" distB="0" distL="114300" distR="114300">
            <wp:extent cx="5265420" cy="7373620"/>
            <wp:effectExtent l="0" t="0" r="11430" b="1778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23"/>
                    <a:stretch>
                      <a:fillRect/>
                    </a:stretch>
                  </pic:blipFill>
                  <pic:spPr>
                    <a:xfrm>
                      <a:off x="0" y="0"/>
                      <a:ext cx="5265420" cy="7373620"/>
                    </a:xfrm>
                    <a:prstGeom prst="rect">
                      <a:avLst/>
                    </a:prstGeom>
                    <a:noFill/>
                    <a:ln>
                      <a:noFill/>
                    </a:ln>
                  </pic:spPr>
                </pic:pic>
              </a:graphicData>
            </a:graphic>
          </wp:inline>
        </w:drawing>
      </w:r>
    </w:p>
    <w:p/>
    <w:p>
      <w:pPr>
        <w:pStyle w:val="2"/>
      </w:pPr>
      <w:r>
        <w:drawing>
          <wp:inline distT="0" distB="0" distL="114300" distR="114300">
            <wp:extent cx="5265420" cy="7499350"/>
            <wp:effectExtent l="0" t="0" r="11430" b="635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24"/>
                    <a:stretch>
                      <a:fillRect/>
                    </a:stretch>
                  </pic:blipFill>
                  <pic:spPr>
                    <a:xfrm>
                      <a:off x="0" y="0"/>
                      <a:ext cx="5265420" cy="7499350"/>
                    </a:xfrm>
                    <a:prstGeom prst="rect">
                      <a:avLst/>
                    </a:prstGeom>
                    <a:noFill/>
                    <a:ln>
                      <a:noFill/>
                    </a:ln>
                  </pic:spPr>
                </pic:pic>
              </a:graphicData>
            </a:graphic>
          </wp:inline>
        </w:drawing>
      </w:r>
    </w:p>
    <w:p/>
    <w:p>
      <w:pPr>
        <w:rPr>
          <w:rFonts w:hint="default" w:ascii="Times New Roman" w:hAnsi="Times New Roman" w:eastAsia="黑体" w:cs="Times New Roman"/>
          <w:sz w:val="44"/>
          <w:szCs w:val="44"/>
        </w:rPr>
      </w:pPr>
      <w:r>
        <w:rPr>
          <w:rFonts w:hint="default" w:ascii="Times New Roman" w:hAnsi="Times New Roman" w:eastAsia="黑体" w:cs="Times New Roman"/>
          <w:sz w:val="44"/>
          <w:szCs w:val="44"/>
        </w:rPr>
        <w:br w:type="page"/>
      </w:r>
    </w:p>
    <w:p>
      <w:pPr>
        <w:pStyle w:val="3"/>
        <w:jc w:val="center"/>
        <w:rPr>
          <w:rFonts w:hint="default" w:ascii="Times New Roman" w:hAnsi="Times New Roman" w:eastAsia="方正小标宋简体" w:cs="Times New Roman"/>
          <w:b w:val="0"/>
        </w:rPr>
      </w:pPr>
      <w:bookmarkStart w:id="65" w:name="_Toc409"/>
      <w:r>
        <w:rPr>
          <w:rFonts w:hint="default" w:ascii="Times New Roman" w:hAnsi="Times New Roman" w:eastAsia="方正小标宋简体" w:cs="Times New Roman"/>
          <w:b w:val="0"/>
        </w:rPr>
        <w:t>第五部分 附表</w:t>
      </w:r>
      <w:bookmarkEnd w:id="61"/>
      <w:bookmarkEnd w:id="64"/>
      <w:bookmarkEnd w:id="65"/>
      <w:bookmarkStart w:id="66" w:name="_Toc15396619"/>
    </w:p>
    <w:p>
      <w:pPr>
        <w:pStyle w:val="14"/>
        <w:adjustRightInd w:val="0"/>
        <w:snapToGrid w:val="0"/>
        <w:spacing w:line="560" w:lineRule="exact"/>
        <w:jc w:val="left"/>
        <w:rPr>
          <w:rFonts w:hint="default" w:ascii="Times New Roman" w:hAnsi="Times New Roman" w:eastAsia="仿宋_GB2312" w:cs="Times New Roman"/>
          <w:sz w:val="32"/>
          <w:szCs w:val="32"/>
        </w:rPr>
      </w:pPr>
    </w:p>
    <w:p>
      <w:pPr>
        <w:pStyle w:val="4"/>
        <w:rPr>
          <w:rFonts w:hint="default" w:ascii="仿宋" w:hAnsi="仿宋" w:eastAsia="仿宋"/>
          <w:b w:val="0"/>
          <w:color w:val="auto"/>
          <w:highlight w:val="none"/>
        </w:rPr>
      </w:pPr>
      <w:bookmarkStart w:id="67" w:name="_Toc26740"/>
      <w:r>
        <w:rPr>
          <w:rFonts w:hint="default" w:ascii="仿宋" w:hAnsi="仿宋" w:eastAsia="仿宋"/>
          <w:b w:val="0"/>
          <w:color w:val="auto"/>
          <w:highlight w:val="none"/>
        </w:rPr>
        <w:t>一、收入支出决算总表</w:t>
      </w:r>
      <w:bookmarkEnd w:id="66"/>
      <w:bookmarkEnd w:id="67"/>
    </w:p>
    <w:p>
      <w:pPr>
        <w:pStyle w:val="4"/>
        <w:rPr>
          <w:rFonts w:hint="default" w:ascii="仿宋" w:hAnsi="仿宋" w:eastAsia="仿宋"/>
          <w:b w:val="0"/>
          <w:color w:val="auto"/>
          <w:highlight w:val="none"/>
        </w:rPr>
      </w:pPr>
      <w:bookmarkStart w:id="68" w:name="_Toc15396620"/>
      <w:bookmarkStart w:id="69" w:name="_Toc12238"/>
      <w:r>
        <w:rPr>
          <w:rFonts w:hint="default" w:ascii="仿宋" w:hAnsi="仿宋" w:eastAsia="仿宋"/>
          <w:b w:val="0"/>
          <w:color w:val="auto"/>
          <w:highlight w:val="none"/>
        </w:rPr>
        <w:t>二、收入决算表</w:t>
      </w:r>
      <w:bookmarkEnd w:id="68"/>
      <w:bookmarkEnd w:id="69"/>
    </w:p>
    <w:p>
      <w:pPr>
        <w:pStyle w:val="4"/>
        <w:rPr>
          <w:rFonts w:hint="default" w:ascii="仿宋" w:hAnsi="仿宋" w:eastAsia="仿宋"/>
          <w:b w:val="0"/>
          <w:color w:val="auto"/>
          <w:highlight w:val="none"/>
        </w:rPr>
      </w:pPr>
      <w:bookmarkStart w:id="70" w:name="_Toc2228"/>
      <w:bookmarkStart w:id="71" w:name="_Toc15396621"/>
      <w:r>
        <w:rPr>
          <w:rFonts w:hint="default" w:ascii="仿宋" w:hAnsi="仿宋" w:eastAsia="仿宋"/>
          <w:b w:val="0"/>
          <w:color w:val="auto"/>
          <w:highlight w:val="none"/>
        </w:rPr>
        <w:t>三、支出决算表</w:t>
      </w:r>
      <w:bookmarkEnd w:id="70"/>
      <w:bookmarkEnd w:id="71"/>
    </w:p>
    <w:p>
      <w:pPr>
        <w:pStyle w:val="4"/>
        <w:rPr>
          <w:rFonts w:hint="default" w:ascii="仿宋" w:hAnsi="仿宋" w:eastAsia="仿宋"/>
          <w:b w:val="0"/>
          <w:color w:val="auto"/>
          <w:highlight w:val="none"/>
        </w:rPr>
      </w:pPr>
      <w:bookmarkStart w:id="72" w:name="_Toc18706"/>
      <w:bookmarkStart w:id="73" w:name="_Toc15396622"/>
      <w:r>
        <w:rPr>
          <w:rFonts w:hint="default" w:ascii="仿宋" w:hAnsi="仿宋" w:eastAsia="仿宋"/>
          <w:b w:val="0"/>
          <w:color w:val="auto"/>
          <w:highlight w:val="none"/>
        </w:rPr>
        <w:t>四、财政拨款收入支出决算总表</w:t>
      </w:r>
      <w:bookmarkEnd w:id="72"/>
      <w:bookmarkEnd w:id="73"/>
    </w:p>
    <w:p>
      <w:pPr>
        <w:pStyle w:val="4"/>
        <w:rPr>
          <w:rFonts w:hint="default" w:ascii="仿宋" w:hAnsi="仿宋" w:eastAsia="仿宋"/>
          <w:b w:val="0"/>
          <w:color w:val="auto"/>
          <w:highlight w:val="none"/>
        </w:rPr>
      </w:pPr>
      <w:bookmarkStart w:id="74" w:name="_Toc24311"/>
      <w:bookmarkStart w:id="75" w:name="_Toc15396623"/>
      <w:r>
        <w:rPr>
          <w:rFonts w:hint="default" w:ascii="仿宋" w:hAnsi="仿宋" w:eastAsia="仿宋"/>
          <w:b w:val="0"/>
          <w:color w:val="auto"/>
          <w:highlight w:val="none"/>
        </w:rPr>
        <w:t>五、财政拨款支出决算明细表</w:t>
      </w:r>
      <w:bookmarkEnd w:id="74"/>
      <w:bookmarkEnd w:id="75"/>
      <w:bookmarkStart w:id="76" w:name="_Toc15396624"/>
    </w:p>
    <w:p>
      <w:pPr>
        <w:pStyle w:val="4"/>
        <w:rPr>
          <w:rFonts w:hint="default" w:ascii="仿宋" w:hAnsi="仿宋" w:eastAsia="仿宋"/>
          <w:b w:val="0"/>
          <w:color w:val="auto"/>
          <w:highlight w:val="none"/>
        </w:rPr>
      </w:pPr>
      <w:bookmarkStart w:id="77" w:name="_Toc12219"/>
      <w:r>
        <w:rPr>
          <w:rFonts w:hint="default" w:ascii="仿宋" w:hAnsi="仿宋" w:eastAsia="仿宋"/>
          <w:b w:val="0"/>
          <w:color w:val="auto"/>
          <w:highlight w:val="none"/>
        </w:rPr>
        <w:t>六、一般公共预算财政拨款支出决算表</w:t>
      </w:r>
      <w:bookmarkEnd w:id="76"/>
      <w:bookmarkEnd w:id="77"/>
    </w:p>
    <w:p>
      <w:pPr>
        <w:pStyle w:val="4"/>
        <w:rPr>
          <w:rFonts w:hint="default" w:ascii="仿宋" w:hAnsi="仿宋" w:eastAsia="仿宋"/>
          <w:b w:val="0"/>
          <w:color w:val="auto"/>
          <w:highlight w:val="none"/>
        </w:rPr>
      </w:pPr>
      <w:bookmarkStart w:id="78" w:name="_Toc15396625"/>
      <w:bookmarkStart w:id="79" w:name="_Toc32710"/>
      <w:r>
        <w:rPr>
          <w:rFonts w:hint="default" w:ascii="仿宋" w:hAnsi="仿宋" w:eastAsia="仿宋"/>
          <w:b w:val="0"/>
          <w:color w:val="auto"/>
          <w:highlight w:val="none"/>
        </w:rPr>
        <w:t>七、一般公共预算财政拨款支出决算明细表</w:t>
      </w:r>
      <w:bookmarkEnd w:id="78"/>
      <w:bookmarkEnd w:id="79"/>
    </w:p>
    <w:p>
      <w:pPr>
        <w:pStyle w:val="4"/>
        <w:rPr>
          <w:rFonts w:hint="default" w:ascii="仿宋" w:hAnsi="仿宋" w:eastAsia="仿宋"/>
          <w:b w:val="0"/>
          <w:color w:val="auto"/>
          <w:highlight w:val="none"/>
        </w:rPr>
      </w:pPr>
      <w:bookmarkStart w:id="80" w:name="_Toc7054"/>
      <w:bookmarkStart w:id="81" w:name="_Toc15396626"/>
      <w:r>
        <w:rPr>
          <w:rFonts w:hint="default" w:ascii="仿宋" w:hAnsi="仿宋" w:eastAsia="仿宋"/>
          <w:b w:val="0"/>
          <w:color w:val="auto"/>
          <w:highlight w:val="none"/>
        </w:rPr>
        <w:t>八、一般公共预算财政拨款基本支出决算表</w:t>
      </w:r>
      <w:bookmarkEnd w:id="80"/>
      <w:bookmarkEnd w:id="81"/>
    </w:p>
    <w:p>
      <w:pPr>
        <w:pStyle w:val="4"/>
        <w:rPr>
          <w:rFonts w:hint="default" w:ascii="仿宋" w:hAnsi="仿宋" w:eastAsia="仿宋"/>
          <w:b w:val="0"/>
          <w:color w:val="auto"/>
          <w:highlight w:val="none"/>
        </w:rPr>
      </w:pPr>
      <w:bookmarkStart w:id="82" w:name="_Toc27567"/>
      <w:bookmarkStart w:id="83" w:name="_Toc15396627"/>
      <w:r>
        <w:rPr>
          <w:rFonts w:hint="default" w:ascii="仿宋" w:hAnsi="仿宋" w:eastAsia="仿宋"/>
          <w:b w:val="0"/>
          <w:color w:val="auto"/>
          <w:highlight w:val="none"/>
        </w:rPr>
        <w:t>九、一般公共预算财政拨款项目支出决算表</w:t>
      </w:r>
      <w:bookmarkEnd w:id="82"/>
      <w:bookmarkEnd w:id="83"/>
    </w:p>
    <w:p>
      <w:pPr>
        <w:pStyle w:val="4"/>
        <w:rPr>
          <w:rFonts w:hint="default" w:ascii="仿宋" w:hAnsi="仿宋" w:eastAsia="仿宋"/>
          <w:b w:val="0"/>
          <w:color w:val="auto"/>
          <w:highlight w:val="none"/>
        </w:rPr>
      </w:pPr>
      <w:bookmarkStart w:id="84" w:name="_Toc15396628"/>
      <w:bookmarkStart w:id="85" w:name="_Toc31571"/>
      <w:r>
        <w:rPr>
          <w:rFonts w:hint="default" w:ascii="仿宋" w:hAnsi="仿宋" w:eastAsia="仿宋"/>
          <w:b w:val="0"/>
          <w:color w:val="auto"/>
          <w:highlight w:val="none"/>
        </w:rPr>
        <w:t>十、</w:t>
      </w:r>
      <w:bookmarkEnd w:id="84"/>
      <w:r>
        <w:rPr>
          <w:rFonts w:hint="default" w:ascii="仿宋" w:hAnsi="仿宋" w:eastAsia="仿宋"/>
          <w:b w:val="0"/>
          <w:color w:val="auto"/>
          <w:highlight w:val="none"/>
        </w:rPr>
        <w:t>政府性基金预算财政拨款收入支出决算表</w:t>
      </w:r>
      <w:bookmarkEnd w:id="85"/>
    </w:p>
    <w:p>
      <w:pPr>
        <w:pStyle w:val="4"/>
        <w:rPr>
          <w:rFonts w:hint="default" w:ascii="仿宋" w:hAnsi="仿宋" w:eastAsia="仿宋"/>
          <w:b w:val="0"/>
          <w:color w:val="auto"/>
          <w:highlight w:val="none"/>
        </w:rPr>
      </w:pPr>
      <w:bookmarkStart w:id="86" w:name="_Toc15396629"/>
      <w:bookmarkStart w:id="87" w:name="_Toc19711"/>
      <w:r>
        <w:rPr>
          <w:rFonts w:hint="default" w:ascii="仿宋" w:hAnsi="仿宋" w:eastAsia="仿宋"/>
          <w:b w:val="0"/>
          <w:color w:val="auto"/>
          <w:highlight w:val="none"/>
        </w:rPr>
        <w:t>十一、</w:t>
      </w:r>
      <w:bookmarkEnd w:id="86"/>
      <w:r>
        <w:rPr>
          <w:rFonts w:hint="default" w:ascii="仿宋" w:hAnsi="仿宋" w:eastAsia="仿宋"/>
          <w:b w:val="0"/>
          <w:color w:val="auto"/>
          <w:highlight w:val="none"/>
        </w:rPr>
        <w:t>国有资本经营预算财政拨款收入支出决算表</w:t>
      </w:r>
      <w:bookmarkEnd w:id="87"/>
    </w:p>
    <w:p>
      <w:pPr>
        <w:pStyle w:val="4"/>
        <w:rPr>
          <w:rFonts w:hint="default" w:ascii="仿宋" w:hAnsi="仿宋" w:eastAsia="仿宋"/>
          <w:b w:val="0"/>
          <w:color w:val="auto"/>
          <w:highlight w:val="none"/>
        </w:rPr>
      </w:pPr>
      <w:bookmarkStart w:id="88" w:name="_Toc15396630"/>
      <w:bookmarkStart w:id="89" w:name="_Toc5157"/>
      <w:r>
        <w:rPr>
          <w:rFonts w:hint="default" w:ascii="仿宋" w:hAnsi="仿宋" w:eastAsia="仿宋"/>
          <w:b w:val="0"/>
          <w:color w:val="auto"/>
          <w:highlight w:val="none"/>
        </w:rPr>
        <w:t>十二、</w:t>
      </w:r>
      <w:bookmarkEnd w:id="88"/>
      <w:r>
        <w:rPr>
          <w:rFonts w:hint="default" w:ascii="仿宋" w:hAnsi="仿宋" w:eastAsia="仿宋"/>
          <w:b w:val="0"/>
          <w:color w:val="auto"/>
          <w:highlight w:val="none"/>
        </w:rPr>
        <w:t>国有资本经营预算财政拨款支出决算表</w:t>
      </w:r>
      <w:bookmarkEnd w:id="89"/>
    </w:p>
    <w:p>
      <w:pPr>
        <w:pStyle w:val="4"/>
        <w:rPr>
          <w:rFonts w:hint="default" w:ascii="仿宋" w:hAnsi="仿宋" w:eastAsia="仿宋"/>
          <w:b w:val="0"/>
          <w:color w:val="auto"/>
          <w:highlight w:val="none"/>
        </w:rPr>
      </w:pPr>
      <w:bookmarkStart w:id="90" w:name="_Toc15396631"/>
      <w:bookmarkStart w:id="91" w:name="_Toc4192"/>
      <w:r>
        <w:rPr>
          <w:rFonts w:hint="default" w:ascii="仿宋" w:hAnsi="仿宋" w:eastAsia="仿宋"/>
          <w:b w:val="0"/>
          <w:color w:val="auto"/>
          <w:highlight w:val="none"/>
        </w:rPr>
        <w:t>十三、</w:t>
      </w:r>
      <w:bookmarkEnd w:id="90"/>
      <w:r>
        <w:rPr>
          <w:rFonts w:hint="default" w:ascii="仿宋" w:hAnsi="仿宋" w:eastAsia="仿宋"/>
          <w:b w:val="0"/>
          <w:color w:val="auto"/>
          <w:highlight w:val="none"/>
        </w:rPr>
        <w:t>财政拨款“三公”经费支出决算表</w:t>
      </w:r>
      <w:bookmarkEnd w:id="91"/>
    </w:p>
    <w:p>
      <w:pPr>
        <w:rPr>
          <w:rFonts w:hint="default" w:ascii="Times New Roman" w:hAnsi="Times New Roman" w:cs="Times New Roman"/>
        </w:rPr>
      </w:pPr>
    </w:p>
    <w:sectPr>
      <w:footerReference r:id="rId7" w:type="first"/>
      <w:footerReference r:id="rId6"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- 2 -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- 2 -</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532F85"/>
    <w:multiLevelType w:val="singleLevel"/>
    <w:tmpl w:val="7E532F8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E63319"/>
    <w:rsid w:val="02FEBE30"/>
    <w:rsid w:val="04916F1E"/>
    <w:rsid w:val="061E35DE"/>
    <w:rsid w:val="066E0107"/>
    <w:rsid w:val="06874187"/>
    <w:rsid w:val="07996F6E"/>
    <w:rsid w:val="07DFD8BA"/>
    <w:rsid w:val="09867E8F"/>
    <w:rsid w:val="0A2032A3"/>
    <w:rsid w:val="0B862293"/>
    <w:rsid w:val="0CA8290A"/>
    <w:rsid w:val="0D35B1ED"/>
    <w:rsid w:val="0E254B6B"/>
    <w:rsid w:val="0F98263C"/>
    <w:rsid w:val="0FA61B22"/>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A865494"/>
    <w:rsid w:val="1B3E2500"/>
    <w:rsid w:val="1BE8440E"/>
    <w:rsid w:val="1CC6347C"/>
    <w:rsid w:val="1D155CEE"/>
    <w:rsid w:val="1D1638FE"/>
    <w:rsid w:val="1E312DEB"/>
    <w:rsid w:val="1E740ACF"/>
    <w:rsid w:val="1FCE6B7E"/>
    <w:rsid w:val="1FF35744"/>
    <w:rsid w:val="1FF6BC77"/>
    <w:rsid w:val="2186353C"/>
    <w:rsid w:val="23454EB7"/>
    <w:rsid w:val="23490CEA"/>
    <w:rsid w:val="23860B96"/>
    <w:rsid w:val="240371BF"/>
    <w:rsid w:val="244F3473"/>
    <w:rsid w:val="24C97D99"/>
    <w:rsid w:val="25A718F0"/>
    <w:rsid w:val="25BB59F6"/>
    <w:rsid w:val="260F557C"/>
    <w:rsid w:val="26970054"/>
    <w:rsid w:val="26B7240F"/>
    <w:rsid w:val="281408E2"/>
    <w:rsid w:val="29FD04D3"/>
    <w:rsid w:val="2AEB355F"/>
    <w:rsid w:val="2BDA2E28"/>
    <w:rsid w:val="2BFF7BC6"/>
    <w:rsid w:val="2C8A61B5"/>
    <w:rsid w:val="2DF04E50"/>
    <w:rsid w:val="2E586DFA"/>
    <w:rsid w:val="2ECD7470"/>
    <w:rsid w:val="2F040D46"/>
    <w:rsid w:val="2F6A44C2"/>
    <w:rsid w:val="2F6B035B"/>
    <w:rsid w:val="2FAE5751"/>
    <w:rsid w:val="2FB1A395"/>
    <w:rsid w:val="2FD9A7D8"/>
    <w:rsid w:val="2FDBF714"/>
    <w:rsid w:val="307A15DA"/>
    <w:rsid w:val="30AB6865"/>
    <w:rsid w:val="319F7F4E"/>
    <w:rsid w:val="32BD1EF1"/>
    <w:rsid w:val="3304709D"/>
    <w:rsid w:val="33A773CB"/>
    <w:rsid w:val="349D6851"/>
    <w:rsid w:val="351F7AFD"/>
    <w:rsid w:val="35E6413B"/>
    <w:rsid w:val="36394BEF"/>
    <w:rsid w:val="36AA5135"/>
    <w:rsid w:val="36BE0DA7"/>
    <w:rsid w:val="376B6AA6"/>
    <w:rsid w:val="376D39B2"/>
    <w:rsid w:val="37E16F03"/>
    <w:rsid w:val="37F53A3B"/>
    <w:rsid w:val="389B6C89"/>
    <w:rsid w:val="38D469F0"/>
    <w:rsid w:val="39627CCD"/>
    <w:rsid w:val="397BAF1F"/>
    <w:rsid w:val="3A4B5DD1"/>
    <w:rsid w:val="3A63048C"/>
    <w:rsid w:val="3AB79AF3"/>
    <w:rsid w:val="3AE834C0"/>
    <w:rsid w:val="3B7EF35A"/>
    <w:rsid w:val="3B9FDB6C"/>
    <w:rsid w:val="3BF5BC2F"/>
    <w:rsid w:val="3CEBA265"/>
    <w:rsid w:val="3D8C7CFA"/>
    <w:rsid w:val="3D98207C"/>
    <w:rsid w:val="3DB9041B"/>
    <w:rsid w:val="3DEE7CF3"/>
    <w:rsid w:val="3E740A63"/>
    <w:rsid w:val="3E78745D"/>
    <w:rsid w:val="3EE17838"/>
    <w:rsid w:val="3F2E54C2"/>
    <w:rsid w:val="3F55381A"/>
    <w:rsid w:val="3F7F7599"/>
    <w:rsid w:val="3FF4CAE0"/>
    <w:rsid w:val="3FF7B227"/>
    <w:rsid w:val="4262727B"/>
    <w:rsid w:val="427860A9"/>
    <w:rsid w:val="43F52F3C"/>
    <w:rsid w:val="44E268DA"/>
    <w:rsid w:val="450D13D7"/>
    <w:rsid w:val="45506656"/>
    <w:rsid w:val="47C307BC"/>
    <w:rsid w:val="486A6C7A"/>
    <w:rsid w:val="4941408E"/>
    <w:rsid w:val="4A627F82"/>
    <w:rsid w:val="4B0E749A"/>
    <w:rsid w:val="4B2477C4"/>
    <w:rsid w:val="4B4F25DA"/>
    <w:rsid w:val="4BE068DB"/>
    <w:rsid w:val="4D577224"/>
    <w:rsid w:val="4DBF1CEB"/>
    <w:rsid w:val="4DF0007C"/>
    <w:rsid w:val="4EAB630A"/>
    <w:rsid w:val="4EC51E80"/>
    <w:rsid w:val="4ECE2238"/>
    <w:rsid w:val="4F833267"/>
    <w:rsid w:val="4FE9BD67"/>
    <w:rsid w:val="4FFB052F"/>
    <w:rsid w:val="537E6D0A"/>
    <w:rsid w:val="53E04DBD"/>
    <w:rsid w:val="53F74C96"/>
    <w:rsid w:val="549518D3"/>
    <w:rsid w:val="55170BA8"/>
    <w:rsid w:val="553218C9"/>
    <w:rsid w:val="567E1AA5"/>
    <w:rsid w:val="56E47B74"/>
    <w:rsid w:val="57062473"/>
    <w:rsid w:val="57175D52"/>
    <w:rsid w:val="57BD3DD4"/>
    <w:rsid w:val="5AF92295"/>
    <w:rsid w:val="5B250254"/>
    <w:rsid w:val="5BC85F49"/>
    <w:rsid w:val="5BDD79E6"/>
    <w:rsid w:val="5BF561CA"/>
    <w:rsid w:val="5BFF5DFC"/>
    <w:rsid w:val="5CD71FC4"/>
    <w:rsid w:val="5D1F11B5"/>
    <w:rsid w:val="5D695134"/>
    <w:rsid w:val="5D702B08"/>
    <w:rsid w:val="5DAE1B18"/>
    <w:rsid w:val="5DE7D9E5"/>
    <w:rsid w:val="5ECEC941"/>
    <w:rsid w:val="5FBF9FF3"/>
    <w:rsid w:val="5FCD4E2C"/>
    <w:rsid w:val="5FEF394A"/>
    <w:rsid w:val="5FF67715"/>
    <w:rsid w:val="61FC694D"/>
    <w:rsid w:val="62BF3928"/>
    <w:rsid w:val="6329409D"/>
    <w:rsid w:val="63B3701E"/>
    <w:rsid w:val="647F5392"/>
    <w:rsid w:val="65E66580"/>
    <w:rsid w:val="664B1D71"/>
    <w:rsid w:val="664B4E8E"/>
    <w:rsid w:val="67277B67"/>
    <w:rsid w:val="67AA3209"/>
    <w:rsid w:val="68B16D05"/>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B6AD9"/>
    <w:rsid w:val="74ED5379"/>
    <w:rsid w:val="75DEEEC2"/>
    <w:rsid w:val="75E32345"/>
    <w:rsid w:val="76E3355F"/>
    <w:rsid w:val="76FF5125"/>
    <w:rsid w:val="776F6FFA"/>
    <w:rsid w:val="778769C8"/>
    <w:rsid w:val="77A75DCA"/>
    <w:rsid w:val="77DC22F5"/>
    <w:rsid w:val="77EC0DED"/>
    <w:rsid w:val="783E271A"/>
    <w:rsid w:val="78616DE9"/>
    <w:rsid w:val="78C84776"/>
    <w:rsid w:val="78E875D7"/>
    <w:rsid w:val="79086DAD"/>
    <w:rsid w:val="795E5298"/>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2692E"/>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emf"/><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21556;&#24422;&#31062;\Desktop\3-&#22270;&#34920;&#29983;&#2510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360MoveData\Users\&#27754;\Documents\WeChat%20Files\wxid_ibvovbvnnxcv21\FileStorage\File\2024-10\3-&#22270;&#34920;&#29983;&#2510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21556;&#24422;&#31062;\Desktop\3-&#22270;&#34920;&#29983;&#2510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21556;&#24422;&#31062;\Desktop\3-&#22270;&#34920;&#29983;&#2510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21556;&#24422;&#31062;\Desktop\3-&#22270;&#34920;&#29983;&#2510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21556;&#24422;&#31062;\Desktop\3-&#22270;&#34920;&#29983;&#2510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21556;&#24422;&#31062;\Desktop\3-&#22270;&#34920;&#29983;&#251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cap="all" spc="50" baseline="0">
                <a:solidFill>
                  <a:schemeClr val="tx1">
                    <a:lumMod val="65000"/>
                    <a:lumOff val="3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4054.95</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5939.81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'[3-图表生成.xlsx]Sheet1'!$A$3:$A$4</c:f>
              <c:strCache>
                <c:ptCount val="2"/>
                <c:pt idx="0">
                  <c:v>2023年（万元）</c:v>
                </c:pt>
                <c:pt idx="1">
                  <c:v>2024年（万元）</c:v>
                </c:pt>
              </c:strCache>
            </c:strRef>
          </c:cat>
          <c:val>
            <c:numRef>
              <c:f>'[3-图表生成.xlsx]Sheet1'!$B$3:$B$4</c:f>
              <c:numCache>
                <c:formatCode>#,##0.00</c:formatCode>
                <c:ptCount val="2"/>
                <c:pt idx="0">
                  <c:v>4054.95</c:v>
                </c:pt>
                <c:pt idx="1">
                  <c:v>5939.81</c:v>
                </c:pt>
              </c:numCache>
            </c:numRef>
          </c:val>
        </c:ser>
        <c:dLbls>
          <c:showLegendKey val="0"/>
          <c:showVal val="1"/>
          <c:showCatName val="0"/>
          <c:showSerName val="0"/>
          <c:showPercent val="0"/>
          <c:showBubbleSize val="0"/>
        </c:dLbls>
        <c:gapWidth val="355"/>
        <c:overlap val="-70"/>
        <c:axId val="658193259"/>
        <c:axId val="330015726"/>
      </c:barChart>
      <c:catAx>
        <c:axId val="658193259"/>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0015726"/>
        <c:crosses val="autoZero"/>
        <c:auto val="1"/>
        <c:lblAlgn val="ctr"/>
        <c:lblOffset val="100"/>
        <c:noMultiLvlLbl val="0"/>
      </c:catAx>
      <c:valAx>
        <c:axId val="330015726"/>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0.00"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819325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'[3-图表生成.xlsx]Sheet1'!$I$3</c:f>
              <c:strCache>
                <c:ptCount val="1"/>
                <c:pt idx="0">
                  <c:v>一般公共预算财政拨款收入</c:v>
                </c:pt>
              </c:strCache>
            </c:strRef>
          </c:cat>
          <c:val>
            <c:numRef>
              <c:f>'[3-图表生成.xlsx]Sheet1'!$J$3</c:f>
              <c:numCache>
                <c:formatCode>General</c:formatCode>
                <c:ptCount val="1"/>
                <c:pt idx="0">
                  <c:v>2070.7</c:v>
                </c:pt>
              </c:numCache>
            </c:numRef>
          </c:val>
        </c:ser>
        <c:dLbls>
          <c:showLegendKey val="0"/>
          <c:showVal val="0"/>
          <c:showCatName val="0"/>
          <c:showSerName val="0"/>
          <c:showPercent val="1"/>
          <c:showBubbleSize val="0"/>
          <c:showLeaderLines val="0"/>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39.3%</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60.</a:t>
                    </a:r>
                    <a:r>
                      <a:rPr lang="en-US" altLang="zh-CN"/>
                      <a:t>7</a:t>
                    </a:r>
                    <a:r>
                      <a:t>%</a:t>
                    </a:r>
                  </a:p>
                </c:rich>
              </c:tx>
              <c:dLblPos val="in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'[3-图表生成.xlsx]Sheet1'!$O$3:$O$4</c:f>
              <c:strCache>
                <c:ptCount val="2"/>
                <c:pt idx="0">
                  <c:v>基本支出</c:v>
                </c:pt>
                <c:pt idx="1">
                  <c:v>项目支出</c:v>
                </c:pt>
              </c:strCache>
            </c:strRef>
          </c:cat>
          <c:val>
            <c:numRef>
              <c:f>'[3-图表生成.xlsx]Sheet1'!$P$3:$P$4</c:f>
              <c:numCache>
                <c:formatCode>#,##0.00</c:formatCode>
                <c:ptCount val="2"/>
                <c:pt idx="0">
                  <c:v>2280.61</c:v>
                </c:pt>
                <c:pt idx="1">
                  <c:v>3518.11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4043.67</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5928.53</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'[3-图表生成.xlsx]Sheet1'!$A$25:$A$26</c:f>
              <c:strCache>
                <c:ptCount val="2"/>
                <c:pt idx="0">
                  <c:v>2023年（万元）</c:v>
                </c:pt>
                <c:pt idx="1">
                  <c:v>2024年（万元）</c:v>
                </c:pt>
              </c:strCache>
            </c:strRef>
          </c:cat>
          <c:val>
            <c:numRef>
              <c:f>'[3-图表生成.xlsx]Sheet1'!$B$25:$B$26</c:f>
              <c:numCache>
                <c:formatCode>#,##0.00</c:formatCode>
                <c:ptCount val="2"/>
                <c:pt idx="0">
                  <c:v>4043.67</c:v>
                </c:pt>
                <c:pt idx="1">
                  <c:v>5928.53</c:v>
                </c:pt>
              </c:numCache>
            </c:numRef>
          </c:val>
        </c:ser>
        <c:dLbls>
          <c:showLegendKey val="0"/>
          <c:showVal val="1"/>
          <c:showCatName val="0"/>
          <c:showSerName val="0"/>
          <c:showPercent val="0"/>
          <c:showBubbleSize val="0"/>
        </c:dLbls>
        <c:gapWidth val="150"/>
        <c:overlap val="0"/>
        <c:axId val="987151365"/>
        <c:axId val="911815620"/>
      </c:barChart>
      <c:catAx>
        <c:axId val="987151365"/>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1815620"/>
        <c:crosses val="autoZero"/>
        <c:auto val="1"/>
        <c:lblAlgn val="ctr"/>
        <c:lblOffset val="100"/>
        <c:noMultiLvlLbl val="0"/>
      </c:catAx>
      <c:valAx>
        <c:axId val="9118156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715136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3901.57</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00167810831426392"/>
                  <c:y val="0"/>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5798.72</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'[3-图表生成.xlsx]Sheet1'!$A$46:$A$47</c:f>
              <c:strCache>
                <c:ptCount val="2"/>
                <c:pt idx="0">
                  <c:v>2023年（万元）</c:v>
                </c:pt>
                <c:pt idx="1">
                  <c:v>2024年（万元）</c:v>
                </c:pt>
              </c:strCache>
            </c:strRef>
          </c:cat>
          <c:val>
            <c:numRef>
              <c:f>'[3-图表生成.xlsx]Sheet1'!$B$46:$B$47</c:f>
              <c:numCache>
                <c:formatCode>#,##0.00</c:formatCode>
                <c:ptCount val="2"/>
                <c:pt idx="0">
                  <c:v>3901.57</c:v>
                </c:pt>
                <c:pt idx="1">
                  <c:v>5798.72</c:v>
                </c:pt>
              </c:numCache>
            </c:numRef>
          </c:val>
        </c:ser>
        <c:dLbls>
          <c:showLegendKey val="0"/>
          <c:showVal val="1"/>
          <c:showCatName val="0"/>
          <c:showSerName val="0"/>
          <c:showPercent val="0"/>
          <c:showBubbleSize val="0"/>
        </c:dLbls>
        <c:gapWidth val="219"/>
        <c:overlap val="-27"/>
        <c:axId val="928854141"/>
        <c:axId val="188393366"/>
      </c:barChart>
      <c:catAx>
        <c:axId val="92885414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8393366"/>
        <c:crosses val="autoZero"/>
        <c:auto val="1"/>
        <c:lblAlgn val="ctr"/>
        <c:lblOffset val="100"/>
        <c:noMultiLvlLbl val="0"/>
      </c:catAx>
      <c:valAx>
        <c:axId val="18839336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885414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a:t>
            </a:r>
          </a:p>
          <a:p>
            <a:pPr defTabSz="914400">
              <a:defRPr lang="zh-CN" sz="1400" b="0" i="0" u="none" strike="noStrike" kern="1200" spc="0" baseline="0">
                <a:solidFill>
                  <a:schemeClr val="tx1">
                    <a:lumMod val="65000"/>
                    <a:lumOff val="35000"/>
                  </a:schemeClr>
                </a:solidFill>
                <a:latin typeface="+mn-lt"/>
                <a:ea typeface="+mn-ea"/>
                <a:cs typeface="+mn-cs"/>
              </a:defRPr>
            </a:pPr>
            <a:r>
              <a:t>支出决算结构</a:t>
            </a:r>
          </a:p>
        </c:rich>
      </c:tx>
      <c:layout>
        <c:manualLayout>
          <c:xMode val="edge"/>
          <c:yMode val="edge"/>
          <c:x val="0.0108333333333333"/>
          <c:y val="0.0402777777777778"/>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195"/>
                  <c:y val="-0.00555555555555556"/>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4.5%</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a:t>
                    </a:r>
                    <a:r>
                      <a:rPr lang="en-US" altLang="zh-CN"/>
                      <a:t>2</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manualLayout>
                  <c:x val="-0.118333333333333"/>
                  <c:y val="0.12222222222222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90.9%</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14"/>
                  <c:y val="0.027777777777777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2.4%</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'[3-图表生成.xlsx]Sheet1'!$I$28:$I$31</c:f>
              <c:strCache>
                <c:ptCount val="4"/>
                <c:pt idx="0">
                  <c:v>社会保障和就业支出</c:v>
                </c:pt>
                <c:pt idx="1">
                  <c:v>卫生健康支出</c:v>
                </c:pt>
                <c:pt idx="2">
                  <c:v>卫生健康支出</c:v>
                </c:pt>
                <c:pt idx="3">
                  <c:v>住房保障支出</c:v>
                </c:pt>
              </c:strCache>
            </c:strRef>
          </c:cat>
          <c:val>
            <c:numRef>
              <c:f>'[3-图表生成.xlsx]Sheet1'!$J$28:$J$31</c:f>
              <c:numCache>
                <c:formatCode>General</c:formatCode>
                <c:ptCount val="4"/>
                <c:pt idx="0">
                  <c:v>262.58</c:v>
                </c:pt>
                <c:pt idx="1">
                  <c:v>123.94</c:v>
                </c:pt>
                <c:pt idx="2">
                  <c:v>5272.33</c:v>
                </c:pt>
                <c:pt idx="3">
                  <c:v>139.87</c:v>
                </c:pt>
              </c:numCache>
            </c:numRef>
          </c:val>
        </c:ser>
        <c:ser>
          <c:idx val="1"/>
          <c:order val="1"/>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'[3-图表生成.xlsx]Sheet1'!$I$28:$I$31</c:f>
              <c:strCache>
                <c:ptCount val="4"/>
                <c:pt idx="0">
                  <c:v>社会保障和就业支出</c:v>
                </c:pt>
                <c:pt idx="1">
                  <c:v>卫生健康支出</c:v>
                </c:pt>
                <c:pt idx="2">
                  <c:v>卫生健康支出</c:v>
                </c:pt>
                <c:pt idx="3">
                  <c:v>住房保障支出</c:v>
                </c:pt>
              </c:strCache>
            </c:strRef>
          </c:cat>
          <c:val>
            <c:numRef>
              <c:f>'[3-图表生成.xlsx]Sheet1'!$K$28:$K$31</c:f>
              <c:numCache>
                <c:formatCode>0.0%</c:formatCode>
                <c:ptCount val="4"/>
                <c:pt idx="0">
                  <c:v>0.0452824071519232</c:v>
                </c:pt>
                <c:pt idx="1">
                  <c:v>0.021373682467855</c:v>
                </c:pt>
                <c:pt idx="2">
                  <c:v>0.909223069918879</c:v>
                </c:pt>
                <c:pt idx="3">
                  <c:v>0.0241208404613432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l"/>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t>
            </a:r>
            <a:r>
              <a:rPr altLang="en-US"/>
              <a:t>三公</a:t>
            </a:r>
            <a:r>
              <a:rPr lang="en-US" altLang="zh-CN"/>
              <a:t>”</a:t>
            </a:r>
            <a:r>
              <a:rPr altLang="en-US"/>
              <a:t>经费财政拨款支出结构</a:t>
            </a:r>
            <a:endParaRPr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99.</a:t>
                    </a:r>
                    <a:r>
                      <a:rPr lang="en-US" altLang="zh-CN"/>
                      <a:t>7</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0.</a:t>
                    </a:r>
                    <a:r>
                      <a:rPr lang="en-US" altLang="zh-CN"/>
                      <a:t>3</a:t>
                    </a:r>
                    <a:r>
                      <a:t>%</a:t>
                    </a:r>
                  </a:p>
                </c:rich>
              </c:tx>
              <c:dLblPos val="in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'[3-图表生成.xlsx]Sheet1'!$I$44:$I$45</c:f>
              <c:strCache>
                <c:ptCount val="2"/>
                <c:pt idx="0">
                  <c:v>公务用车购置及运行维护费支出</c:v>
                </c:pt>
                <c:pt idx="1">
                  <c:v>公务接待费支出</c:v>
                </c:pt>
              </c:strCache>
            </c:strRef>
          </c:cat>
          <c:val>
            <c:numRef>
              <c:f>'[3-图表生成.xlsx]Sheet1'!$J$44:$J$45</c:f>
              <c:numCache>
                <c:formatCode>General</c:formatCode>
                <c:ptCount val="2"/>
                <c:pt idx="0">
                  <c:v>19</c:v>
                </c:pt>
                <c:pt idx="1">
                  <c:v>0.05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4301</Words>
  <Characters>4722</Characters>
  <Lines>60</Lines>
  <Paragraphs>17</Paragraphs>
  <TotalTime>5</TotalTime>
  <ScaleCrop>false</ScaleCrop>
  <LinksUpToDate>false</LinksUpToDate>
  <CharactersWithSpaces>4900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2025-09-18T07:42:17Z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1A195F5F4B00421FA2BF8888619B3F30</vt:lpwstr>
  </property>
  <property fmtid="{D5CDD505-2E9C-101B-9397-08002B2CF9AE}" pid="4" name="KSOTemplateDocerSaveRecord">
    <vt:lpwstr>eyJoZGlkIjoiOTQ4YzFiYmUzZmUzYmRjYzJiZDIzODgyMTcxYTJiNGMiLCJ1c2VySWQiOiIzMTg5Nzk4OTQifQ==</vt:lpwstr>
  </property>
</Properties>
</file>