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93"/>
        <w:rPr>
          <w:rFonts w:hint="default" w:ascii="Times New Roman" w:hAnsi="Times New Roman" w:eastAsia="方正小标宋简体" w:cs="Times New Roman"/>
          <w:kern w:val="2"/>
          <w:sz w:val="72"/>
          <w:szCs w:val="72"/>
        </w:rPr>
      </w:pPr>
      <w:bookmarkStart w:id="0" w:name="_Toc15396475"/>
      <w:bookmarkStart w:id="1" w:name="_Toc15377425"/>
      <w:bookmarkStart w:id="2" w:name="_Toc15396597"/>
      <w:bookmarkStart w:id="3" w:name="_Toc15378441"/>
      <w:bookmarkStart w:id="4" w:name="_Toc15377193"/>
      <w:bookmarkStart w:id="5" w:name="_Toc15306267"/>
    </w:p>
    <w:p>
      <w:pPr>
        <w:pStyle w:val="8"/>
        <w:spacing w:before="93"/>
        <w:rPr>
          <w:rFonts w:hint="default" w:ascii="Times New Roman" w:hAnsi="Times New Roman" w:eastAsia="方正小标宋简体" w:cs="Times New Roman"/>
          <w:kern w:val="2"/>
          <w:sz w:val="72"/>
          <w:szCs w:val="72"/>
        </w:rPr>
      </w:pPr>
    </w:p>
    <w:p>
      <w:pPr>
        <w:pStyle w:val="8"/>
        <w:spacing w:before="93"/>
        <w:rPr>
          <w:rFonts w:hint="default" w:ascii="Times New Roman" w:hAnsi="Times New Roman" w:eastAsia="方正小标宋简体" w:cs="Times New Roman"/>
          <w:kern w:val="2"/>
          <w:sz w:val="72"/>
          <w:szCs w:val="72"/>
        </w:rPr>
      </w:pPr>
    </w:p>
    <w:p>
      <w:pPr>
        <w:pStyle w:val="8"/>
        <w:spacing w:before="93"/>
        <w:jc w:val="center"/>
        <w:rPr>
          <w:rFonts w:hint="eastAsia" w:ascii="Times New Roman" w:hAnsi="Times New Roman" w:eastAsia="方正小标宋简体" w:cs="Times New Roman"/>
          <w:kern w:val="2"/>
          <w:sz w:val="44"/>
          <w:szCs w:val="44"/>
          <w:lang w:eastAsia="zh-CN"/>
        </w:rPr>
      </w:pPr>
      <w:r>
        <w:rPr>
          <w:rFonts w:hint="default" w:ascii="Times New Roman" w:hAnsi="Times New Roman" w:eastAsia="方正小标宋简体" w:cs="Times New Roman"/>
          <w:kern w:val="2"/>
          <w:sz w:val="44"/>
          <w:szCs w:val="44"/>
        </w:rPr>
        <w:t>202</w:t>
      </w:r>
      <w:r>
        <w:rPr>
          <w:rFonts w:hint="default" w:ascii="Times New Roman" w:hAnsi="Times New Roman" w:eastAsia="方正小标宋简体" w:cs="Times New Roman"/>
          <w:kern w:val="2"/>
          <w:sz w:val="44"/>
          <w:szCs w:val="44"/>
          <w:lang w:val="en-US" w:eastAsia="zh-CN"/>
        </w:rPr>
        <w:t>4</w:t>
      </w:r>
      <w:r>
        <w:rPr>
          <w:rFonts w:hint="default" w:ascii="Times New Roman" w:hAnsi="Times New Roman" w:eastAsia="方正小标宋简体" w:cs="Times New Roman"/>
          <w:kern w:val="2"/>
          <w:sz w:val="44"/>
          <w:szCs w:val="44"/>
        </w:rPr>
        <w:t>年度阿坝藏族羌族自治州公路管理局汶川公路管理分局</w:t>
      </w:r>
      <w:r>
        <w:rPr>
          <w:rFonts w:hint="eastAsia" w:ascii="Times New Roman" w:eastAsia="方正小标宋简体" w:cs="Times New Roman"/>
          <w:kern w:val="2"/>
          <w:sz w:val="44"/>
          <w:szCs w:val="44"/>
          <w:lang w:eastAsia="zh-CN"/>
        </w:rPr>
        <w:t>决算公开</w:t>
      </w:r>
    </w:p>
    <w:p>
      <w:pPr>
        <w:spacing w:line="600" w:lineRule="exact"/>
        <w:jc w:val="center"/>
        <w:outlineLvl w:val="0"/>
        <w:rPr>
          <w:rFonts w:hint="default" w:ascii="Times New Roman" w:hAnsi="Times New Roman" w:eastAsia="方正小标宋简体" w:cs="Times New Roman"/>
          <w:sz w:val="72"/>
          <w:szCs w:val="72"/>
        </w:rPr>
      </w:pPr>
    </w:p>
    <w:p>
      <w:pPr>
        <w:pStyle w:val="19"/>
        <w:rPr>
          <w:rFonts w:hint="default" w:ascii="Times New Roman" w:hAnsi="Times New Roman" w:cs="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bookmarkStart w:id="93" w:name="_GoBack"/>
      <w:bookmarkEnd w:id="93"/>
    </w:p>
    <w:p>
      <w:pPr>
        <w:rPr>
          <w:rFonts w:hint="default" w:ascii="Times New Roman" w:hAnsi="Times New Roman" w:cs="Times New Roman"/>
        </w:rPr>
      </w:pPr>
    </w:p>
    <w:bookmarkEnd w:id="0"/>
    <w:bookmarkEnd w:id="1"/>
    <w:bookmarkEnd w:id="2"/>
    <w:bookmarkEnd w:id="3"/>
    <w:bookmarkEnd w:id="4"/>
    <w:bookmarkEnd w:id="5"/>
    <w:p>
      <w:pPr>
        <w:widowControl/>
        <w:jc w:val="center"/>
        <w:rPr>
          <w:rFonts w:hint="default" w:ascii="Times New Roman" w:hAnsi="Times New Roman" w:eastAsia="黑体" w:cs="Times New Roman"/>
          <w:sz w:val="48"/>
          <w:szCs w:val="48"/>
        </w:rPr>
      </w:pPr>
      <w:r>
        <w:rPr>
          <w:rFonts w:hint="default" w:ascii="Times New Roman" w:hAnsi="Times New Roman" w:eastAsia="黑体" w:cs="Times New Roman"/>
          <w:sz w:val="48"/>
          <w:szCs w:val="48"/>
        </w:rPr>
        <w:t>目录</w:t>
      </w:r>
    </w:p>
    <w:p>
      <w:pPr>
        <w:widowControl/>
        <w:jc w:val="center"/>
        <w:rPr>
          <w:rFonts w:hint="default" w:ascii="Times New Roman" w:hAnsi="Times New Roman" w:eastAsia="黑体" w:cs="Times New Roman"/>
          <w:sz w:val="28"/>
          <w:szCs w:val="28"/>
        </w:rPr>
      </w:pPr>
    </w:p>
    <w:p>
      <w:pPr>
        <w:pStyle w:val="13"/>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公开时间：202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 xml:space="preserve">年 </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 xml:space="preserve"> 月</w:t>
      </w:r>
      <w:r>
        <w:rPr>
          <w:rFonts w:hint="default"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 xml:space="preserve"> 日</w:t>
      </w:r>
    </w:p>
    <w:p>
      <w:pPr>
        <w:rPr>
          <w:rFonts w:hint="default" w:ascii="Times New Roman" w:hAnsi="Times New Roman" w:cs="Times New Roman"/>
        </w:rPr>
      </w:pPr>
    </w:p>
    <w:sdt>
      <w:sdtPr>
        <w:rPr>
          <w:rFonts w:hint="default" w:ascii="Times New Roman" w:hAnsi="Times New Roman" w:eastAsia="宋体" w:cs="Times New Roman"/>
          <w:kern w:val="2"/>
          <w:sz w:val="21"/>
          <w:szCs w:val="24"/>
          <w:lang w:val="en-US" w:eastAsia="zh-CN" w:bidi="ar-SA"/>
        </w:rPr>
        <w:id w:val="147459677"/>
        <w15:color w:val="DBDBDB"/>
        <w:docPartObj>
          <w:docPartGallery w:val="Table of Contents"/>
          <w:docPartUnique/>
        </w:docPartObj>
      </w:sdtPr>
      <w:sdtEndPr>
        <w:rPr>
          <w:rFonts w:hint="default" w:ascii="Times New Roman" w:hAnsi="Times New Roman" w:eastAsia="仿宋" w:cs="Times New Roman"/>
          <w:bCs/>
          <w:kern w:val="2"/>
          <w:sz w:val="24"/>
          <w:szCs w:val="24"/>
          <w:lang w:val="en-US" w:eastAsia="zh-CN" w:bidi="ar-SA"/>
        </w:rPr>
      </w:sdtEndPr>
      <w:sdtContent>
        <w:p>
          <w:pPr>
            <w:spacing w:before="0" w:beforeLines="0" w:after="0" w:afterLines="0" w:line="240" w:lineRule="auto"/>
            <w:ind w:left="0" w:leftChars="0" w:right="0" w:rightChars="0" w:firstLine="0" w:firstLineChars="0"/>
            <w:jc w:val="center"/>
            <w:rPr>
              <w:rFonts w:hint="default" w:ascii="Times New Roman" w:hAnsi="Times New Roman" w:cs="Times New Roman"/>
            </w:rPr>
          </w:pPr>
        </w:p>
        <w:p>
          <w:pPr>
            <w:pStyle w:val="13"/>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
              <w:bCs/>
              <w:sz w:val="24"/>
              <w:szCs w:val="24"/>
            </w:rPr>
            <w:fldChar w:fldCharType="begin"/>
          </w:r>
          <w:r>
            <w:rPr>
              <w:rFonts w:hint="default" w:ascii="Times New Roman" w:hAnsi="Times New Roman" w:eastAsia="仿宋" w:cs="Times New Roman"/>
              <w:b/>
              <w:bCs/>
              <w:sz w:val="24"/>
              <w:szCs w:val="24"/>
            </w:rPr>
            <w:instrText xml:space="preserve">TOC \o "1-2" \h \u </w:instrText>
          </w:r>
          <w:r>
            <w:rPr>
              <w:rFonts w:hint="default" w:ascii="Times New Roman" w:hAnsi="Times New Roman" w:eastAsia="仿宋" w:cs="Times New Roman"/>
              <w:b/>
              <w:bCs/>
              <w:sz w:val="24"/>
              <w:szCs w:val="24"/>
            </w:rPr>
            <w:fldChar w:fldCharType="separate"/>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HYPERLINK \l _Toc19389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 xml:space="preserve">第一部分  </w:t>
          </w:r>
          <w:r>
            <w:rPr>
              <w:rFonts w:hint="default" w:ascii="Times New Roman" w:hAnsi="Times New Roman" w:eastAsia="仿宋" w:cs="Times New Roman"/>
              <w:b/>
              <w:bCs/>
              <w:sz w:val="28"/>
              <w:szCs w:val="28"/>
              <w:lang w:val="en-US" w:eastAsia="zh-CN"/>
            </w:rPr>
            <w:t>单位</w:t>
          </w:r>
          <w:r>
            <w:rPr>
              <w:rFonts w:hint="default" w:ascii="Times New Roman" w:hAnsi="Times New Roman" w:eastAsia="仿宋" w:cs="Times New Roman"/>
              <w:b/>
              <w:bCs/>
              <w:sz w:val="28"/>
              <w:szCs w:val="28"/>
            </w:rPr>
            <w:t>概况</w:t>
          </w:r>
          <w:r>
            <w:rPr>
              <w:rFonts w:hint="default" w:ascii="Times New Roman" w:hAnsi="Times New Roman" w:eastAsia="仿宋" w:cs="Times New Roman"/>
              <w:b/>
              <w:bCs/>
              <w:sz w:val="28"/>
              <w:szCs w:val="28"/>
            </w:rPr>
            <w:tab/>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PAGEREF _Toc19389 \h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- 4 -</w:t>
          </w:r>
          <w:r>
            <w:rPr>
              <w:rFonts w:hint="default" w:ascii="Times New Roman" w:hAnsi="Times New Roman" w:eastAsia="仿宋" w:cs="Times New Roman"/>
              <w:b/>
              <w:bCs/>
              <w:sz w:val="28"/>
              <w:szCs w:val="28"/>
            </w:rPr>
            <w:fldChar w:fldCharType="end"/>
          </w:r>
          <w:r>
            <w:rPr>
              <w:rFonts w:hint="default" w:ascii="Times New Roman" w:hAnsi="Times New Roman" w:eastAsia="仿宋" w:cs="Times New Roman"/>
              <w:b/>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_Toc15912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一、</w:t>
          </w:r>
          <w:r>
            <w:rPr>
              <w:rFonts w:hint="default" w:ascii="Times New Roman" w:hAnsi="Times New Roman" w:eastAsia="仿宋" w:cs="Times New Roman"/>
              <w:sz w:val="28"/>
              <w:szCs w:val="28"/>
              <w:lang w:val="en-US" w:eastAsia="zh-CN"/>
            </w:rPr>
            <w:t>主要</w:t>
          </w:r>
          <w:r>
            <w:rPr>
              <w:rFonts w:hint="default" w:ascii="Times New Roman" w:hAnsi="Times New Roman" w:eastAsia="仿宋" w:cs="Times New Roman"/>
              <w:sz w:val="28"/>
              <w:szCs w:val="28"/>
            </w:rPr>
            <w:t>职责</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_Toc15912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- 4 -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_Toc17379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二、机</w:t>
          </w:r>
          <w:r>
            <w:rPr>
              <w:rFonts w:hint="default" w:ascii="Times New Roman" w:hAnsi="Times New Roman" w:eastAsia="仿宋" w:cs="Times New Roman"/>
              <w:bCs w:val="0"/>
              <w:sz w:val="28"/>
              <w:szCs w:val="28"/>
            </w:rPr>
            <w:t>构设置</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_Toc17379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- 4 -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3"/>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
              <w:bCs w:val="0"/>
              <w:sz w:val="28"/>
              <w:szCs w:val="28"/>
            </w:rPr>
            <w:fldChar w:fldCharType="begin"/>
          </w:r>
          <w:r>
            <w:rPr>
              <w:rFonts w:hint="default" w:ascii="Times New Roman" w:hAnsi="Times New Roman" w:eastAsia="仿宋" w:cs="Times New Roman"/>
              <w:b/>
              <w:bCs w:val="0"/>
              <w:sz w:val="28"/>
              <w:szCs w:val="28"/>
            </w:rPr>
            <w:instrText xml:space="preserve"> HYPERLINK \l _Toc14380 </w:instrText>
          </w:r>
          <w:r>
            <w:rPr>
              <w:rFonts w:hint="default" w:ascii="Times New Roman" w:hAnsi="Times New Roman" w:eastAsia="仿宋" w:cs="Times New Roman"/>
              <w:b/>
              <w:bCs w:val="0"/>
              <w:sz w:val="28"/>
              <w:szCs w:val="28"/>
            </w:rPr>
            <w:fldChar w:fldCharType="separate"/>
          </w:r>
          <w:r>
            <w:rPr>
              <w:rFonts w:hint="default" w:ascii="Times New Roman" w:hAnsi="Times New Roman" w:eastAsia="仿宋" w:cs="Times New Roman"/>
              <w:b/>
              <w:bCs w:val="0"/>
              <w:sz w:val="28"/>
              <w:szCs w:val="28"/>
            </w:rPr>
            <w:t>第二部分  2024年度部门决算情况说明</w:t>
          </w:r>
          <w:r>
            <w:rPr>
              <w:rFonts w:hint="default" w:ascii="Times New Roman" w:hAnsi="Times New Roman" w:eastAsia="仿宋" w:cs="Times New Roman"/>
              <w:b/>
              <w:bCs w:val="0"/>
              <w:sz w:val="28"/>
              <w:szCs w:val="28"/>
            </w:rPr>
            <w:tab/>
          </w:r>
          <w:r>
            <w:rPr>
              <w:rFonts w:hint="default" w:ascii="Times New Roman" w:hAnsi="Times New Roman" w:eastAsia="仿宋" w:cs="Times New Roman"/>
              <w:b/>
              <w:bCs w:val="0"/>
              <w:sz w:val="28"/>
              <w:szCs w:val="28"/>
            </w:rPr>
            <w:fldChar w:fldCharType="begin"/>
          </w:r>
          <w:r>
            <w:rPr>
              <w:rFonts w:hint="default" w:ascii="Times New Roman" w:hAnsi="Times New Roman" w:eastAsia="仿宋" w:cs="Times New Roman"/>
              <w:b/>
              <w:bCs w:val="0"/>
              <w:sz w:val="28"/>
              <w:szCs w:val="28"/>
            </w:rPr>
            <w:instrText xml:space="preserve"> PAGEREF _Toc14380 \h </w:instrText>
          </w:r>
          <w:r>
            <w:rPr>
              <w:rFonts w:hint="default" w:ascii="Times New Roman" w:hAnsi="Times New Roman" w:eastAsia="仿宋" w:cs="Times New Roman"/>
              <w:b/>
              <w:bCs w:val="0"/>
              <w:sz w:val="28"/>
              <w:szCs w:val="28"/>
            </w:rPr>
            <w:fldChar w:fldCharType="separate"/>
          </w:r>
          <w:r>
            <w:rPr>
              <w:rFonts w:hint="default" w:ascii="Times New Roman" w:hAnsi="Times New Roman" w:eastAsia="仿宋" w:cs="Times New Roman"/>
              <w:b/>
              <w:bCs w:val="0"/>
              <w:sz w:val="28"/>
              <w:szCs w:val="28"/>
            </w:rPr>
            <w:t>- 5 -</w:t>
          </w:r>
          <w:r>
            <w:rPr>
              <w:rFonts w:hint="default" w:ascii="Times New Roman" w:hAnsi="Times New Roman" w:eastAsia="仿宋" w:cs="Times New Roman"/>
              <w:b/>
              <w:bCs w:val="0"/>
              <w:sz w:val="28"/>
              <w:szCs w:val="28"/>
            </w:rPr>
            <w:fldChar w:fldCharType="end"/>
          </w:r>
          <w:r>
            <w:rPr>
              <w:rFonts w:hint="default" w:ascii="Times New Roman" w:hAnsi="Times New Roman" w:eastAsia="仿宋" w:cs="Times New Roman"/>
              <w:b/>
              <w:bCs w:val="0"/>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_Toc13713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一、收入支出决算总体情况说明</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_Toc13713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- 5 -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_Toc11924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二、收入决算情况说明</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_Toc11924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- 5 -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_Toc12325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三、支出决算情况说明</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_Toc12325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- 6 -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_Toc25879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四、财政拨款收入支出决算总体情况说明</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_Toc25879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- 6 -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_Toc23299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五、一般公共预算财政拨款支出决算情况说明</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_Toc23299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- 7 -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_Toc13800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六、一般公共预算财政拨款基本支出决算情况说明</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_Toc13800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- 10 -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_Toc15978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七、财政拨款“三公”经费支出决算情况说明</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_Toc15978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- 10 -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_Toc11200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八、政府性基金预算支出决算情况说明</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_Toc11200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- 12 -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_Toc6109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九、国有资本经营预算支出决算情况说明</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_Toc6109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- 12 -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_Toc7445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十、其他重要事项的情况说明</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_Toc7445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- 12 -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3"/>
            <w:tabs>
              <w:tab w:val="right" w:leader="dot" w:pos="8306"/>
              <w:tab w:val="clear" w:pos="8296"/>
            </w:tabs>
            <w:spacing w:line="360" w:lineRule="auto"/>
            <w:rPr>
              <w:rFonts w:hint="default" w:ascii="Times New Roman" w:hAnsi="Times New Roman" w:eastAsia="仿宋" w:cs="Times New Roman"/>
              <w:b/>
              <w:bCs/>
              <w:sz w:val="28"/>
              <w:szCs w:val="28"/>
            </w:rPr>
          </w:pP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HYPERLINK \l _Toc16115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第三部分  名词解释</w:t>
          </w:r>
          <w:r>
            <w:rPr>
              <w:rFonts w:hint="default" w:ascii="Times New Roman" w:hAnsi="Times New Roman" w:eastAsia="仿宋" w:cs="Times New Roman"/>
              <w:b/>
              <w:bCs/>
              <w:sz w:val="28"/>
              <w:szCs w:val="28"/>
            </w:rPr>
            <w:tab/>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PAGEREF _Toc16115 \h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- 14 -</w:t>
          </w:r>
          <w:r>
            <w:rPr>
              <w:rFonts w:hint="default" w:ascii="Times New Roman" w:hAnsi="Times New Roman" w:eastAsia="仿宋" w:cs="Times New Roman"/>
              <w:b/>
              <w:bCs/>
              <w:sz w:val="28"/>
              <w:szCs w:val="28"/>
            </w:rPr>
            <w:fldChar w:fldCharType="end"/>
          </w:r>
          <w:r>
            <w:rPr>
              <w:rFonts w:hint="default" w:ascii="Times New Roman" w:hAnsi="Times New Roman" w:eastAsia="仿宋" w:cs="Times New Roman"/>
              <w:b/>
              <w:bCs/>
              <w:sz w:val="28"/>
              <w:szCs w:val="28"/>
            </w:rPr>
            <w:fldChar w:fldCharType="end"/>
          </w:r>
        </w:p>
        <w:p>
          <w:pPr>
            <w:pStyle w:val="13"/>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HYPERLINK \l _Toc23093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第四部分 附件</w:t>
          </w:r>
          <w:r>
            <w:rPr>
              <w:rFonts w:hint="default" w:ascii="Times New Roman" w:hAnsi="Times New Roman" w:eastAsia="仿宋" w:cs="Times New Roman"/>
              <w:b/>
              <w:bCs/>
              <w:sz w:val="28"/>
              <w:szCs w:val="28"/>
            </w:rPr>
            <w:tab/>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PAGEREF _Toc23093 \h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- 17 -</w:t>
          </w:r>
          <w:r>
            <w:rPr>
              <w:rFonts w:hint="default" w:ascii="Times New Roman" w:hAnsi="Times New Roman" w:eastAsia="仿宋" w:cs="Times New Roman"/>
              <w:b/>
              <w:bCs/>
              <w:sz w:val="28"/>
              <w:szCs w:val="28"/>
            </w:rPr>
            <w:fldChar w:fldCharType="end"/>
          </w:r>
          <w:r>
            <w:rPr>
              <w:rFonts w:hint="default" w:ascii="Times New Roman" w:hAnsi="Times New Roman" w:eastAsia="仿宋" w:cs="Times New Roman"/>
              <w:b/>
              <w:bCs/>
              <w:sz w:val="28"/>
              <w:szCs w:val="28"/>
            </w:rPr>
            <w:fldChar w:fldCharType="end"/>
          </w:r>
        </w:p>
        <w:p>
          <w:pPr>
            <w:pStyle w:val="13"/>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HYPERLINK \l _Toc1420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第五部分 附表</w:t>
          </w:r>
          <w:r>
            <w:rPr>
              <w:rFonts w:hint="default" w:ascii="Times New Roman" w:hAnsi="Times New Roman" w:eastAsia="仿宋" w:cs="Times New Roman"/>
              <w:b/>
              <w:bCs/>
              <w:sz w:val="28"/>
              <w:szCs w:val="28"/>
            </w:rPr>
            <w:tab/>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PAGEREF _Toc1420 \h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- 26 -</w:t>
          </w:r>
          <w:r>
            <w:rPr>
              <w:rFonts w:hint="default" w:ascii="Times New Roman" w:hAnsi="Times New Roman" w:eastAsia="仿宋" w:cs="Times New Roman"/>
              <w:b/>
              <w:bCs/>
              <w:sz w:val="28"/>
              <w:szCs w:val="28"/>
            </w:rPr>
            <w:fldChar w:fldCharType="end"/>
          </w:r>
          <w:r>
            <w:rPr>
              <w:rFonts w:hint="default" w:ascii="Times New Roman" w:hAnsi="Times New Roman" w:eastAsia="仿宋" w:cs="Times New Roman"/>
              <w:b/>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_Toc19747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一、收入支出决算总表</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_Toc19747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- 26 -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_Toc5816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二、收入决算表</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_Toc5816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- 26 -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_Toc8546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三、支出决算表</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_Toc8546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- 26 -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_Toc12757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四、财政拨款收入支出决算总表</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_Toc12757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- 26 -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_Toc31511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五、财政拨款支出决算明细表</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_Toc31511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- 26 -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_Toc19380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六、一般公共预算财政拨款支出决算表</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_Toc19380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- 26 -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_Toc16415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七、一般公共预算财政拨款支出决算明细表</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_Toc16415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- 26 -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_Toc11715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八、一般公共预算财政拨款基本支出决算表</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_Toc11715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- 26 -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_Toc19225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九、一般公共预算财政拨款项目支出决算表</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_Toc19225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- 26 -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_Toc11140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十、政府性基金预算财政拨款收入支出决算表</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_Toc11140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- 26 -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_Toc24430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十一、国有资本经营预算财政拨款收入支出决算表</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_Toc24430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- 26 -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_Toc2276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十二、国有资本经营预算财政拨款支出决算表</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_Toc2276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- 26 -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tabs>
              <w:tab w:val="right" w:leader="dot" w:pos="8306"/>
              <w:tab w:val="clear" w:pos="8296"/>
            </w:tabs>
            <w:spacing w:line="360" w:lineRule="auto"/>
            <w:rPr>
              <w:rFonts w:hint="default" w:ascii="Times New Roman" w:hAnsi="Times New Roman" w:eastAsia="仿宋" w:cs="Times New Roman"/>
              <w:sz w:val="24"/>
              <w:szCs w:val="24"/>
            </w:rPr>
          </w:pPr>
          <w:r>
            <w:rPr>
              <w:rFonts w:hint="default" w:ascii="Times New Roman" w:hAnsi="Times New Roman" w:eastAsia="仿宋" w:cs="Times New Roman"/>
              <w:bCs/>
              <w:sz w:val="28"/>
              <w:szCs w:val="28"/>
            </w:rPr>
            <w:fldChar w:fldCharType="begin"/>
          </w:r>
          <w:r>
            <w:rPr>
              <w:rFonts w:hint="default" w:ascii="Times New Roman" w:hAnsi="Times New Roman" w:eastAsia="仿宋" w:cs="Times New Roman"/>
              <w:bCs/>
              <w:sz w:val="28"/>
              <w:szCs w:val="28"/>
            </w:rPr>
            <w:instrText xml:space="preserve"> HYPERLINK \l _Toc11990 </w:instrText>
          </w:r>
          <w:r>
            <w:rPr>
              <w:rFonts w:hint="default" w:ascii="Times New Roman" w:hAnsi="Times New Roman" w:eastAsia="仿宋" w:cs="Times New Roman"/>
              <w:bCs/>
              <w:sz w:val="28"/>
              <w:szCs w:val="28"/>
            </w:rPr>
            <w:fldChar w:fldCharType="separate"/>
          </w:r>
          <w:r>
            <w:rPr>
              <w:rFonts w:hint="default" w:ascii="Times New Roman" w:hAnsi="Times New Roman" w:eastAsia="仿宋" w:cs="Times New Roman"/>
              <w:sz w:val="28"/>
              <w:szCs w:val="28"/>
            </w:rPr>
            <w:t>十三、财政拨款“三公”经费支出决算表</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_Toc11990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- 26 -</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bCs/>
              <w:sz w:val="28"/>
              <w:szCs w:val="28"/>
            </w:rPr>
            <w:fldChar w:fldCharType="end"/>
          </w:r>
        </w:p>
        <w:p>
          <w:pPr>
            <w:pStyle w:val="14"/>
            <w:adjustRightInd w:val="0"/>
            <w:snapToGrid w:val="0"/>
            <w:spacing w:line="360" w:lineRule="auto"/>
            <w:ind w:left="0" w:leftChars="0" w:firstLine="480" w:firstLineChars="200"/>
            <w:jc w:val="left"/>
            <w:rPr>
              <w:rFonts w:hint="default" w:ascii="Times New Roman" w:hAnsi="Times New Roman" w:eastAsia="仿宋" w:cs="Times New Roman"/>
              <w:bCs/>
              <w:kern w:val="2"/>
              <w:sz w:val="24"/>
              <w:szCs w:val="24"/>
              <w:lang w:val="en-US" w:eastAsia="zh-CN" w:bidi="ar-SA"/>
            </w:rPr>
          </w:pPr>
          <w:r>
            <w:rPr>
              <w:rFonts w:hint="default" w:ascii="Times New Roman" w:hAnsi="Times New Roman" w:eastAsia="仿宋" w:cs="Times New Roman"/>
              <w:bCs/>
              <w:sz w:val="24"/>
              <w:szCs w:val="24"/>
            </w:rPr>
            <w:fldChar w:fldCharType="end"/>
          </w:r>
        </w:p>
      </w:sdtContent>
    </w:sdt>
    <w:p>
      <w:pPr>
        <w:rPr>
          <w:rFonts w:hint="default" w:ascii="Times New Roman" w:hAnsi="Times New Roman" w:cs="Times New Roman"/>
        </w:rPr>
      </w:pPr>
    </w:p>
    <w:p>
      <w:pPr>
        <w:widowControl/>
        <w:spacing w:line="560" w:lineRule="exact"/>
        <w:jc w:val="left"/>
        <w:rPr>
          <w:rFonts w:hint="default" w:ascii="Times New Roman" w:hAnsi="Times New Roman" w:eastAsia="仿宋_GB2312" w:cs="Times New Roman"/>
          <w:bCs/>
          <w:kern w:val="44"/>
          <w:sz w:val="32"/>
          <w:szCs w:val="32"/>
        </w:rPr>
      </w:pPr>
      <w:bookmarkStart w:id="6" w:name="_Toc15396599"/>
      <w:bookmarkStart w:id="7" w:name="_Toc15377196"/>
      <w:r>
        <w:rPr>
          <w:rFonts w:hint="default" w:ascii="Times New Roman" w:hAnsi="Times New Roman" w:eastAsia="仿宋_GB2312" w:cs="Times New Roman"/>
          <w:b/>
          <w:sz w:val="32"/>
          <w:szCs w:val="32"/>
        </w:rPr>
        <w:br w:type="page"/>
      </w:r>
    </w:p>
    <w:p>
      <w:pPr>
        <w:pStyle w:val="5"/>
        <w:jc w:val="center"/>
        <w:rPr>
          <w:rStyle w:val="28"/>
          <w:rFonts w:hint="default" w:ascii="Times New Roman" w:hAnsi="Times New Roman" w:eastAsia="方正小标宋简体" w:cs="Times New Roman"/>
          <w:b/>
          <w:bCs w:val="0"/>
        </w:rPr>
      </w:pPr>
      <w:bookmarkStart w:id="8" w:name="_Toc19389"/>
      <w:r>
        <w:rPr>
          <w:rFonts w:hint="default" w:ascii="Times New Roman" w:hAnsi="Times New Roman" w:eastAsia="方正小标宋简体" w:cs="Times New Roman"/>
          <w:b w:val="0"/>
        </w:rPr>
        <w:t xml:space="preserve">第一部分  </w:t>
      </w:r>
      <w:r>
        <w:rPr>
          <w:rFonts w:hint="default" w:ascii="Times New Roman" w:hAnsi="Times New Roman" w:eastAsia="方正小标宋简体" w:cs="Times New Roman"/>
          <w:b w:val="0"/>
          <w:lang w:val="en-US" w:eastAsia="zh-CN"/>
        </w:rPr>
        <w:t>单位</w:t>
      </w:r>
      <w:r>
        <w:rPr>
          <w:rStyle w:val="28"/>
          <w:rFonts w:hint="default" w:ascii="Times New Roman" w:hAnsi="Times New Roman" w:eastAsia="方正小标宋简体" w:cs="Times New Roman"/>
          <w:b w:val="0"/>
          <w:bCs w:val="0"/>
        </w:rPr>
        <w:t>概况</w:t>
      </w:r>
      <w:bookmarkEnd w:id="6"/>
      <w:bookmarkEnd w:id="7"/>
      <w:bookmarkEnd w:id="8"/>
    </w:p>
    <w:p>
      <w:pPr>
        <w:pStyle w:val="6"/>
        <w:rPr>
          <w:rFonts w:hint="default" w:ascii="Times New Roman" w:hAnsi="Times New Roman" w:eastAsia="黑体" w:cs="Times New Roman"/>
          <w:b w:val="0"/>
        </w:rPr>
      </w:pPr>
      <w:bookmarkStart w:id="9" w:name="_Toc15377197"/>
      <w:bookmarkStart w:id="10" w:name="_Toc15396600"/>
      <w:bookmarkStart w:id="11" w:name="_Toc15912"/>
      <w:r>
        <w:rPr>
          <w:rFonts w:hint="default" w:ascii="Times New Roman" w:hAnsi="Times New Roman" w:eastAsia="黑体" w:cs="Times New Roman"/>
          <w:b w:val="0"/>
        </w:rPr>
        <w:t>一、</w:t>
      </w:r>
      <w:bookmarkEnd w:id="9"/>
      <w:bookmarkEnd w:id="10"/>
      <w:r>
        <w:rPr>
          <w:rFonts w:hint="default" w:ascii="Times New Roman" w:hAnsi="Times New Roman" w:eastAsia="黑体" w:cs="Times New Roman"/>
          <w:b w:val="0"/>
          <w:lang w:val="en-US" w:eastAsia="zh-CN"/>
        </w:rPr>
        <w:t>主要</w:t>
      </w:r>
      <w:r>
        <w:rPr>
          <w:rFonts w:hint="default" w:ascii="Times New Roman" w:hAnsi="Times New Roman" w:eastAsia="黑体" w:cs="Times New Roman"/>
          <w:b w:val="0"/>
        </w:rPr>
        <w:t>职责</w:t>
      </w:r>
      <w:bookmarkEnd w:id="11"/>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汶川公路管理分局，其性质为事业性，直属于阿坝州公路管理局，在州公路管理局的领导下，负责辖区内国省干线公路养护、管理；按照州公路管理局下达的经费和要求，编制年度实施计划；负责组织实施公路遭受自然灾害的抢修恢复、保障公路安全畅通；指导各养护站的公路养护管理工作；完成州公路管理局交办的其他工作任务。</w:t>
      </w:r>
    </w:p>
    <w:p>
      <w:pPr>
        <w:pStyle w:val="6"/>
        <w:rPr>
          <w:rStyle w:val="29"/>
          <w:rFonts w:hint="default" w:ascii="Times New Roman" w:hAnsi="Times New Roman" w:cs="Times New Roman"/>
          <w:b w:val="0"/>
          <w:bCs w:val="0"/>
        </w:rPr>
      </w:pPr>
      <w:bookmarkStart w:id="12" w:name="_Toc15377200"/>
      <w:bookmarkStart w:id="13" w:name="_Toc17379"/>
      <w:bookmarkStart w:id="14" w:name="_Toc15396601"/>
      <w:r>
        <w:rPr>
          <w:rFonts w:hint="default" w:ascii="Times New Roman" w:hAnsi="Times New Roman" w:eastAsia="黑体" w:cs="Times New Roman"/>
          <w:b w:val="0"/>
        </w:rPr>
        <w:t>二、机</w:t>
      </w:r>
      <w:r>
        <w:rPr>
          <w:rStyle w:val="29"/>
          <w:rFonts w:hint="default" w:ascii="Times New Roman" w:hAnsi="Times New Roman" w:eastAsia="黑体" w:cs="Times New Roman"/>
          <w:b w:val="0"/>
          <w:bCs w:val="0"/>
        </w:rPr>
        <w:t>构设置</w:t>
      </w:r>
      <w:bookmarkEnd w:id="12"/>
      <w:bookmarkEnd w:id="13"/>
      <w:bookmarkEnd w:id="14"/>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阿坝藏族羌族自治州公路管理局汶川公路管理分局，内设党支部办公室、行政办公室、工程股、财务股、机料股、劳人股、安全股 ，以及绵虒养护站、威州养护站、兴文坪养护站、映秀养护站4个养护站以及1个隧道管理站和1个公路养护和应急保通中心。</w:t>
      </w:r>
    </w:p>
    <w:p>
      <w:pPr>
        <w:widowControl/>
        <w:jc w:val="left"/>
        <w:rPr>
          <w:rFonts w:hint="default" w:ascii="Times New Roman" w:hAnsi="Times New Roman" w:eastAsia="仿宋" w:cs="Times New Roman"/>
          <w:kern w:val="0"/>
          <w:sz w:val="32"/>
          <w:szCs w:val="32"/>
        </w:rPr>
      </w:pPr>
      <w:r>
        <w:rPr>
          <w:rFonts w:hint="default" w:ascii="Times New Roman" w:hAnsi="Times New Roman" w:eastAsia="仿宋" w:cs="Times New Roman"/>
          <w:sz w:val="32"/>
          <w:szCs w:val="32"/>
        </w:rPr>
        <w:br w:type="page"/>
      </w:r>
    </w:p>
    <w:p>
      <w:pPr>
        <w:pStyle w:val="5"/>
        <w:jc w:val="center"/>
        <w:rPr>
          <w:rFonts w:hint="default" w:ascii="Times New Roman" w:hAnsi="Times New Roman" w:eastAsia="方正小标宋简体" w:cs="Times New Roman"/>
          <w:b w:val="0"/>
        </w:rPr>
      </w:pPr>
      <w:bookmarkStart w:id="15" w:name="_Toc15377204"/>
      <w:bookmarkStart w:id="16" w:name="_Toc14380"/>
      <w:bookmarkStart w:id="17" w:name="_Toc15396602"/>
      <w:r>
        <w:rPr>
          <w:rFonts w:hint="default" w:ascii="Times New Roman" w:hAnsi="Times New Roman" w:eastAsia="方正小标宋简体" w:cs="Times New Roman"/>
          <w:b w:val="0"/>
        </w:rPr>
        <w:t>第二部分  2024年度部门决算情况说明</w:t>
      </w:r>
      <w:bookmarkEnd w:id="15"/>
      <w:bookmarkEnd w:id="16"/>
      <w:bookmarkEnd w:id="17"/>
    </w:p>
    <w:p>
      <w:pPr>
        <w:rPr>
          <w:rFonts w:hint="default" w:ascii="Times New Roman" w:hAnsi="Times New Roman" w:cs="Times New Roman"/>
        </w:rPr>
      </w:pPr>
    </w:p>
    <w:p>
      <w:pPr>
        <w:pStyle w:val="27"/>
        <w:spacing w:line="600" w:lineRule="exact"/>
        <w:ind w:firstLine="640"/>
        <w:outlineLvl w:val="1"/>
        <w:rPr>
          <w:rStyle w:val="29"/>
          <w:rFonts w:hint="default" w:ascii="Times New Roman" w:hAnsi="Times New Roman" w:eastAsia="黑体" w:cs="Times New Roman"/>
          <w:b w:val="0"/>
        </w:rPr>
      </w:pPr>
      <w:bookmarkStart w:id="18" w:name="_Toc13713"/>
      <w:bookmarkStart w:id="19" w:name="_Toc15377205"/>
      <w:bookmarkStart w:id="20" w:name="_Toc15396603"/>
      <w:r>
        <w:rPr>
          <w:rFonts w:hint="default" w:ascii="Times New Roman" w:hAnsi="Times New Roman" w:eastAsia="黑体" w:cs="Times New Roman"/>
          <w:sz w:val="32"/>
          <w:szCs w:val="32"/>
        </w:rPr>
        <w:t>一、收</w:t>
      </w:r>
      <w:r>
        <w:rPr>
          <w:rStyle w:val="29"/>
          <w:rFonts w:hint="default" w:ascii="Times New Roman" w:hAnsi="Times New Roman" w:eastAsia="黑体" w:cs="Times New Roman"/>
          <w:b w:val="0"/>
        </w:rPr>
        <w:t>入支出决算总体情况说明</w:t>
      </w:r>
      <w:bookmarkEnd w:id="18"/>
      <w:bookmarkEnd w:id="19"/>
      <w:bookmarkEnd w:id="20"/>
    </w:p>
    <w:p>
      <w:pPr>
        <w:spacing w:line="600" w:lineRule="exact"/>
        <w:ind w:firstLine="64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2024年度收入、支出总计均为3609.04万元。与2023年度相比，收入、支出总计各减少581.67万元，下降13.</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%。主要变动原因是本年度人员减少，基本支出收入减少，项目减少对应收入减少</w:t>
      </w:r>
      <w:r>
        <w:rPr>
          <w:rFonts w:hint="default" w:ascii="Times New Roman" w:hAnsi="Times New Roman" w:eastAsia="仿宋_GB2312" w:cs="Times New Roman"/>
          <w:sz w:val="32"/>
          <w:szCs w:val="32"/>
          <w:lang w:eastAsia="zh-CN"/>
        </w:rPr>
        <w:t>。</w:t>
      </w:r>
    </w:p>
    <w:p>
      <w:pPr>
        <w:spacing w:line="600" w:lineRule="exact"/>
        <w:ind w:firstLine="64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drawing>
          <wp:anchor distT="0" distB="0" distL="114300" distR="114300" simplePos="0" relativeHeight="251665408" behindDoc="1" locked="0" layoutInCell="1" allowOverlap="1">
            <wp:simplePos x="0" y="0"/>
            <wp:positionH relativeFrom="column">
              <wp:posOffset>499745</wp:posOffset>
            </wp:positionH>
            <wp:positionV relativeFrom="paragraph">
              <wp:posOffset>194945</wp:posOffset>
            </wp:positionV>
            <wp:extent cx="4489450" cy="3057525"/>
            <wp:effectExtent l="4445" t="4445" r="17145" b="16510"/>
            <wp:wrapNone/>
            <wp:docPr id="2516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0"/>
        <w:rPr>
          <w:rFonts w:hint="default" w:ascii="Times New Roman" w:hAnsi="Times New Roman" w:eastAsia="仿宋_GB2312" w:cs="Times New Roman"/>
          <w:sz w:val="32"/>
          <w:szCs w:val="32"/>
          <w:lang w:eastAsia="zh-CN"/>
        </w:rPr>
      </w:pPr>
    </w:p>
    <w:p>
      <w:pPr>
        <w:spacing w:line="600" w:lineRule="exact"/>
        <w:ind w:firstLine="640"/>
        <w:rPr>
          <w:rFonts w:hint="default" w:ascii="Times New Roman" w:hAnsi="Times New Roman" w:eastAsia="仿宋_GB2312" w:cs="Times New Roman"/>
          <w:sz w:val="32"/>
          <w:szCs w:val="32"/>
          <w:lang w:eastAsia="zh-CN"/>
        </w:rPr>
      </w:pPr>
    </w:p>
    <w:p>
      <w:pPr>
        <w:spacing w:line="600" w:lineRule="exact"/>
        <w:ind w:firstLine="640"/>
        <w:rPr>
          <w:rFonts w:hint="default" w:ascii="Times New Roman" w:hAnsi="Times New Roman" w:eastAsia="仿宋_GB2312" w:cs="Times New Roman"/>
          <w:sz w:val="32"/>
          <w:szCs w:val="32"/>
          <w:lang w:eastAsia="zh-CN"/>
        </w:rPr>
      </w:pPr>
    </w:p>
    <w:p>
      <w:pPr>
        <w:spacing w:line="600" w:lineRule="exact"/>
        <w:ind w:firstLine="640"/>
        <w:rPr>
          <w:rFonts w:hint="default" w:ascii="Times New Roman" w:hAnsi="Times New Roman" w:eastAsia="仿宋_GB2312" w:cs="Times New Roman"/>
          <w:sz w:val="32"/>
          <w:szCs w:val="32"/>
          <w:lang w:eastAsia="zh-CN"/>
        </w:rPr>
      </w:pPr>
    </w:p>
    <w:p>
      <w:pPr>
        <w:spacing w:line="600" w:lineRule="exact"/>
        <w:ind w:firstLine="640"/>
        <w:jc w:val="center"/>
        <w:rPr>
          <w:rFonts w:hint="default" w:ascii="Times New Roman" w:hAnsi="Times New Roman" w:eastAsia="仿宋_GB2312" w:cs="Times New Roman"/>
          <w:sz w:val="32"/>
          <w:szCs w:val="32"/>
          <w:lang w:eastAsia="zh-CN"/>
        </w:rPr>
      </w:pPr>
    </w:p>
    <w:p>
      <w:pPr>
        <w:spacing w:line="600" w:lineRule="exact"/>
        <w:ind w:firstLine="640"/>
        <w:rPr>
          <w:rFonts w:hint="default" w:ascii="Times New Roman" w:hAnsi="Times New Roman" w:eastAsia="仿宋_GB2312" w:cs="Times New Roman"/>
          <w:sz w:val="32"/>
          <w:szCs w:val="32"/>
          <w:lang w:eastAsia="zh-CN"/>
        </w:rPr>
      </w:pPr>
    </w:p>
    <w:p>
      <w:pPr>
        <w:spacing w:line="600" w:lineRule="exact"/>
        <w:ind w:firstLine="640"/>
        <w:rPr>
          <w:rFonts w:hint="default" w:ascii="Times New Roman" w:hAnsi="Times New Roman" w:eastAsia="仿宋_GB2312" w:cs="Times New Roman"/>
          <w:sz w:val="32"/>
          <w:szCs w:val="32"/>
          <w:lang w:eastAsia="zh-CN"/>
        </w:rPr>
      </w:pPr>
    </w:p>
    <w:p>
      <w:pPr>
        <w:spacing w:line="600" w:lineRule="exact"/>
        <w:ind w:firstLine="640"/>
        <w:rPr>
          <w:rFonts w:hint="default" w:ascii="Times New Roman" w:hAnsi="Times New Roman" w:eastAsia="仿宋_GB2312" w:cs="Times New Roman"/>
          <w:sz w:val="32"/>
          <w:szCs w:val="32"/>
        </w:rPr>
      </w:pPr>
    </w:p>
    <w:p>
      <w:pPr>
        <w:spacing w:line="600" w:lineRule="exact"/>
        <w:ind w:firstLine="64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（图1：收入、支出决算总计变动情况图）</w:t>
      </w:r>
    </w:p>
    <w:p>
      <w:pPr>
        <w:pStyle w:val="27"/>
        <w:spacing w:line="600" w:lineRule="exact"/>
        <w:ind w:firstLine="640"/>
        <w:outlineLvl w:val="1"/>
        <w:rPr>
          <w:rFonts w:hint="default" w:ascii="Times New Roman" w:hAnsi="Times New Roman" w:eastAsia="黑体" w:cs="Times New Roman"/>
          <w:sz w:val="32"/>
          <w:szCs w:val="32"/>
        </w:rPr>
      </w:pPr>
      <w:bookmarkStart w:id="21" w:name="_Toc15396604"/>
      <w:bookmarkStart w:id="22" w:name="_Toc11924"/>
      <w:bookmarkStart w:id="23" w:name="_Toc15377206"/>
      <w:r>
        <w:rPr>
          <w:rFonts w:hint="default" w:ascii="Times New Roman" w:hAnsi="Times New Roman" w:eastAsia="黑体" w:cs="Times New Roman"/>
          <w:sz w:val="32"/>
          <w:szCs w:val="32"/>
        </w:rPr>
        <w:t>二、收入决算情况说明</w:t>
      </w:r>
      <w:bookmarkEnd w:id="21"/>
      <w:bookmarkEnd w:id="22"/>
      <w:bookmarkEnd w:id="23"/>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2024年度本年收入合计3609.04万元，其中：一般公共预算财政拨款收入3609.04万元，占</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0"/>
        <w:rPr>
          <w:rFonts w:hint="default" w:ascii="Times New Roman" w:hAnsi="Times New Roman" w:eastAsia="仿宋_GB2312" w:cs="Times New Roman"/>
          <w:sz w:val="32"/>
          <w:szCs w:val="32"/>
        </w:rPr>
      </w:pPr>
    </w:p>
    <w:p>
      <w:pPr>
        <w:spacing w:line="600" w:lineRule="exact"/>
        <w:ind w:firstLine="640"/>
        <w:rPr>
          <w:rFonts w:hint="default" w:ascii="Times New Roman" w:hAnsi="Times New Roman" w:eastAsia="仿宋_GB2312" w:cs="Times New Roman"/>
          <w:sz w:val="32"/>
          <w:szCs w:val="32"/>
        </w:rPr>
      </w:pPr>
    </w:p>
    <w:p>
      <w:pPr>
        <w:ind w:firstLine="525" w:firstLineChars="250"/>
        <w:jc w:val="center"/>
        <w:rPr>
          <w:rFonts w:hint="default" w:ascii="Times New Roman" w:hAnsi="Times New Roman" w:eastAsia="仿宋_GB2312" w:cs="Times New Roman"/>
          <w:sz w:val="32"/>
          <w:szCs w:val="32"/>
        </w:rPr>
      </w:pPr>
      <w:r>
        <w:rPr>
          <w:rFonts w:hint="default" w:ascii="Times New Roman" w:hAnsi="Times New Roman" w:cs="Times New Roman"/>
        </w:rPr>
        <w:drawing>
          <wp:inline distT="0" distB="0" distL="114300" distR="114300">
            <wp:extent cx="4311650" cy="2722245"/>
            <wp:effectExtent l="4445" t="4445" r="12065" b="16510"/>
            <wp:docPr id="2516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ind w:firstLine="800" w:firstLineChars="25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（图2：收入决算结构图）</w:t>
      </w:r>
    </w:p>
    <w:p>
      <w:pPr>
        <w:pStyle w:val="27"/>
        <w:spacing w:line="600" w:lineRule="exact"/>
        <w:ind w:firstLine="640"/>
        <w:outlineLvl w:val="1"/>
        <w:rPr>
          <w:rStyle w:val="29"/>
          <w:rFonts w:hint="default" w:ascii="Times New Roman" w:hAnsi="Times New Roman" w:eastAsia="黑体" w:cs="Times New Roman"/>
          <w:b w:val="0"/>
        </w:rPr>
      </w:pPr>
      <w:bookmarkStart w:id="24" w:name="_Toc15396605"/>
      <w:bookmarkStart w:id="25" w:name="_Toc12325"/>
      <w:bookmarkStart w:id="26" w:name="_Toc15377207"/>
      <w:r>
        <w:rPr>
          <w:rFonts w:hint="default" w:ascii="Times New Roman" w:hAnsi="Times New Roman" w:eastAsia="黑体" w:cs="Times New Roman"/>
          <w:sz w:val="32"/>
          <w:szCs w:val="32"/>
        </w:rPr>
        <w:t>三、支</w:t>
      </w:r>
      <w:r>
        <w:rPr>
          <w:rStyle w:val="29"/>
          <w:rFonts w:hint="default" w:ascii="Times New Roman" w:hAnsi="Times New Roman" w:eastAsia="黑体" w:cs="Times New Roman"/>
          <w:b w:val="0"/>
        </w:rPr>
        <w:t>出决算情况说明</w:t>
      </w:r>
      <w:bookmarkEnd w:id="24"/>
      <w:bookmarkEnd w:id="25"/>
      <w:bookmarkEnd w:id="26"/>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2024年度本年支出合计3609.04万元，其中：基本支出3035.73万元，占</w:t>
      </w:r>
      <w:r>
        <w:rPr>
          <w:rFonts w:hint="default" w:ascii="Times New Roman" w:hAnsi="Times New Roman" w:eastAsia="仿宋_GB2312" w:cs="Times New Roman"/>
          <w:sz w:val="32"/>
          <w:szCs w:val="32"/>
          <w:lang w:val="en-US" w:eastAsia="zh-CN"/>
        </w:rPr>
        <w:t>84.1</w:t>
      </w:r>
      <w:r>
        <w:rPr>
          <w:rFonts w:hint="default" w:ascii="Times New Roman" w:hAnsi="Times New Roman" w:eastAsia="仿宋_GB2312" w:cs="Times New Roman"/>
          <w:sz w:val="32"/>
          <w:szCs w:val="32"/>
        </w:rPr>
        <w:t>%；项目支出573.31万元，占</w:t>
      </w:r>
      <w:r>
        <w:rPr>
          <w:rFonts w:hint="default" w:ascii="Times New Roman" w:hAnsi="Times New Roman" w:eastAsia="仿宋_GB2312" w:cs="Times New Roman"/>
          <w:sz w:val="32"/>
          <w:szCs w:val="32"/>
          <w:lang w:val="en-US" w:eastAsia="zh-CN"/>
        </w:rPr>
        <w:t>15.9</w:t>
      </w:r>
      <w:r>
        <w:rPr>
          <w:rFonts w:hint="default" w:ascii="Times New Roman" w:hAnsi="Times New Roman" w:eastAsia="仿宋_GB2312" w:cs="Times New Roman"/>
          <w:sz w:val="32"/>
          <w:szCs w:val="32"/>
        </w:rPr>
        <w:t>%。</w:t>
      </w:r>
    </w:p>
    <w:p>
      <w:pPr>
        <w:ind w:firstLine="525" w:firstLineChars="250"/>
        <w:rPr>
          <w:rFonts w:hint="default" w:ascii="Times New Roman" w:hAnsi="Times New Roman" w:eastAsia="仿宋_GB2312" w:cs="Times New Roman"/>
          <w:sz w:val="32"/>
          <w:szCs w:val="32"/>
        </w:rPr>
      </w:pPr>
      <w:r>
        <w:rPr>
          <w:rFonts w:hint="default" w:ascii="Times New Roman" w:hAnsi="Times New Roman" w:cs="Times New Roman"/>
        </w:rPr>
        <w:drawing>
          <wp:inline distT="0" distB="0" distL="114300" distR="114300">
            <wp:extent cx="4824730" cy="2919095"/>
            <wp:effectExtent l="4445" t="4445" r="17145" b="17780"/>
            <wp:docPr id="2517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ind w:firstLine="800" w:firstLineChars="25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（图3：支出决算结构图）</w:t>
      </w:r>
    </w:p>
    <w:p>
      <w:pPr>
        <w:spacing w:line="600" w:lineRule="exact"/>
        <w:ind w:firstLine="640" w:firstLineChars="200"/>
        <w:outlineLvl w:val="1"/>
        <w:rPr>
          <w:rStyle w:val="29"/>
          <w:rFonts w:hint="default" w:ascii="Times New Roman" w:hAnsi="Times New Roman" w:eastAsia="黑体" w:cs="Times New Roman"/>
          <w:b w:val="0"/>
        </w:rPr>
      </w:pPr>
      <w:bookmarkStart w:id="27" w:name="_Toc15396606"/>
      <w:bookmarkStart w:id="28" w:name="_Toc25879"/>
      <w:bookmarkStart w:id="29" w:name="_Toc15377208"/>
      <w:r>
        <w:rPr>
          <w:rFonts w:hint="default" w:ascii="Times New Roman" w:hAnsi="Times New Roman" w:eastAsia="黑体" w:cs="Times New Roman"/>
          <w:sz w:val="32"/>
          <w:szCs w:val="32"/>
        </w:rPr>
        <w:t>四、财</w:t>
      </w:r>
      <w:r>
        <w:rPr>
          <w:rStyle w:val="29"/>
          <w:rFonts w:hint="default" w:ascii="Times New Roman" w:hAnsi="Times New Roman" w:eastAsia="黑体" w:cs="Times New Roman"/>
          <w:b w:val="0"/>
        </w:rPr>
        <w:t>政拨款收入支出决算总体情况说明</w:t>
      </w:r>
      <w:bookmarkEnd w:id="27"/>
      <w:bookmarkEnd w:id="28"/>
      <w:bookmarkEnd w:id="29"/>
    </w:p>
    <w:p>
      <w:pPr>
        <w:spacing w:line="600" w:lineRule="exact"/>
        <w:ind w:firstLine="64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2024年度财政拨款收入、支出总计均为3609.04万元。与2023年度相比，财政拨款收入总计、支出总计各增减少581.67万元，下降13.</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%。主要变动原因是本年度人员减少，基本支出收入减少，项目减少</w:t>
      </w:r>
      <w:r>
        <w:rPr>
          <w:rFonts w:hint="default" w:ascii="Times New Roman" w:hAnsi="Times New Roman" w:eastAsia="仿宋_GB2312" w:cs="Times New Roman"/>
          <w:sz w:val="32"/>
          <w:szCs w:val="32"/>
          <w:lang w:eastAsia="zh-CN"/>
        </w:rPr>
        <w:t>。</w:t>
      </w:r>
    </w:p>
    <w:p>
      <w:pPr>
        <w:pStyle w:val="2"/>
        <w:rPr>
          <w:rFonts w:hint="default" w:ascii="Times New Roman" w:hAnsi="Times New Roman" w:eastAsia="仿宋_GB2312" w:cs="Times New Roman"/>
          <w:sz w:val="32"/>
          <w:szCs w:val="32"/>
          <w:lang w:eastAsia="zh-CN"/>
        </w:rPr>
      </w:pPr>
    </w:p>
    <w:p>
      <w:pPr>
        <w:pStyle w:val="3"/>
        <w:rPr>
          <w:rFonts w:hint="default" w:ascii="Times New Roman" w:hAnsi="Times New Roman" w:eastAsia="仿宋_GB2312" w:cs="Times New Roman"/>
          <w:sz w:val="32"/>
          <w:szCs w:val="32"/>
          <w:lang w:val="en-US" w:eastAsia="zh-CN"/>
        </w:rPr>
      </w:pPr>
      <w:r>
        <w:rPr>
          <w:rFonts w:hint="default" w:ascii="Times New Roman" w:hAnsi="Times New Roman" w:cs="Times New Roman"/>
        </w:rPr>
        <w:drawing>
          <wp:inline distT="0" distB="0" distL="114300" distR="114300">
            <wp:extent cx="4735195" cy="2858770"/>
            <wp:effectExtent l="0" t="0" r="4445" b="6350"/>
            <wp:docPr id="25171"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（图4：财政拨款收、支决算总计变动情况）</w:t>
      </w:r>
    </w:p>
    <w:p>
      <w:pPr>
        <w:spacing w:line="600" w:lineRule="exact"/>
        <w:ind w:firstLine="640" w:firstLineChars="200"/>
        <w:outlineLvl w:val="1"/>
        <w:rPr>
          <w:rStyle w:val="29"/>
          <w:rFonts w:hint="default" w:ascii="Times New Roman" w:hAnsi="Times New Roman" w:eastAsia="黑体" w:cs="Times New Roman"/>
          <w:b w:val="0"/>
        </w:rPr>
      </w:pPr>
      <w:bookmarkStart w:id="30" w:name="_Toc23299"/>
      <w:bookmarkStart w:id="31" w:name="_Toc15396607"/>
      <w:bookmarkStart w:id="32" w:name="_Toc15377209"/>
      <w:r>
        <w:rPr>
          <w:rFonts w:hint="default" w:ascii="Times New Roman" w:hAnsi="Times New Roman" w:eastAsia="黑体" w:cs="Times New Roman"/>
          <w:sz w:val="32"/>
          <w:szCs w:val="32"/>
        </w:rPr>
        <w:t>五、</w:t>
      </w:r>
      <w:r>
        <w:rPr>
          <w:rFonts w:hint="default" w:ascii="Times New Roman" w:hAnsi="Times New Roman" w:eastAsia="黑体" w:cs="Times New Roman"/>
          <w:b/>
          <w:sz w:val="32"/>
          <w:szCs w:val="32"/>
        </w:rPr>
        <w:t>一</w:t>
      </w:r>
      <w:r>
        <w:rPr>
          <w:rStyle w:val="29"/>
          <w:rFonts w:hint="default" w:ascii="Times New Roman" w:hAnsi="Times New Roman" w:eastAsia="黑体" w:cs="Times New Roman"/>
          <w:b w:val="0"/>
        </w:rPr>
        <w:t>般公共预算财政拨款支出决算情况说明</w:t>
      </w:r>
      <w:bookmarkEnd w:id="30"/>
      <w:bookmarkEnd w:id="31"/>
      <w:bookmarkEnd w:id="32"/>
    </w:p>
    <w:p>
      <w:pPr>
        <w:spacing w:line="600" w:lineRule="exact"/>
        <w:ind w:firstLine="643" w:firstLineChars="200"/>
        <w:outlineLvl w:val="2"/>
        <w:rPr>
          <w:rFonts w:hint="default" w:ascii="Times New Roman" w:hAnsi="Times New Roman" w:eastAsia="楷体_GB2312" w:cs="Times New Roman"/>
          <w:b/>
          <w:sz w:val="32"/>
          <w:szCs w:val="32"/>
        </w:rPr>
      </w:pPr>
      <w:bookmarkStart w:id="33" w:name="_Toc15377210"/>
      <w:r>
        <w:rPr>
          <w:rFonts w:hint="default" w:ascii="Times New Roman" w:hAnsi="Times New Roman" w:eastAsia="楷体_GB2312" w:cs="Times New Roman"/>
          <w:b/>
          <w:sz w:val="32"/>
          <w:szCs w:val="32"/>
        </w:rPr>
        <w:t>（一）一般公共预算财政拨款支出决算总体情况</w:t>
      </w:r>
      <w:bookmarkEnd w:id="33"/>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2024年度一般公共预算财政拨款支出3609.04万元，占本年支出合计的</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%。与2023年度相比，一般公共预算财政拨款支出减少581.67万元，下降</w:t>
      </w:r>
      <w:r>
        <w:rPr>
          <w:rFonts w:hint="default" w:ascii="Times New Roman" w:hAnsi="Times New Roman" w:eastAsia="仿宋_GB2312" w:cs="Times New Roman"/>
          <w:sz w:val="32"/>
          <w:szCs w:val="32"/>
          <w:lang w:val="en-US" w:eastAsia="zh-CN"/>
        </w:rPr>
        <w:t>13.9</w:t>
      </w:r>
      <w:r>
        <w:rPr>
          <w:rFonts w:hint="default" w:ascii="Times New Roman" w:hAnsi="Times New Roman" w:eastAsia="仿宋_GB2312" w:cs="Times New Roman"/>
          <w:sz w:val="32"/>
          <w:szCs w:val="32"/>
        </w:rPr>
        <w:t>%。主要变动原因是本年度人员减少，基本支出收入减少，项目减少</w:t>
      </w:r>
      <w:r>
        <w:rPr>
          <w:rFonts w:hint="default" w:ascii="Times New Roman" w:hAnsi="Times New Roman" w:eastAsia="仿宋_GB2312" w:cs="Times New Roman"/>
          <w:sz w:val="32"/>
          <w:szCs w:val="32"/>
          <w:lang w:eastAsia="zh-CN"/>
        </w:rPr>
        <w:t>。</w:t>
      </w:r>
    </w:p>
    <w:p>
      <w:pPr>
        <w:pStyle w:val="2"/>
        <w:rPr>
          <w:rFonts w:hint="default" w:ascii="Times New Roman" w:hAnsi="Times New Roman" w:eastAsia="仿宋_GB2312" w:cs="Times New Roman"/>
          <w:sz w:val="32"/>
          <w:szCs w:val="32"/>
        </w:rPr>
      </w:pPr>
    </w:p>
    <w:p>
      <w:pPr>
        <w:pStyle w:val="3"/>
        <w:rPr>
          <w:rFonts w:hint="default" w:ascii="Times New Roman" w:hAnsi="Times New Roman" w:eastAsia="仿宋_GB2312" w:cs="Times New Roman"/>
          <w:sz w:val="32"/>
          <w:szCs w:val="32"/>
        </w:rPr>
      </w:pPr>
    </w:p>
    <w:p>
      <w:pPr>
        <w:pStyle w:val="3"/>
        <w:rPr>
          <w:rFonts w:hint="default" w:ascii="Times New Roman" w:hAnsi="Times New Roman" w:eastAsia="仿宋_GB2312" w:cs="Times New Roman"/>
          <w:sz w:val="32"/>
          <w:szCs w:val="32"/>
        </w:rPr>
      </w:pPr>
    </w:p>
    <w:p>
      <w:pPr>
        <w:pStyle w:val="3"/>
        <w:rPr>
          <w:rFonts w:hint="default" w:ascii="Times New Roman" w:hAnsi="Times New Roman" w:eastAsia="仿宋_GB2312" w:cs="Times New Roman"/>
          <w:sz w:val="32"/>
          <w:szCs w:val="32"/>
        </w:rPr>
      </w:pPr>
    </w:p>
    <w:p>
      <w:pPr>
        <w:pStyle w:val="3"/>
        <w:ind w:left="0" w:leftChars="0" w:firstLine="0" w:firstLineChars="0"/>
        <w:jc w:val="center"/>
        <w:rPr>
          <w:rFonts w:hint="default" w:ascii="Times New Roman" w:hAnsi="Times New Roman" w:eastAsia="仿宋_GB2312" w:cs="Times New Roman"/>
          <w:sz w:val="32"/>
          <w:szCs w:val="32"/>
        </w:rPr>
      </w:pPr>
      <w:r>
        <w:rPr>
          <w:rFonts w:hint="default" w:ascii="Times New Roman" w:hAnsi="Times New Roman" w:cs="Times New Roman"/>
        </w:rPr>
        <w:drawing>
          <wp:inline distT="0" distB="0" distL="114300" distR="114300">
            <wp:extent cx="4690745" cy="2413635"/>
            <wp:effectExtent l="4445" t="5080" r="13970" b="4445"/>
            <wp:docPr id="2516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（图5：一般公共预算财政拨款支出决算变动情况）</w:t>
      </w:r>
    </w:p>
    <w:p>
      <w:pPr>
        <w:spacing w:line="600" w:lineRule="exact"/>
        <w:ind w:firstLine="643" w:firstLineChars="200"/>
        <w:outlineLvl w:val="2"/>
        <w:rPr>
          <w:rFonts w:hint="default" w:ascii="Times New Roman" w:hAnsi="Times New Roman" w:eastAsia="楷体_GB2312" w:cs="Times New Roman"/>
          <w:b/>
          <w:sz w:val="32"/>
          <w:szCs w:val="32"/>
        </w:rPr>
      </w:pPr>
      <w:bookmarkStart w:id="34" w:name="_Toc15377211"/>
      <w:r>
        <w:rPr>
          <w:rFonts w:hint="default" w:ascii="Times New Roman" w:hAnsi="Times New Roman" w:eastAsia="楷体_GB2312" w:cs="Times New Roman"/>
          <w:b/>
          <w:sz w:val="32"/>
          <w:szCs w:val="32"/>
        </w:rPr>
        <w:t>（二）一般公共预算财政拨款支出决算结构情况</w:t>
      </w:r>
      <w:bookmarkEnd w:id="34"/>
    </w:p>
    <w:p>
      <w:pPr>
        <w:spacing w:line="600" w:lineRule="exact"/>
        <w:ind w:firstLine="64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2024年度一般公共预算财政拨款支出3609.04万元，主要用于以下方面：文化旅游体育与传媒支出0.5万元，占</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%；社会保障和就业支出320.22万元，占</w:t>
      </w:r>
      <w:r>
        <w:rPr>
          <w:rFonts w:hint="default" w:ascii="Times New Roman" w:hAnsi="Times New Roman" w:eastAsia="仿宋_GB2312" w:cs="Times New Roman"/>
          <w:sz w:val="32"/>
          <w:szCs w:val="32"/>
          <w:lang w:val="en-US" w:eastAsia="zh-CN"/>
        </w:rPr>
        <w:t>8.9</w:t>
      </w:r>
      <w:r>
        <w:rPr>
          <w:rFonts w:hint="default" w:ascii="Times New Roman" w:hAnsi="Times New Roman" w:eastAsia="仿宋_GB2312" w:cs="Times New Roman"/>
          <w:sz w:val="32"/>
          <w:szCs w:val="32"/>
        </w:rPr>
        <w:t>%；卫生健康支出161.07万元，占</w:t>
      </w:r>
      <w:r>
        <w:rPr>
          <w:rFonts w:hint="default" w:ascii="Times New Roman" w:hAnsi="Times New Roman" w:eastAsia="仿宋_GB2312" w:cs="Times New Roman"/>
          <w:sz w:val="32"/>
          <w:szCs w:val="32"/>
          <w:lang w:val="en-US" w:eastAsia="zh-CN"/>
        </w:rPr>
        <w:t>4.5</w:t>
      </w:r>
      <w:r>
        <w:rPr>
          <w:rFonts w:hint="default" w:ascii="Times New Roman" w:hAnsi="Times New Roman" w:eastAsia="仿宋_GB2312" w:cs="Times New Roman"/>
          <w:sz w:val="32"/>
          <w:szCs w:val="32"/>
        </w:rPr>
        <w:t>%；交通运输支出2961.6</w:t>
      </w:r>
      <w:r>
        <w:rPr>
          <w:rFonts w:hint="default" w:ascii="Times New Roman" w:hAnsi="Times New Roman" w:eastAsia="仿宋_GB2312" w:cs="Times New Roman"/>
          <w:sz w:val="32"/>
          <w:szCs w:val="32"/>
          <w:lang w:val="en-US" w:eastAsia="zh-CN"/>
        </w:rPr>
        <w:t>2万元，占82.1%；</w:t>
      </w:r>
      <w:r>
        <w:rPr>
          <w:rFonts w:hint="default" w:ascii="Times New Roman" w:hAnsi="Times New Roman" w:eastAsia="仿宋_GB2312" w:cs="Times New Roman"/>
          <w:sz w:val="32"/>
          <w:szCs w:val="32"/>
        </w:rPr>
        <w:t>住房保障支出165.63万元，占</w:t>
      </w:r>
      <w:r>
        <w:rPr>
          <w:rFonts w:hint="default" w:ascii="Times New Roman" w:hAnsi="Times New Roman" w:eastAsia="仿宋_GB2312" w:cs="Times New Roman"/>
          <w:sz w:val="32"/>
          <w:szCs w:val="32"/>
          <w:lang w:val="en-US" w:eastAsia="zh-CN"/>
        </w:rPr>
        <w:t>4.6</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pPr>
        <w:pStyle w:val="3"/>
        <w:ind w:left="0" w:leftChars="0" w:firstLine="0" w:firstLineChars="0"/>
        <w:jc w:val="center"/>
        <w:rPr>
          <w:rFonts w:hint="default" w:ascii="Times New Roman" w:hAnsi="Times New Roman" w:eastAsia="仿宋_GB2312" w:cs="Times New Roman"/>
          <w:sz w:val="32"/>
          <w:szCs w:val="32"/>
          <w:lang w:eastAsia="zh-CN"/>
        </w:rPr>
      </w:pPr>
      <w:r>
        <w:rPr>
          <w:rFonts w:hint="default" w:ascii="Times New Roman" w:hAnsi="Times New Roman" w:cs="Times New Roman"/>
        </w:rPr>
        <w:drawing>
          <wp:inline distT="0" distB="0" distL="114300" distR="114300">
            <wp:extent cx="4798695" cy="3460750"/>
            <wp:effectExtent l="4445" t="4445" r="12700" b="9525"/>
            <wp:docPr id="2516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（图6：一般公共预算财政拨款支出决算结构）</w:t>
      </w:r>
    </w:p>
    <w:p>
      <w:pPr>
        <w:spacing w:line="600" w:lineRule="exact"/>
        <w:ind w:firstLine="643" w:firstLineChars="200"/>
        <w:outlineLvl w:val="2"/>
        <w:rPr>
          <w:rFonts w:hint="default" w:ascii="Times New Roman" w:hAnsi="Times New Roman" w:eastAsia="楷体_GB2312" w:cs="Times New Roman"/>
          <w:b/>
          <w:sz w:val="32"/>
          <w:szCs w:val="32"/>
        </w:rPr>
      </w:pPr>
      <w:bookmarkStart w:id="35" w:name="_Toc15377212"/>
      <w:r>
        <w:rPr>
          <w:rFonts w:hint="default" w:ascii="Times New Roman" w:hAnsi="Times New Roman" w:eastAsia="楷体_GB2312" w:cs="Times New Roman"/>
          <w:b/>
          <w:sz w:val="32"/>
          <w:szCs w:val="32"/>
        </w:rPr>
        <w:t>（三）一般公共预算财政拨款支出决算具体情况</w:t>
      </w:r>
      <w:bookmarkEnd w:id="35"/>
    </w:p>
    <w:p>
      <w:pPr>
        <w:spacing w:line="600" w:lineRule="exact"/>
        <w:ind w:firstLine="640"/>
        <w:rPr>
          <w:rFonts w:hint="default" w:ascii="Times New Roman" w:hAnsi="Times New Roman" w:eastAsia="仿宋_GB2312" w:cs="Times New Roman"/>
          <w:sz w:val="32"/>
          <w:szCs w:val="32"/>
        </w:rPr>
      </w:pPr>
      <w:bookmarkStart w:id="36" w:name="_Toc15378460"/>
      <w:bookmarkStart w:id="37" w:name="_Toc15377213"/>
      <w:bookmarkStart w:id="38" w:name="_Toc15377444"/>
      <w:r>
        <w:rPr>
          <w:rFonts w:hint="default" w:ascii="Times New Roman" w:hAnsi="Times New Roman" w:eastAsia="仿宋_GB2312" w:cs="Times New Roman"/>
          <w:sz w:val="32"/>
          <w:szCs w:val="32"/>
        </w:rPr>
        <w:t>2024年度一般公共预算财政拨款支出决算数为3609.04</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rPr>
        <w:t>，完成预算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%。其中：</w:t>
      </w:r>
      <w:bookmarkEnd w:id="36"/>
      <w:bookmarkEnd w:id="37"/>
      <w:bookmarkEnd w:id="38"/>
    </w:p>
    <w:p>
      <w:pPr>
        <w:spacing w:line="600" w:lineRule="exact"/>
        <w:ind w:firstLine="643" w:firstLineChars="200"/>
        <w:rPr>
          <w:rStyle w:val="17"/>
          <w:rFonts w:hint="default" w:ascii="Times New Roman" w:hAnsi="Times New Roman" w:eastAsia="仿宋" w:cs="Times New Roman"/>
          <w:bCs/>
          <w:sz w:val="32"/>
          <w:szCs w:val="32"/>
          <w:lang w:val="en-US" w:eastAsia="zh-CN"/>
        </w:rPr>
      </w:pPr>
      <w:r>
        <w:rPr>
          <w:rStyle w:val="17"/>
          <w:rFonts w:hint="default" w:ascii="Times New Roman" w:hAnsi="Times New Roman" w:eastAsia="仿宋" w:cs="Times New Roman"/>
          <w:bCs/>
          <w:sz w:val="32"/>
          <w:szCs w:val="32"/>
          <w:lang w:val="en-US" w:eastAsia="zh-CN"/>
        </w:rPr>
        <w:t>1.</w:t>
      </w:r>
      <w:r>
        <w:rPr>
          <w:rStyle w:val="17"/>
          <w:rFonts w:hint="default" w:ascii="Times New Roman" w:hAnsi="Times New Roman" w:eastAsia="仿宋" w:cs="Times New Roman"/>
          <w:bCs/>
          <w:sz w:val="32"/>
          <w:szCs w:val="32"/>
        </w:rPr>
        <w:t>文化旅游体育与传媒支出</w:t>
      </w:r>
      <w:r>
        <w:rPr>
          <w:rStyle w:val="17"/>
          <w:rFonts w:hint="default" w:ascii="Times New Roman" w:hAnsi="Times New Roman" w:eastAsia="仿宋" w:cs="Times New Roman"/>
          <w:bCs/>
          <w:sz w:val="32"/>
          <w:szCs w:val="32"/>
          <w:lang w:eastAsia="zh-CN"/>
        </w:rPr>
        <w:t>（</w:t>
      </w:r>
      <w:r>
        <w:rPr>
          <w:rStyle w:val="17"/>
          <w:rFonts w:hint="default" w:ascii="Times New Roman" w:hAnsi="Times New Roman" w:eastAsia="仿宋" w:cs="Times New Roman"/>
          <w:bCs/>
          <w:sz w:val="32"/>
          <w:szCs w:val="32"/>
          <w:lang w:val="en-US" w:eastAsia="zh-CN"/>
        </w:rPr>
        <w:t>类）其他文化旅游体育与传媒支出（款）其他文化旅游体育与传媒支出（项）：</w:t>
      </w:r>
      <w:r>
        <w:rPr>
          <w:rStyle w:val="17"/>
          <w:rFonts w:hint="default" w:ascii="Times New Roman" w:hAnsi="Times New Roman" w:eastAsia="仿宋" w:cs="Times New Roman"/>
          <w:b w:val="0"/>
          <w:bCs/>
          <w:sz w:val="32"/>
          <w:szCs w:val="32"/>
        </w:rPr>
        <w:t>支出决算为0.5万元，完成预算100%。</w:t>
      </w:r>
    </w:p>
    <w:p>
      <w:pPr>
        <w:spacing w:line="600" w:lineRule="exact"/>
        <w:ind w:firstLine="643" w:firstLineChars="200"/>
        <w:rPr>
          <w:rFonts w:hint="default" w:ascii="Times New Roman" w:hAnsi="Times New Roman" w:eastAsia="仿宋" w:cs="Times New Roman"/>
          <w:b/>
          <w:sz w:val="32"/>
          <w:szCs w:val="32"/>
        </w:rPr>
      </w:pPr>
      <w:r>
        <w:rPr>
          <w:rStyle w:val="17"/>
          <w:rFonts w:hint="default" w:ascii="Times New Roman" w:hAnsi="Times New Roman" w:eastAsia="仿宋" w:cs="Times New Roman"/>
          <w:bCs/>
          <w:sz w:val="32"/>
          <w:szCs w:val="32"/>
          <w:lang w:val="en-US" w:eastAsia="zh-CN"/>
        </w:rPr>
        <w:t>2</w:t>
      </w:r>
      <w:r>
        <w:rPr>
          <w:rStyle w:val="17"/>
          <w:rFonts w:hint="default" w:ascii="Times New Roman" w:hAnsi="Times New Roman" w:eastAsia="仿宋" w:cs="Times New Roman"/>
          <w:bCs/>
          <w:sz w:val="32"/>
          <w:szCs w:val="32"/>
        </w:rPr>
        <w:t>.社会保障和就业支出（类）行政事业单位养老支出（款）机关事业单位基本养老保险缴费支出（项）:</w:t>
      </w:r>
      <w:r>
        <w:rPr>
          <w:rStyle w:val="17"/>
          <w:rFonts w:hint="default" w:ascii="Times New Roman" w:hAnsi="Times New Roman" w:eastAsia="仿宋" w:cs="Times New Roman"/>
          <w:b w:val="0"/>
          <w:bCs/>
          <w:sz w:val="32"/>
          <w:szCs w:val="32"/>
        </w:rPr>
        <w:t>支出决算为182.56万元，完成预算100%。</w:t>
      </w:r>
    </w:p>
    <w:p>
      <w:pPr>
        <w:spacing w:line="600" w:lineRule="exact"/>
        <w:ind w:firstLine="643" w:firstLineChars="200"/>
        <w:rPr>
          <w:rStyle w:val="17"/>
          <w:rFonts w:hint="default" w:ascii="Times New Roman" w:hAnsi="Times New Roman" w:eastAsia="仿宋" w:cs="Times New Roman"/>
          <w:b w:val="0"/>
          <w:bCs/>
          <w:sz w:val="32"/>
          <w:szCs w:val="32"/>
        </w:rPr>
      </w:pPr>
      <w:r>
        <w:rPr>
          <w:rStyle w:val="17"/>
          <w:rFonts w:hint="default" w:ascii="Times New Roman" w:hAnsi="Times New Roman" w:eastAsia="仿宋" w:cs="Times New Roman"/>
          <w:bCs/>
          <w:sz w:val="32"/>
          <w:szCs w:val="32"/>
          <w:lang w:val="en-US" w:eastAsia="zh-CN"/>
        </w:rPr>
        <w:t>3</w:t>
      </w:r>
      <w:r>
        <w:rPr>
          <w:rStyle w:val="17"/>
          <w:rFonts w:hint="default" w:ascii="Times New Roman" w:hAnsi="Times New Roman" w:eastAsia="仿宋" w:cs="Times New Roman"/>
          <w:bCs/>
          <w:sz w:val="32"/>
          <w:szCs w:val="32"/>
        </w:rPr>
        <w:t>.社会保障和就业支出（类）行政事业单位养老支出（款）机关事业单位职业年金缴费支出（项）:</w:t>
      </w:r>
      <w:r>
        <w:rPr>
          <w:rStyle w:val="17"/>
          <w:rFonts w:hint="default" w:ascii="Times New Roman" w:hAnsi="Times New Roman" w:eastAsia="仿宋" w:cs="Times New Roman"/>
          <w:b w:val="0"/>
          <w:bCs/>
          <w:sz w:val="32"/>
          <w:szCs w:val="32"/>
        </w:rPr>
        <w:t>支出决算为91.28万元，完成预算100%。</w:t>
      </w:r>
    </w:p>
    <w:p>
      <w:pPr>
        <w:spacing w:line="600" w:lineRule="exact"/>
        <w:ind w:firstLine="643" w:firstLineChars="200"/>
        <w:rPr>
          <w:rStyle w:val="17"/>
          <w:rFonts w:hint="default" w:ascii="Times New Roman" w:hAnsi="Times New Roman" w:eastAsia="仿宋" w:cs="Times New Roman"/>
          <w:b w:val="0"/>
          <w:bCs/>
          <w:sz w:val="32"/>
          <w:szCs w:val="32"/>
        </w:rPr>
      </w:pPr>
      <w:r>
        <w:rPr>
          <w:rStyle w:val="17"/>
          <w:rFonts w:hint="default" w:ascii="Times New Roman" w:hAnsi="Times New Roman" w:eastAsia="仿宋" w:cs="Times New Roman"/>
          <w:bCs/>
          <w:sz w:val="32"/>
          <w:szCs w:val="32"/>
          <w:lang w:val="en-US" w:eastAsia="zh-CN"/>
        </w:rPr>
        <w:t>4</w:t>
      </w:r>
      <w:r>
        <w:rPr>
          <w:rStyle w:val="17"/>
          <w:rFonts w:hint="default" w:ascii="Times New Roman" w:hAnsi="Times New Roman" w:eastAsia="仿宋" w:cs="Times New Roman"/>
          <w:bCs/>
          <w:sz w:val="32"/>
          <w:szCs w:val="32"/>
        </w:rPr>
        <w:t>.社会保障和就业支出（类）行政事业单位养老支出（款）事业单位离退休（项）:</w:t>
      </w:r>
      <w:r>
        <w:rPr>
          <w:rStyle w:val="17"/>
          <w:rFonts w:hint="default" w:ascii="Times New Roman" w:hAnsi="Times New Roman" w:eastAsia="仿宋" w:cs="Times New Roman"/>
          <w:b w:val="0"/>
          <w:bCs/>
          <w:sz w:val="32"/>
          <w:szCs w:val="32"/>
        </w:rPr>
        <w:t>支出决算为46.38万元，完成预算100%。</w:t>
      </w:r>
    </w:p>
    <w:p>
      <w:pPr>
        <w:spacing w:line="600" w:lineRule="exact"/>
        <w:ind w:firstLine="643" w:firstLineChars="200"/>
        <w:rPr>
          <w:rFonts w:hint="default" w:ascii="Times New Roman" w:hAnsi="Times New Roman" w:eastAsia="仿宋" w:cs="Times New Roman"/>
          <w:b/>
          <w:sz w:val="32"/>
          <w:szCs w:val="32"/>
        </w:rPr>
      </w:pPr>
      <w:r>
        <w:rPr>
          <w:rStyle w:val="17"/>
          <w:rFonts w:hint="default" w:ascii="Times New Roman" w:hAnsi="Times New Roman" w:eastAsia="仿宋" w:cs="Times New Roman"/>
          <w:bCs/>
          <w:sz w:val="32"/>
          <w:szCs w:val="32"/>
          <w:lang w:val="en-US" w:eastAsia="zh-CN"/>
        </w:rPr>
        <w:t>5</w:t>
      </w:r>
      <w:r>
        <w:rPr>
          <w:rStyle w:val="17"/>
          <w:rFonts w:hint="default" w:ascii="Times New Roman" w:hAnsi="Times New Roman" w:eastAsia="仿宋" w:cs="Times New Roman"/>
          <w:bCs/>
          <w:sz w:val="32"/>
          <w:szCs w:val="32"/>
        </w:rPr>
        <w:t>.卫生健康支出（类）行政事业单位医疗（款）事业单位医疗（项）:</w:t>
      </w:r>
      <w:r>
        <w:rPr>
          <w:rStyle w:val="17"/>
          <w:rFonts w:hint="default" w:ascii="Times New Roman" w:hAnsi="Times New Roman" w:eastAsia="仿宋" w:cs="Times New Roman"/>
          <w:b w:val="0"/>
          <w:bCs/>
          <w:sz w:val="32"/>
          <w:szCs w:val="32"/>
        </w:rPr>
        <w:t>支出决算为80.03万元，完成预算100.00%。</w:t>
      </w:r>
    </w:p>
    <w:p>
      <w:pPr>
        <w:spacing w:line="600" w:lineRule="exact"/>
        <w:ind w:firstLine="643" w:firstLineChars="200"/>
        <w:rPr>
          <w:rFonts w:hint="default" w:ascii="Times New Roman" w:hAnsi="Times New Roman" w:eastAsia="仿宋" w:cs="Times New Roman"/>
          <w:b/>
          <w:sz w:val="32"/>
          <w:szCs w:val="32"/>
        </w:rPr>
      </w:pPr>
      <w:r>
        <w:rPr>
          <w:rStyle w:val="17"/>
          <w:rFonts w:hint="default" w:ascii="Times New Roman" w:hAnsi="Times New Roman" w:eastAsia="仿宋" w:cs="Times New Roman"/>
          <w:bCs/>
          <w:sz w:val="32"/>
          <w:szCs w:val="32"/>
          <w:lang w:val="en-US" w:eastAsia="zh-CN"/>
        </w:rPr>
        <w:t>6</w:t>
      </w:r>
      <w:r>
        <w:rPr>
          <w:rStyle w:val="17"/>
          <w:rFonts w:hint="default" w:ascii="Times New Roman" w:hAnsi="Times New Roman" w:eastAsia="仿宋" w:cs="Times New Roman"/>
          <w:bCs/>
          <w:sz w:val="32"/>
          <w:szCs w:val="32"/>
        </w:rPr>
        <w:t>.</w:t>
      </w:r>
      <w:r>
        <w:rPr>
          <w:rFonts w:hint="default" w:ascii="Times New Roman" w:hAnsi="Times New Roman" w:eastAsia="仿宋" w:cs="Times New Roman"/>
          <w:sz w:val="32"/>
          <w:szCs w:val="32"/>
        </w:rPr>
        <w:t xml:space="preserve"> </w:t>
      </w:r>
      <w:r>
        <w:rPr>
          <w:rStyle w:val="17"/>
          <w:rFonts w:hint="default" w:ascii="Times New Roman" w:hAnsi="Times New Roman" w:eastAsia="仿宋" w:cs="Times New Roman"/>
          <w:bCs/>
          <w:sz w:val="32"/>
          <w:szCs w:val="32"/>
        </w:rPr>
        <w:t>卫生健康支出（类）行政事业单位医疗（款）其他行政事业单位医疗支出（项）:</w:t>
      </w:r>
      <w:r>
        <w:rPr>
          <w:rStyle w:val="17"/>
          <w:rFonts w:hint="default" w:ascii="Times New Roman" w:hAnsi="Times New Roman" w:eastAsia="仿宋" w:cs="Times New Roman"/>
          <w:b w:val="0"/>
          <w:bCs/>
          <w:sz w:val="32"/>
          <w:szCs w:val="32"/>
        </w:rPr>
        <w:t>支出决算为81.04万元，完成预算100%。</w:t>
      </w:r>
    </w:p>
    <w:p>
      <w:pPr>
        <w:spacing w:line="600" w:lineRule="exact"/>
        <w:ind w:firstLine="643" w:firstLineChars="200"/>
        <w:rPr>
          <w:rFonts w:hint="default" w:ascii="Times New Roman" w:hAnsi="Times New Roman" w:eastAsia="仿宋" w:cs="Times New Roman"/>
          <w:b/>
          <w:sz w:val="32"/>
          <w:szCs w:val="32"/>
        </w:rPr>
      </w:pPr>
      <w:r>
        <w:rPr>
          <w:rStyle w:val="17"/>
          <w:rFonts w:hint="default" w:ascii="Times New Roman" w:hAnsi="Times New Roman" w:eastAsia="仿宋" w:cs="Times New Roman"/>
          <w:bCs/>
          <w:sz w:val="32"/>
          <w:szCs w:val="32"/>
          <w:lang w:val="en-US" w:eastAsia="zh-CN"/>
        </w:rPr>
        <w:t>7</w:t>
      </w:r>
      <w:r>
        <w:rPr>
          <w:rStyle w:val="17"/>
          <w:rFonts w:hint="default" w:ascii="Times New Roman" w:hAnsi="Times New Roman" w:eastAsia="仿宋" w:cs="Times New Roman"/>
          <w:bCs/>
          <w:sz w:val="32"/>
          <w:szCs w:val="32"/>
        </w:rPr>
        <w:t>.交通运输支出（类）公路水路运输（款）公路养护（项）:</w:t>
      </w:r>
      <w:r>
        <w:rPr>
          <w:rStyle w:val="17"/>
          <w:rFonts w:hint="default" w:ascii="Times New Roman" w:hAnsi="Times New Roman" w:eastAsia="仿宋" w:cs="Times New Roman"/>
          <w:b w:val="0"/>
          <w:bCs/>
          <w:sz w:val="32"/>
          <w:szCs w:val="32"/>
        </w:rPr>
        <w:t xml:space="preserve"> 支出决算为2961.6</w:t>
      </w:r>
      <w:r>
        <w:rPr>
          <w:rStyle w:val="17"/>
          <w:rFonts w:hint="default" w:ascii="Times New Roman" w:hAnsi="Times New Roman" w:eastAsia="仿宋" w:cs="Times New Roman"/>
          <w:b w:val="0"/>
          <w:bCs/>
          <w:sz w:val="32"/>
          <w:szCs w:val="32"/>
          <w:lang w:val="en-US" w:eastAsia="zh-CN"/>
        </w:rPr>
        <w:t>2</w:t>
      </w:r>
      <w:r>
        <w:rPr>
          <w:rStyle w:val="17"/>
          <w:rFonts w:hint="default" w:ascii="Times New Roman" w:hAnsi="Times New Roman" w:eastAsia="仿宋" w:cs="Times New Roman"/>
          <w:b w:val="0"/>
          <w:bCs/>
          <w:sz w:val="32"/>
          <w:szCs w:val="32"/>
        </w:rPr>
        <w:t>3万元，完成预算100%。</w:t>
      </w:r>
    </w:p>
    <w:p>
      <w:pPr>
        <w:spacing w:line="600" w:lineRule="exact"/>
        <w:ind w:firstLine="643" w:firstLineChars="200"/>
        <w:rPr>
          <w:rStyle w:val="17"/>
          <w:rFonts w:hint="default" w:ascii="Times New Roman" w:hAnsi="Times New Roman" w:eastAsia="仿宋" w:cs="Times New Roman"/>
          <w:b w:val="0"/>
          <w:bCs/>
          <w:sz w:val="32"/>
          <w:szCs w:val="32"/>
        </w:rPr>
      </w:pPr>
      <w:r>
        <w:rPr>
          <w:rStyle w:val="17"/>
          <w:rFonts w:hint="default" w:ascii="Times New Roman" w:hAnsi="Times New Roman" w:eastAsia="仿宋" w:cs="Times New Roman"/>
          <w:bCs/>
          <w:sz w:val="32"/>
          <w:szCs w:val="32"/>
          <w:lang w:val="en-US" w:eastAsia="zh-CN"/>
        </w:rPr>
        <w:t>8</w:t>
      </w:r>
      <w:r>
        <w:rPr>
          <w:rStyle w:val="17"/>
          <w:rFonts w:hint="default" w:ascii="Times New Roman" w:hAnsi="Times New Roman" w:eastAsia="仿宋" w:cs="Times New Roman"/>
          <w:bCs/>
          <w:sz w:val="32"/>
          <w:szCs w:val="32"/>
        </w:rPr>
        <w:t>.住房保障支出（类）住房改革支出（款）住房公积金（项）:</w:t>
      </w:r>
      <w:r>
        <w:rPr>
          <w:rStyle w:val="17"/>
          <w:rFonts w:hint="default" w:ascii="Times New Roman" w:hAnsi="Times New Roman" w:eastAsia="仿宋" w:cs="Times New Roman"/>
          <w:b w:val="0"/>
          <w:bCs/>
          <w:sz w:val="32"/>
          <w:szCs w:val="32"/>
        </w:rPr>
        <w:t>支出决算为157.63万元，完成预算100%。</w:t>
      </w:r>
    </w:p>
    <w:p>
      <w:pPr>
        <w:spacing w:line="600" w:lineRule="exact"/>
        <w:ind w:firstLine="643" w:firstLineChars="200"/>
        <w:rPr>
          <w:rFonts w:hint="default" w:ascii="Times New Roman" w:hAnsi="Times New Roman" w:eastAsia="仿宋" w:cs="Times New Roman"/>
          <w:sz w:val="32"/>
          <w:szCs w:val="32"/>
        </w:rPr>
      </w:pPr>
      <w:r>
        <w:rPr>
          <w:rStyle w:val="17"/>
          <w:rFonts w:hint="default" w:ascii="Times New Roman" w:hAnsi="Times New Roman" w:eastAsia="仿宋" w:cs="Times New Roman"/>
          <w:bCs/>
          <w:sz w:val="32"/>
          <w:szCs w:val="32"/>
          <w:lang w:val="en-US" w:eastAsia="zh-CN"/>
        </w:rPr>
        <w:t>9</w:t>
      </w:r>
      <w:r>
        <w:rPr>
          <w:rStyle w:val="17"/>
          <w:rFonts w:hint="default" w:ascii="Times New Roman" w:hAnsi="Times New Roman" w:eastAsia="仿宋" w:cs="Times New Roman"/>
          <w:bCs/>
          <w:sz w:val="32"/>
          <w:szCs w:val="32"/>
        </w:rPr>
        <w:t>.住房保障支出（类）住房改革支出（款）购房补贴（项）:</w:t>
      </w:r>
      <w:r>
        <w:rPr>
          <w:rStyle w:val="17"/>
          <w:rFonts w:hint="default" w:ascii="Times New Roman" w:hAnsi="Times New Roman" w:eastAsia="仿宋" w:cs="Times New Roman"/>
          <w:b w:val="0"/>
          <w:bCs/>
          <w:sz w:val="32"/>
          <w:szCs w:val="32"/>
        </w:rPr>
        <w:t>支出决算为8万元，完成预算100%。</w:t>
      </w:r>
    </w:p>
    <w:p>
      <w:pPr>
        <w:tabs>
          <w:tab w:val="right" w:pos="8306"/>
        </w:tabs>
        <w:spacing w:line="600" w:lineRule="exact"/>
        <w:ind w:firstLine="640"/>
        <w:outlineLvl w:val="1"/>
        <w:rPr>
          <w:rStyle w:val="29"/>
          <w:rFonts w:hint="default" w:ascii="Times New Roman" w:hAnsi="Times New Roman" w:cs="Times New Roman"/>
        </w:rPr>
      </w:pPr>
      <w:bookmarkStart w:id="39" w:name="_Toc15377214"/>
      <w:bookmarkStart w:id="40" w:name="_Toc13800"/>
      <w:bookmarkStart w:id="41" w:name="_Toc15396608"/>
      <w:r>
        <w:rPr>
          <w:rFonts w:hint="default" w:ascii="Times New Roman" w:hAnsi="Times New Roman" w:eastAsia="黑体" w:cs="Times New Roman"/>
          <w:sz w:val="32"/>
          <w:szCs w:val="32"/>
        </w:rPr>
        <w:t>六</w:t>
      </w:r>
      <w:r>
        <w:rPr>
          <w:rFonts w:hint="default" w:ascii="Times New Roman" w:hAnsi="Times New Roman" w:eastAsia="黑体" w:cs="Times New Roman"/>
          <w:b/>
          <w:sz w:val="32"/>
          <w:szCs w:val="32"/>
        </w:rPr>
        <w:t>、一</w:t>
      </w:r>
      <w:r>
        <w:rPr>
          <w:rStyle w:val="29"/>
          <w:rFonts w:hint="default" w:ascii="Times New Roman" w:hAnsi="Times New Roman" w:eastAsia="黑体" w:cs="Times New Roman"/>
          <w:b w:val="0"/>
        </w:rPr>
        <w:t>般公共预算财政拨款基本支出决算情况说明</w:t>
      </w:r>
      <w:bookmarkEnd w:id="39"/>
      <w:bookmarkEnd w:id="40"/>
      <w:bookmarkEnd w:id="41"/>
      <w:r>
        <w:rPr>
          <w:rStyle w:val="29"/>
          <w:rFonts w:hint="default" w:ascii="Times New Roman" w:hAnsi="Times New Roman" w:eastAsia="黑体" w:cs="Times New Roman"/>
          <w:b w:val="0"/>
        </w:rPr>
        <w:tab/>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2024年度一般公共预算财政拨款基本支出3035.73万元，其中：</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员经费2814.75万元，主要包括：基本工资、津贴补贴、奖金、绩效工资、机关事业单位基本养老保险缴费、职业年金缴费、职工基本医疗保险缴费、其他社会保障缴费、住房公积金、其他工资福利支出、离休费、抚恤金、生活补助、奖励金。</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rPr>
        <w:t>　　公用经费220.97万元，主要包括：办公费、咨询费、水费、电费、邮电费、物业管理费、差旅费、维修（护）费、租赁费、培训费、公务接待费、专用材料费、专用燃料费、劳务费、福利费、公务用车运行维护费、其他交通费、其他商品和服务支出</w:t>
      </w:r>
      <w:r>
        <w:rPr>
          <w:rFonts w:hint="default" w:ascii="Times New Roman" w:hAnsi="Times New Roman" w:eastAsia="仿宋_GB2312" w:cs="Times New Roman"/>
          <w:sz w:val="32"/>
          <w:szCs w:val="32"/>
          <w:lang w:eastAsia="zh-CN"/>
        </w:rPr>
        <w:t>、办公设备购置</w:t>
      </w:r>
      <w:r>
        <w:rPr>
          <w:rFonts w:hint="default" w:ascii="Times New Roman" w:hAnsi="Times New Roman" w:eastAsia="仿宋_GB2312" w:cs="Times New Roman"/>
          <w:sz w:val="32"/>
          <w:szCs w:val="32"/>
        </w:rPr>
        <w:t>。</w:t>
      </w:r>
    </w:p>
    <w:p>
      <w:pPr>
        <w:spacing w:line="600" w:lineRule="exact"/>
        <w:ind w:firstLine="640"/>
        <w:outlineLvl w:val="1"/>
        <w:rPr>
          <w:rStyle w:val="29"/>
          <w:rFonts w:hint="default" w:ascii="Times New Roman" w:hAnsi="Times New Roman" w:eastAsia="黑体" w:cs="Times New Roman"/>
          <w:b w:val="0"/>
        </w:rPr>
      </w:pPr>
      <w:bookmarkStart w:id="42" w:name="_Toc15978"/>
      <w:bookmarkStart w:id="43" w:name="_Toc15377215"/>
      <w:bookmarkStart w:id="44" w:name="_Toc15396609"/>
      <w:r>
        <w:rPr>
          <w:rFonts w:hint="default" w:ascii="Times New Roman" w:hAnsi="Times New Roman" w:eastAsia="黑体" w:cs="Times New Roman"/>
          <w:sz w:val="32"/>
          <w:szCs w:val="32"/>
        </w:rPr>
        <w:t>七、</w:t>
      </w:r>
      <w:r>
        <w:rPr>
          <w:rStyle w:val="29"/>
          <w:rFonts w:hint="default" w:ascii="Times New Roman" w:hAnsi="Times New Roman" w:eastAsia="黑体" w:cs="Times New Roman"/>
          <w:b w:val="0"/>
        </w:rPr>
        <w:t>财政拨款</w:t>
      </w:r>
      <w:r>
        <w:rPr>
          <w:rStyle w:val="29"/>
          <w:rFonts w:hint="default" w:ascii="Times New Roman" w:hAnsi="Times New Roman" w:eastAsia="黑体" w:cs="Times New Roman"/>
        </w:rPr>
        <w:t>“</w:t>
      </w:r>
      <w:r>
        <w:rPr>
          <w:rStyle w:val="29"/>
          <w:rFonts w:hint="default" w:ascii="Times New Roman" w:hAnsi="Times New Roman" w:eastAsia="黑体" w:cs="Times New Roman"/>
          <w:b w:val="0"/>
        </w:rPr>
        <w:t>三公”经费支出决算情况说明</w:t>
      </w:r>
      <w:bookmarkEnd w:id="42"/>
      <w:bookmarkEnd w:id="43"/>
      <w:bookmarkEnd w:id="44"/>
    </w:p>
    <w:p>
      <w:pPr>
        <w:spacing w:line="600" w:lineRule="exact"/>
        <w:ind w:firstLine="643" w:firstLineChars="200"/>
        <w:outlineLvl w:val="2"/>
        <w:rPr>
          <w:rFonts w:hint="default" w:ascii="Times New Roman" w:hAnsi="Times New Roman" w:eastAsia="楷体_GB2312" w:cs="Times New Roman"/>
          <w:b/>
          <w:sz w:val="32"/>
          <w:szCs w:val="32"/>
        </w:rPr>
      </w:pPr>
      <w:bookmarkStart w:id="45" w:name="_Toc15377216"/>
      <w:r>
        <w:rPr>
          <w:rFonts w:hint="default" w:ascii="Times New Roman" w:hAnsi="Times New Roman" w:eastAsia="楷体_GB2312" w:cs="Times New Roman"/>
          <w:b/>
          <w:sz w:val="32"/>
          <w:szCs w:val="32"/>
        </w:rPr>
        <w:t>（一）“三公”经费财政拨款支出决算总体情况说明</w:t>
      </w:r>
      <w:bookmarkEnd w:id="45"/>
    </w:p>
    <w:p>
      <w:pPr>
        <w:spacing w:line="600" w:lineRule="exact"/>
        <w:ind w:firstLine="640"/>
        <w:rPr>
          <w:rFonts w:hint="default" w:ascii="Times New Roman" w:hAnsi="Times New Roman" w:eastAsia="仿宋" w:cs="Times New Roman"/>
          <w:b/>
          <w:sz w:val="32"/>
          <w:szCs w:val="32"/>
        </w:rPr>
      </w:pPr>
      <w:r>
        <w:rPr>
          <w:rFonts w:hint="default" w:ascii="Times New Roman" w:hAnsi="Times New Roman" w:eastAsia="仿宋_GB2312" w:cs="Times New Roman"/>
          <w:sz w:val="32"/>
          <w:szCs w:val="32"/>
        </w:rPr>
        <w:t>2024年度“三公”经费财政拨款支出决算为20.21万元，完成预算</w:t>
      </w:r>
      <w:r>
        <w:rPr>
          <w:rFonts w:hint="default" w:ascii="Times New Roman" w:hAnsi="Times New Roman" w:eastAsia="仿宋_GB2312" w:cs="Times New Roman"/>
          <w:sz w:val="32"/>
          <w:szCs w:val="32"/>
          <w:lang w:val="en-US" w:eastAsia="zh-CN"/>
        </w:rPr>
        <w:t>82.5</w:t>
      </w:r>
      <w:r>
        <w:rPr>
          <w:rFonts w:hint="default" w:ascii="Times New Roman" w:hAnsi="Times New Roman" w:eastAsia="仿宋_GB2312" w:cs="Times New Roman"/>
          <w:sz w:val="32"/>
          <w:szCs w:val="32"/>
        </w:rPr>
        <w:t>%，较上年度</w:t>
      </w:r>
      <w:r>
        <w:rPr>
          <w:rFonts w:hint="default" w:ascii="Times New Roman" w:hAnsi="Times New Roman" w:eastAsia="仿宋_GB2312" w:cs="Times New Roman"/>
          <w:sz w:val="32"/>
          <w:szCs w:val="32"/>
          <w:lang w:val="en-US" w:eastAsia="zh-CN"/>
        </w:rPr>
        <w:t>增加</w:t>
      </w:r>
      <w:r>
        <w:rPr>
          <w:rFonts w:hint="default" w:ascii="Times New Roman" w:hAnsi="Times New Roman" w:eastAsia="仿宋_GB2312" w:cs="Times New Roman"/>
          <w:sz w:val="32"/>
          <w:szCs w:val="32"/>
        </w:rPr>
        <w:t>0.11万元，</w:t>
      </w:r>
      <w:r>
        <w:rPr>
          <w:rFonts w:hint="default" w:ascii="Times New Roman" w:hAnsi="Times New Roman" w:eastAsia="仿宋_GB2312" w:cs="Times New Roman"/>
          <w:sz w:val="32"/>
          <w:szCs w:val="32"/>
          <w:lang w:val="en-US" w:eastAsia="zh-CN"/>
        </w:rPr>
        <w:t>增长</w:t>
      </w:r>
      <w:r>
        <w:rPr>
          <w:rFonts w:hint="default" w:ascii="Times New Roman" w:hAnsi="Times New Roman" w:eastAsia="仿宋_GB2312" w:cs="Times New Roman"/>
          <w:sz w:val="32"/>
          <w:szCs w:val="32"/>
        </w:rPr>
        <w:t>0.</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%。决算数小于预算数的主要原因是</w:t>
      </w:r>
      <w:r>
        <w:rPr>
          <w:rFonts w:hint="default" w:ascii="Times New Roman" w:hAnsi="Times New Roman" w:eastAsia="仿宋" w:cs="Times New Roman"/>
          <w:sz w:val="32"/>
          <w:szCs w:val="32"/>
        </w:rPr>
        <w:t>本年度厉行节约，缩减公用经费支出。</w:t>
      </w:r>
    </w:p>
    <w:p>
      <w:pPr>
        <w:spacing w:line="600" w:lineRule="exact"/>
        <w:ind w:firstLine="643" w:firstLineChars="200"/>
        <w:outlineLvl w:val="2"/>
        <w:rPr>
          <w:rFonts w:hint="default" w:ascii="Times New Roman" w:hAnsi="Times New Roman" w:eastAsia="楷体_GB2312" w:cs="Times New Roman"/>
          <w:b/>
          <w:sz w:val="32"/>
          <w:szCs w:val="32"/>
        </w:rPr>
      </w:pPr>
      <w:bookmarkStart w:id="46" w:name="_Toc15377217"/>
      <w:r>
        <w:rPr>
          <w:rFonts w:hint="default" w:ascii="Times New Roman" w:hAnsi="Times New Roman" w:eastAsia="楷体_GB2312" w:cs="Times New Roman"/>
          <w:b/>
          <w:sz w:val="32"/>
          <w:szCs w:val="32"/>
        </w:rPr>
        <w:t>（二）“三公”经费财政拨款支出决算具体情况说明</w:t>
      </w:r>
      <w:bookmarkEnd w:id="46"/>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2024年度“三公”经费财政拨款支出决算中，因公出国（境）费支出决算</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%；公务用车购置及运行维护费支出决算20万元，占</w:t>
      </w:r>
      <w:r>
        <w:rPr>
          <w:rFonts w:hint="default"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rPr>
        <w:t>%；公务接待费支出决算0.21万元，占</w:t>
      </w:r>
      <w:r>
        <w:rPr>
          <w:rFonts w:hint="default" w:ascii="Times New Roman" w:hAnsi="Times New Roman" w:eastAsia="仿宋_GB2312" w:cs="Times New Roman"/>
          <w:sz w:val="32"/>
          <w:szCs w:val="32"/>
          <w:lang w:val="en-US" w:eastAsia="zh-CN"/>
        </w:rPr>
        <w:t>98.9</w:t>
      </w:r>
      <w:r>
        <w:rPr>
          <w:rFonts w:hint="default" w:ascii="Times New Roman" w:hAnsi="Times New Roman" w:eastAsia="仿宋_GB2312" w:cs="Times New Roman"/>
          <w:sz w:val="32"/>
          <w:szCs w:val="32"/>
        </w:rPr>
        <w:t>%。具体情况如下：</w:t>
      </w:r>
    </w:p>
    <w:p>
      <w:pPr>
        <w:pStyle w:val="2"/>
        <w:rPr>
          <w:rFonts w:hint="default" w:ascii="Times New Roman" w:hAnsi="Times New Roman" w:eastAsia="仿宋_GB2312" w:cs="Times New Roman"/>
          <w:sz w:val="32"/>
          <w:szCs w:val="32"/>
        </w:rPr>
      </w:pPr>
    </w:p>
    <w:p>
      <w:pPr>
        <w:pStyle w:val="3"/>
        <w:rPr>
          <w:rFonts w:hint="default" w:ascii="Times New Roman" w:hAnsi="Times New Roman" w:eastAsia="仿宋_GB2312" w:cs="Times New Roman"/>
          <w:sz w:val="32"/>
          <w:szCs w:val="32"/>
        </w:rPr>
      </w:pPr>
      <w:r>
        <w:rPr>
          <w:rFonts w:hint="default" w:ascii="Times New Roman" w:hAnsi="Times New Roman" w:cs="Times New Roman"/>
        </w:rPr>
        <w:drawing>
          <wp:inline distT="0" distB="0" distL="114300" distR="114300">
            <wp:extent cx="4632325" cy="2774315"/>
            <wp:effectExtent l="4445" t="4445" r="11430" b="10160"/>
            <wp:docPr id="2516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（图7：“三公”经费财政拨款支出结构）</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1.因公出国（境）经费支出</w:t>
      </w:r>
      <w:r>
        <w:rPr>
          <w:rFonts w:hint="default" w:ascii="Times New Roman" w:hAnsi="Times New Roman" w:eastAsia="仿宋_GB2312" w:cs="Times New Roman"/>
          <w:b/>
          <w:bCs/>
          <w:sz w:val="32"/>
          <w:szCs w:val="32"/>
          <w:lang w:val="en-US" w:eastAsia="zh-CN"/>
        </w:rPr>
        <w:t>0</w:t>
      </w:r>
      <w:r>
        <w:rPr>
          <w:rFonts w:hint="default" w:ascii="Times New Roman" w:hAnsi="Times New Roman" w:eastAsia="仿宋_GB2312" w:cs="Times New Roman"/>
          <w:b/>
          <w:bCs/>
          <w:sz w:val="32"/>
          <w:szCs w:val="32"/>
        </w:rPr>
        <w:t>万元，完成预算</w:t>
      </w:r>
      <w:r>
        <w:rPr>
          <w:rFonts w:hint="default" w:ascii="Times New Roman" w:hAnsi="Times New Roman" w:eastAsia="仿宋_GB2312" w:cs="Times New Roman"/>
          <w:b/>
          <w:bCs/>
          <w:sz w:val="32"/>
          <w:szCs w:val="32"/>
          <w:lang w:val="en-US" w:eastAsia="zh-CN"/>
        </w:rPr>
        <w:t>0</w:t>
      </w:r>
      <w:r>
        <w:rPr>
          <w:rFonts w:hint="default" w:ascii="Times New Roman" w:hAnsi="Times New Roman" w:eastAsia="仿宋_GB2312" w:cs="Times New Roman"/>
          <w:b/>
          <w:bCs/>
          <w:sz w:val="32"/>
          <w:szCs w:val="32"/>
        </w:rPr>
        <w:t>%。</w:t>
      </w:r>
      <w:r>
        <w:rPr>
          <w:rFonts w:hint="default" w:ascii="Times New Roman" w:hAnsi="Times New Roman" w:eastAsia="仿宋_GB2312" w:cs="Times New Roman"/>
          <w:sz w:val="32"/>
          <w:szCs w:val="32"/>
        </w:rPr>
        <w:t>全年安排因公出国（境）团组</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次，出国（境）</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人。</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2.公务用车购置及运行维护费支出</w:t>
      </w:r>
      <w:r>
        <w:rPr>
          <w:rFonts w:hint="default" w:ascii="Times New Roman" w:hAnsi="Times New Roman" w:eastAsia="仿宋_GB2312" w:cs="Times New Roman"/>
          <w:b/>
          <w:bCs/>
          <w:sz w:val="32"/>
          <w:szCs w:val="32"/>
          <w:lang w:val="en-US" w:eastAsia="zh-CN"/>
        </w:rPr>
        <w:t>20</w:t>
      </w:r>
      <w:r>
        <w:rPr>
          <w:rFonts w:hint="default" w:ascii="Times New Roman" w:hAnsi="Times New Roman" w:eastAsia="仿宋_GB2312" w:cs="Times New Roman"/>
          <w:b/>
          <w:bCs/>
          <w:sz w:val="32"/>
          <w:szCs w:val="32"/>
        </w:rPr>
        <w:t>万元，完成预算</w:t>
      </w:r>
      <w:r>
        <w:rPr>
          <w:rFonts w:hint="default" w:ascii="Times New Roman" w:hAnsi="Times New Roman" w:eastAsia="仿宋_GB2312" w:cs="Times New Roman"/>
          <w:b/>
          <w:bCs/>
          <w:sz w:val="32"/>
          <w:szCs w:val="32"/>
          <w:lang w:val="en-US" w:eastAsia="zh-CN"/>
        </w:rPr>
        <w:t>100</w:t>
      </w:r>
      <w:r>
        <w:rPr>
          <w:rFonts w:hint="default" w:ascii="Times New Roman" w:hAnsi="Times New Roman" w:eastAsia="仿宋_GB2312" w:cs="Times New Roman"/>
          <w:b/>
          <w:bCs/>
          <w:sz w:val="32"/>
          <w:szCs w:val="32"/>
        </w:rPr>
        <w:t>%。</w:t>
      </w:r>
      <w:r>
        <w:rPr>
          <w:rFonts w:hint="default" w:ascii="Times New Roman" w:hAnsi="Times New Roman" w:eastAsia="仿宋_GB2312" w:cs="Times New Roman"/>
          <w:sz w:val="32"/>
          <w:szCs w:val="32"/>
        </w:rPr>
        <w:t>公务用车购置及运行维护费支出决算</w:t>
      </w:r>
      <w:r>
        <w:rPr>
          <w:rFonts w:hint="default" w:ascii="Times New Roman" w:hAnsi="Times New Roman" w:eastAsia="仿宋_GB2312" w:cs="Times New Roman"/>
          <w:sz w:val="32"/>
          <w:szCs w:val="32"/>
          <w:lang w:val="en-US" w:eastAsia="zh-CN"/>
        </w:rPr>
        <w:t>与上年持平。</w:t>
      </w:r>
      <w:r>
        <w:rPr>
          <w:rFonts w:hint="default" w:ascii="Times New Roman" w:hAnsi="Times New Roman" w:eastAsia="仿宋_GB2312" w:cs="Times New Roman"/>
          <w:sz w:val="32"/>
          <w:szCs w:val="32"/>
        </w:rPr>
        <w:t>其中：公务用车购置支出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万元。全年按规定更新购置公务用车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辆，截至2024年12月31日，单位共有公务用车</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辆，其中：轿车</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辆、越野车</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辆、载客汽车</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辆。</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公务用车运行维护费支出</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万元。主要用于公务用车燃料费、维修费、过路过桥费、保险费等支出。</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3.公务接待费支出</w:t>
      </w:r>
      <w:r>
        <w:rPr>
          <w:rFonts w:hint="default" w:ascii="Times New Roman" w:hAnsi="Times New Roman" w:eastAsia="仿宋_GB2312" w:cs="Times New Roman"/>
          <w:b/>
          <w:bCs/>
          <w:sz w:val="32"/>
          <w:szCs w:val="32"/>
          <w:lang w:val="en-US" w:eastAsia="zh-CN"/>
        </w:rPr>
        <w:t>0.21</w:t>
      </w:r>
      <w:r>
        <w:rPr>
          <w:rFonts w:hint="default" w:ascii="Times New Roman" w:hAnsi="Times New Roman" w:eastAsia="仿宋_GB2312" w:cs="Times New Roman"/>
          <w:b/>
          <w:bCs/>
          <w:sz w:val="32"/>
          <w:szCs w:val="32"/>
        </w:rPr>
        <w:t>万元，完成预算</w:t>
      </w:r>
      <w:r>
        <w:rPr>
          <w:rFonts w:hint="default" w:ascii="Times New Roman" w:hAnsi="Times New Roman" w:eastAsia="仿宋_GB2312" w:cs="Times New Roman"/>
          <w:b/>
          <w:bCs/>
          <w:sz w:val="32"/>
          <w:szCs w:val="32"/>
          <w:lang w:val="en-US" w:eastAsia="zh-CN"/>
        </w:rPr>
        <w:t>4.7</w:t>
      </w:r>
      <w:r>
        <w:rPr>
          <w:rFonts w:hint="default" w:ascii="Times New Roman" w:hAnsi="Times New Roman" w:eastAsia="仿宋_GB2312" w:cs="Times New Roman"/>
          <w:b/>
          <w:bCs/>
          <w:sz w:val="32"/>
          <w:szCs w:val="32"/>
        </w:rPr>
        <w:t>%。</w:t>
      </w:r>
      <w:r>
        <w:rPr>
          <w:rFonts w:hint="default" w:ascii="Times New Roman" w:hAnsi="Times New Roman" w:eastAsia="仿宋_GB2312" w:cs="Times New Roman"/>
          <w:sz w:val="32"/>
          <w:szCs w:val="32"/>
        </w:rPr>
        <w:t>公务接待费支出决算比2023年度增加0.11万元，增长</w:t>
      </w:r>
      <w:r>
        <w:rPr>
          <w:rFonts w:hint="default" w:ascii="Times New Roman" w:hAnsi="Times New Roman" w:eastAsia="仿宋_GB2312" w:cs="Times New Roman"/>
          <w:sz w:val="32"/>
          <w:szCs w:val="32"/>
          <w:lang w:val="en-US" w:eastAsia="zh-CN"/>
        </w:rPr>
        <w:t>110</w:t>
      </w:r>
      <w:r>
        <w:rPr>
          <w:rFonts w:hint="default" w:ascii="Times New Roman" w:hAnsi="Times New Roman" w:eastAsia="仿宋_GB2312" w:cs="Times New Roman"/>
          <w:sz w:val="32"/>
          <w:szCs w:val="32"/>
        </w:rPr>
        <w:t>%。主要原因是本年公务接待人次增多。其中：</w:t>
      </w:r>
    </w:p>
    <w:p>
      <w:pPr>
        <w:spacing w:line="600" w:lineRule="exact"/>
        <w:ind w:firstLine="64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rPr>
        <w:t>国内公务接待支出0.11万元，主要用于执行公务、开展业务活动开支的交通费、住宿费、用餐费等。国内公务接待3批次，</w:t>
      </w:r>
      <w:r>
        <w:rPr>
          <w:rFonts w:hint="default" w:ascii="Times New Roman" w:hAnsi="Times New Roman" w:eastAsia="仿宋_GB2312" w:cs="Times New Roman"/>
          <w:sz w:val="32"/>
          <w:szCs w:val="32"/>
          <w:lang w:val="en-US" w:eastAsia="zh-CN"/>
        </w:rPr>
        <w:t>34</w:t>
      </w:r>
      <w:r>
        <w:rPr>
          <w:rFonts w:hint="default" w:ascii="Times New Roman" w:hAnsi="Times New Roman" w:eastAsia="仿宋_GB2312" w:cs="Times New Roman"/>
          <w:sz w:val="32"/>
          <w:szCs w:val="32"/>
        </w:rPr>
        <w:t>人次（不包括陪同人员），共计支出0.11万元，具体内容包括：开展全州国省干线公路第三四季度考核工作</w:t>
      </w:r>
      <w:r>
        <w:rPr>
          <w:rFonts w:hint="default" w:ascii="Times New Roman" w:hAnsi="Times New Roman" w:eastAsia="仿宋_GB2312" w:cs="Times New Roman"/>
          <w:sz w:val="32"/>
          <w:szCs w:val="32"/>
          <w:lang w:val="en-US" w:eastAsia="zh-CN"/>
        </w:rPr>
        <w:t>500元；马尔康分局到汶川分局交流学习1000元；2024年州公路管理局第二季度考核600元。</w:t>
      </w:r>
    </w:p>
    <w:p>
      <w:pPr>
        <w:spacing w:line="600" w:lineRule="exact"/>
        <w:ind w:firstLine="643" w:firstLineChars="200"/>
        <w:rPr>
          <w:rFonts w:hint="default" w:ascii="Times New Roman" w:hAnsi="Times New Roman" w:eastAsia="仿宋_GB2312" w:cs="Times New Roman"/>
          <w:sz w:val="32"/>
          <w:szCs w:val="32"/>
        </w:rPr>
      </w:pPr>
      <w:bookmarkStart w:id="47" w:name="_Toc15377218"/>
      <w:bookmarkStart w:id="48" w:name="_Toc15396610"/>
      <w:r>
        <w:rPr>
          <w:rFonts w:hint="default" w:ascii="Times New Roman" w:hAnsi="Times New Roman" w:eastAsia="仿宋" w:cs="Times New Roman"/>
          <w:b/>
          <w:sz w:val="32"/>
          <w:szCs w:val="32"/>
        </w:rPr>
        <w:t>外事接待支出</w:t>
      </w:r>
      <w:r>
        <w:rPr>
          <w:rFonts w:hint="default" w:ascii="Times New Roman" w:hAnsi="Times New Roman" w:eastAsia="仿宋" w:cs="Times New Roman"/>
          <w:sz w:val="32"/>
          <w:szCs w:val="32"/>
        </w:rPr>
        <w:t>0</w:t>
      </w:r>
      <w:r>
        <w:rPr>
          <w:rFonts w:hint="default" w:ascii="Times New Roman" w:hAnsi="Times New Roman" w:eastAsia="仿宋_GB2312" w:cs="Times New Roman"/>
          <w:sz w:val="32"/>
          <w:szCs w:val="32"/>
        </w:rPr>
        <w:t>万元。</w:t>
      </w:r>
    </w:p>
    <w:p>
      <w:pPr>
        <w:spacing w:line="600" w:lineRule="exact"/>
        <w:ind w:firstLine="640"/>
        <w:outlineLvl w:val="1"/>
        <w:rPr>
          <w:rStyle w:val="29"/>
          <w:rFonts w:hint="default" w:ascii="Times New Roman" w:hAnsi="Times New Roman" w:eastAsia="黑体" w:cs="Times New Roman"/>
        </w:rPr>
      </w:pPr>
      <w:bookmarkStart w:id="49" w:name="_Toc11200"/>
      <w:r>
        <w:rPr>
          <w:rFonts w:hint="default" w:ascii="Times New Roman" w:hAnsi="Times New Roman" w:eastAsia="黑体" w:cs="Times New Roman"/>
          <w:sz w:val="32"/>
          <w:szCs w:val="32"/>
        </w:rPr>
        <w:t>八、</w:t>
      </w:r>
      <w:r>
        <w:rPr>
          <w:rStyle w:val="29"/>
          <w:rFonts w:hint="default" w:ascii="Times New Roman" w:hAnsi="Times New Roman" w:eastAsia="黑体" w:cs="Times New Roman"/>
          <w:b w:val="0"/>
        </w:rPr>
        <w:t>政府性基金预算支出决算情况说明</w:t>
      </w:r>
      <w:bookmarkEnd w:id="47"/>
      <w:bookmarkEnd w:id="48"/>
      <w:bookmarkEnd w:id="49"/>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年度政府性基金预算财政拨款支出0万元。</w:t>
      </w:r>
    </w:p>
    <w:p>
      <w:pPr>
        <w:spacing w:line="600" w:lineRule="exact"/>
        <w:ind w:left="630"/>
        <w:outlineLvl w:val="1"/>
        <w:rPr>
          <w:rStyle w:val="29"/>
          <w:rFonts w:hint="default" w:ascii="Times New Roman" w:hAnsi="Times New Roman" w:eastAsia="黑体" w:cs="Times New Roman"/>
          <w:b w:val="0"/>
        </w:rPr>
      </w:pPr>
      <w:bookmarkStart w:id="50" w:name="_Toc6109"/>
      <w:bookmarkStart w:id="51" w:name="_Toc15396611"/>
      <w:bookmarkStart w:id="52" w:name="_Toc15377219"/>
      <w:r>
        <w:rPr>
          <w:rStyle w:val="29"/>
          <w:rFonts w:hint="default" w:ascii="Times New Roman" w:hAnsi="Times New Roman" w:eastAsia="黑体" w:cs="Times New Roman"/>
          <w:b w:val="0"/>
        </w:rPr>
        <w:t>九、国有资本经营预算支出决算情况说明</w:t>
      </w:r>
      <w:bookmarkEnd w:id="50"/>
      <w:bookmarkEnd w:id="51"/>
      <w:bookmarkEnd w:id="52"/>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年度国有资本经营预算财政拨款支出0万元。</w:t>
      </w:r>
    </w:p>
    <w:p>
      <w:pPr>
        <w:spacing w:line="600" w:lineRule="exact"/>
        <w:ind w:left="630"/>
        <w:outlineLvl w:val="1"/>
        <w:rPr>
          <w:rStyle w:val="29"/>
          <w:rFonts w:hint="default" w:ascii="Times New Roman" w:hAnsi="Times New Roman" w:eastAsia="黑体" w:cs="Times New Roman"/>
          <w:b w:val="0"/>
        </w:rPr>
      </w:pPr>
      <w:bookmarkStart w:id="53" w:name="_Toc15396612"/>
      <w:bookmarkStart w:id="54" w:name="_Toc15377221"/>
      <w:bookmarkStart w:id="55" w:name="_Toc7445"/>
      <w:r>
        <w:rPr>
          <w:rStyle w:val="29"/>
          <w:rFonts w:hint="default" w:ascii="Times New Roman" w:hAnsi="Times New Roman" w:eastAsia="黑体" w:cs="Times New Roman"/>
          <w:b w:val="0"/>
        </w:rPr>
        <w:t>十、其他重要事项的情况说明</w:t>
      </w:r>
      <w:bookmarkEnd w:id="53"/>
      <w:bookmarkEnd w:id="54"/>
      <w:bookmarkEnd w:id="55"/>
    </w:p>
    <w:p>
      <w:pPr>
        <w:spacing w:line="600" w:lineRule="exact"/>
        <w:ind w:firstLine="643" w:firstLineChars="200"/>
        <w:outlineLvl w:val="2"/>
        <w:rPr>
          <w:rFonts w:hint="default" w:ascii="Times New Roman" w:hAnsi="Times New Roman" w:eastAsia="楷体_GB2312" w:cs="Times New Roman"/>
          <w:b/>
          <w:sz w:val="32"/>
          <w:szCs w:val="32"/>
        </w:rPr>
      </w:pPr>
      <w:bookmarkStart w:id="56" w:name="_Toc15377222"/>
      <w:r>
        <w:rPr>
          <w:rFonts w:hint="default" w:ascii="Times New Roman" w:hAnsi="Times New Roman" w:eastAsia="楷体_GB2312" w:cs="Times New Roman"/>
          <w:b/>
          <w:sz w:val="32"/>
          <w:szCs w:val="32"/>
        </w:rPr>
        <w:t>（一）机关运行经费支出情况</w:t>
      </w:r>
      <w:bookmarkEnd w:id="56"/>
    </w:p>
    <w:p>
      <w:pPr>
        <w:spacing w:line="600" w:lineRule="exact"/>
        <w:ind w:firstLine="640" w:firstLineChars="200"/>
        <w:rPr>
          <w:rFonts w:hint="default" w:ascii="Times New Roman" w:hAnsi="Times New Roman" w:eastAsia="仿宋" w:cs="Times New Roman"/>
          <w:b/>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年度，阿坝藏族羌族自治州公路管理局汶川公路管理分局机关运行经费支出0万元。</w:t>
      </w:r>
    </w:p>
    <w:p>
      <w:pPr>
        <w:spacing w:line="600" w:lineRule="exact"/>
        <w:ind w:firstLine="643" w:firstLineChars="200"/>
        <w:outlineLvl w:val="2"/>
        <w:rPr>
          <w:rFonts w:hint="default" w:ascii="Times New Roman" w:hAnsi="Times New Roman" w:eastAsia="楷体_GB2312" w:cs="Times New Roman"/>
          <w:b/>
          <w:sz w:val="32"/>
          <w:szCs w:val="32"/>
        </w:rPr>
      </w:pPr>
      <w:bookmarkStart w:id="57" w:name="_Toc15377223"/>
      <w:r>
        <w:rPr>
          <w:rFonts w:hint="default" w:ascii="Times New Roman" w:hAnsi="Times New Roman" w:eastAsia="楷体_GB2312" w:cs="Times New Roman"/>
          <w:b/>
          <w:sz w:val="32"/>
          <w:szCs w:val="32"/>
        </w:rPr>
        <w:t>（二）政府采购支出情况</w:t>
      </w:r>
      <w:bookmarkEnd w:id="57"/>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w:t>
      </w:r>
      <w:r>
        <w:rPr>
          <w:rFonts w:hint="default" w:ascii="Times New Roman" w:hAnsi="Times New Roman" w:eastAsia="仿宋_GB2312" w:cs="Times New Roman"/>
          <w:sz w:val="32"/>
          <w:szCs w:val="32"/>
          <w:lang w:val="en-US" w:eastAsia="zh-CN"/>
        </w:rPr>
        <w:t>本单位政府</w:t>
      </w:r>
      <w:r>
        <w:rPr>
          <w:rFonts w:hint="default" w:ascii="Times New Roman" w:hAnsi="Times New Roman" w:eastAsia="仿宋_GB2312" w:cs="Times New Roman"/>
          <w:sz w:val="32"/>
          <w:szCs w:val="32"/>
        </w:rPr>
        <w:t>采购支出总额5.05万元，其中：政府采购货物支出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万元、政府采购工程支出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万元、政府采购服务支出5.05万元。主要用于</w:t>
      </w:r>
      <w:r>
        <w:rPr>
          <w:rFonts w:hint="eastAsia" w:ascii="Times New Roman" w:hAnsi="Times New Roman" w:eastAsia="仿宋_GB2312" w:cs="Times New Roman"/>
          <w:sz w:val="32"/>
          <w:szCs w:val="32"/>
          <w:lang w:val="en-US" w:eastAsia="zh-CN"/>
        </w:rPr>
        <w:t>单位项目支出的采购</w:t>
      </w:r>
      <w:r>
        <w:rPr>
          <w:rFonts w:hint="default" w:ascii="Times New Roman" w:hAnsi="Times New Roman" w:eastAsia="仿宋_GB2312" w:cs="Times New Roman"/>
          <w:sz w:val="32"/>
          <w:szCs w:val="32"/>
        </w:rPr>
        <w:t>。授予中小企业合同金额5.05万元，占政府采购支出总额的</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%，其中：授予小微企业合同金额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万元，占政府采购支出总额的</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w:t>
      </w:r>
    </w:p>
    <w:p>
      <w:pPr>
        <w:spacing w:line="600" w:lineRule="exact"/>
        <w:ind w:firstLine="643" w:firstLineChars="200"/>
        <w:outlineLvl w:val="2"/>
        <w:rPr>
          <w:rFonts w:hint="default" w:ascii="Times New Roman" w:hAnsi="Times New Roman" w:eastAsia="楷体_GB2312" w:cs="Times New Roman"/>
          <w:b/>
          <w:sz w:val="32"/>
          <w:szCs w:val="32"/>
        </w:rPr>
      </w:pPr>
      <w:bookmarkStart w:id="58" w:name="_Toc15377224"/>
      <w:r>
        <w:rPr>
          <w:rFonts w:hint="default" w:ascii="Times New Roman" w:hAnsi="Times New Roman" w:eastAsia="楷体_GB2312" w:cs="Times New Roman"/>
          <w:b/>
          <w:sz w:val="32"/>
          <w:szCs w:val="32"/>
        </w:rPr>
        <w:t>（三）国有资产占有使用情况</w:t>
      </w:r>
      <w:bookmarkEnd w:id="58"/>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截至2024年12月31日，</w:t>
      </w:r>
      <w:r>
        <w:rPr>
          <w:rFonts w:hint="default" w:ascii="Times New Roman" w:hAnsi="Times New Roman" w:eastAsia="仿宋_GB2312" w:cs="Times New Roman"/>
          <w:sz w:val="32"/>
          <w:szCs w:val="32"/>
          <w:lang w:val="en-US" w:eastAsia="zh-CN"/>
        </w:rPr>
        <w:t>本单位</w:t>
      </w:r>
      <w:r>
        <w:rPr>
          <w:rFonts w:hint="default" w:ascii="Times New Roman" w:hAnsi="Times New Roman" w:eastAsia="仿宋_GB2312" w:cs="Times New Roman"/>
          <w:sz w:val="32"/>
          <w:szCs w:val="32"/>
        </w:rPr>
        <w:t>共有车辆</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辆，其中：主要负责人用车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辆、机要通信用车2辆、其他用车</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辆，其他用车主要是用于公路养护。单价100万元（含）以上设备（不含车辆）</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台（套）。</w:t>
      </w:r>
    </w:p>
    <w:p>
      <w:pPr>
        <w:spacing w:line="600" w:lineRule="exact"/>
        <w:ind w:firstLine="643" w:firstLineChars="200"/>
        <w:outlineLvl w:val="2"/>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（四）预算绩效管理情况</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根据预算绩效管理要求，</w:t>
      </w:r>
      <w:r>
        <w:rPr>
          <w:rFonts w:hint="default" w:ascii="Times New Roman" w:hAnsi="Times New Roman" w:eastAsia="仿宋_GB2312" w:cs="Times New Roman"/>
          <w:sz w:val="32"/>
          <w:szCs w:val="32"/>
          <w:lang w:val="en-US" w:eastAsia="zh-CN"/>
        </w:rPr>
        <w:t>本单位</w:t>
      </w:r>
      <w:r>
        <w:rPr>
          <w:rFonts w:hint="default" w:ascii="Times New Roman" w:hAnsi="Times New Roman" w:eastAsia="仿宋_GB2312" w:cs="Times New Roman"/>
          <w:sz w:val="32"/>
          <w:szCs w:val="32"/>
        </w:rPr>
        <w:t>在2024年度预算编制阶段，组织对小修保养</w:t>
      </w:r>
      <w:r>
        <w:rPr>
          <w:rFonts w:hint="default" w:ascii="Times New Roman" w:hAnsi="Times New Roman" w:eastAsia="仿宋_GB2312" w:cs="Times New Roman"/>
          <w:sz w:val="32"/>
          <w:szCs w:val="32"/>
          <w:lang w:eastAsia="zh-CN"/>
        </w:rPr>
        <w:t>、交通流量观测站、汶川公路分局养护机械运行维护费</w:t>
      </w:r>
      <w:r>
        <w:rPr>
          <w:rFonts w:hint="default" w:ascii="Times New Roman" w:hAnsi="Times New Roman" w:eastAsia="仿宋_GB2312" w:cs="Times New Roman"/>
          <w:sz w:val="32"/>
          <w:szCs w:val="32"/>
        </w:rPr>
        <w:t>等</w:t>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rPr>
        <w:t>个项目开展了预算事前绩效评估，对</w:t>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rPr>
        <w:t>个项目编制了绩效目标，预算执行过程中，选取</w:t>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rPr>
        <w:t>个项目开展绩效监控。绩效自评表详见第四部分附件。</w:t>
      </w:r>
    </w:p>
    <w:p>
      <w:pPr>
        <w:spacing w:line="600" w:lineRule="exact"/>
        <w:ind w:firstLine="640"/>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pStyle w:val="2"/>
        <w:rPr>
          <w:rFonts w:hint="default" w:ascii="Times New Roman" w:hAnsi="Times New Roman" w:cs="Times New Roman"/>
        </w:rPr>
      </w:pPr>
    </w:p>
    <w:p>
      <w:pPr>
        <w:pStyle w:val="5"/>
        <w:jc w:val="center"/>
        <w:rPr>
          <w:rFonts w:hint="default" w:ascii="Times New Roman" w:hAnsi="Times New Roman" w:eastAsia="方正小标宋简体" w:cs="Times New Roman"/>
          <w:b w:val="0"/>
        </w:rPr>
      </w:pPr>
      <w:bookmarkStart w:id="59" w:name="_Toc15396613"/>
      <w:bookmarkStart w:id="60" w:name="_Toc16115"/>
      <w:bookmarkStart w:id="61" w:name="_Toc15377225"/>
      <w:r>
        <w:rPr>
          <w:rFonts w:hint="default" w:ascii="Times New Roman" w:hAnsi="Times New Roman" w:eastAsia="方正小标宋简体" w:cs="Times New Roman"/>
          <w:b w:val="0"/>
        </w:rPr>
        <w:t>第三部分  名词解释</w:t>
      </w:r>
      <w:bookmarkEnd w:id="59"/>
      <w:bookmarkEnd w:id="60"/>
      <w:bookmarkEnd w:id="61"/>
    </w:p>
    <w:p>
      <w:pPr>
        <w:pStyle w:val="26"/>
        <w:spacing w:line="600" w:lineRule="exact"/>
        <w:ind w:firstLine="640" w:firstLineChars="200"/>
        <w:rPr>
          <w:rFonts w:hint="default" w:ascii="Times New Roman" w:hAnsi="Times New Roman" w:eastAsia="仿宋_GB2312" w:cs="Times New Roman"/>
          <w:color w:val="auto"/>
          <w:sz w:val="32"/>
          <w:szCs w:val="32"/>
        </w:rPr>
      </w:pPr>
      <w:bookmarkStart w:id="62" w:name="_Toc15396614"/>
      <w:bookmarkStart w:id="63" w:name="_Toc15377226"/>
      <w:r>
        <w:rPr>
          <w:rFonts w:hint="default" w:ascii="Times New Roman" w:hAnsi="Times New Roman" w:eastAsia="仿宋_GB2312" w:cs="Times New Roman"/>
          <w:color w:val="auto"/>
          <w:sz w:val="32"/>
          <w:szCs w:val="32"/>
        </w:rPr>
        <w:t>1.财政拨款收入：指单位从同级财政单位取得的财政预算资金。</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.社会保障和就业支出（类）行政事业单位养老支出（款）机关事业单位基本养老保险缴费支出（项）：指反映机关事业单位实施养老保险制度由单位缴纳的基本养老保险费支出。</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.社会保障和就业支出（类）行政事业单位养老支出（款）机关事业单位职业年金缴费支出（项）：指反映机关事业单位实施养老保险制度由单位实际缴纳的职业年金支出。</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卫生健康支出（类）行政事业单位医疗（款）事业单位医疗（项）：指反映财政部门安排的事业单位基本医疗保险缴费经费，未参加医疗保险的事业单位的公费医疗经费，按国家规定享受离休人员待遇的医疗经费。</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.卫生健康支出（类）行政事业单位医疗（款）其他行政事业单位医疗支出（项）：指反映除上述项目以外的其他用于行政事业单位医疗方面的支出。</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.交通运输支出（类）公路水路运输（款）公路养护（项）：指反映公路养护支出。</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.交通运输支出（类）公路水路运输（款）其他公路水路运输支出（项）：指反映除上述项目以外其他用于公路水路运输方面的支出。</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.住房保障支出（类）住房改革支出（款）住房公积金（项）：指反映行政事业单位按人力资源和社会保障部、财政部规定的基本工资和津贴补贴以及规定比例为职工缴纳的住房公积金。</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.住房保障支出（类）住房改革支出（款）购房补贴（项）：指反映按房改政策规定，行政事业单位向符合条件职工（含离退休人员）、军队（含武警）向转役复员离退休人员发放的用于购买住房的补贴。</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.基本支出：指为保障机构正常运转、完成日常工作任务而发生的人员支出和公用支出。</w:t>
      </w:r>
    </w:p>
    <w:p>
      <w:pPr>
        <w:pStyle w:val="26"/>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11</w:t>
      </w:r>
      <w:r>
        <w:rPr>
          <w:rFonts w:hint="default" w:ascii="Times New Roman" w:hAnsi="Times New Roman" w:eastAsia="仿宋_GB2312" w:cs="Times New Roman"/>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6"/>
        <w:spacing w:line="600" w:lineRule="exact"/>
        <w:ind w:firstLine="640" w:firstLineChars="200"/>
        <w:rPr>
          <w:rFonts w:hint="default" w:ascii="Times New Roman" w:hAnsi="Times New Roman" w:cs="Times New Roman"/>
          <w:b/>
          <w:sz w:val="32"/>
          <w:szCs w:val="32"/>
        </w:rPr>
      </w:pPr>
      <w:r>
        <w:rPr>
          <w:rFonts w:hint="default" w:ascii="Times New Roman" w:hAnsi="Times New Roman" w:eastAsia="仿宋_GB2312" w:cs="Times New Roman"/>
          <w:color w:val="auto"/>
          <w:sz w:val="32"/>
          <w:szCs w:val="32"/>
          <w:lang w:val="en-US" w:eastAsia="zh-CN"/>
        </w:rPr>
        <w:t>12</w:t>
      </w:r>
      <w:r>
        <w:rPr>
          <w:rFonts w:hint="default" w:ascii="Times New Roman" w:hAnsi="Times New Roman" w:eastAsia="仿宋_GB2312" w:cs="Times New Roman"/>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hint="default" w:ascii="Times New Roman" w:hAnsi="Times New Roman" w:eastAsia="黑体" w:cs="Times New Roman"/>
          <w:sz w:val="44"/>
          <w:szCs w:val="44"/>
        </w:rPr>
      </w:pPr>
      <w:r>
        <w:rPr>
          <w:rFonts w:hint="default" w:ascii="Times New Roman" w:hAnsi="Times New Roman" w:eastAsia="黑体" w:cs="Times New Roman"/>
          <w:sz w:val="44"/>
          <w:szCs w:val="44"/>
        </w:rPr>
        <w:br w:type="page"/>
      </w:r>
    </w:p>
    <w:p>
      <w:pPr>
        <w:pStyle w:val="5"/>
        <w:numPr>
          <w:ilvl w:val="0"/>
          <w:numId w:val="1"/>
        </w:numPr>
        <w:jc w:val="center"/>
        <w:rPr>
          <w:rFonts w:hint="default" w:ascii="Times New Roman" w:hAnsi="Times New Roman" w:eastAsia="方正小标宋简体" w:cs="Times New Roman"/>
          <w:b w:val="0"/>
        </w:rPr>
      </w:pPr>
      <w:r>
        <w:rPr>
          <w:rFonts w:hint="default" w:ascii="Times New Roman" w:hAnsi="Times New Roman" w:eastAsia="方正小标宋简体" w:cs="Times New Roman"/>
          <w:b w:val="0"/>
        </w:rPr>
        <w:t xml:space="preserve"> </w:t>
      </w:r>
      <w:bookmarkStart w:id="64" w:name="_Toc23093"/>
      <w:r>
        <w:rPr>
          <w:rFonts w:hint="default" w:ascii="Times New Roman" w:hAnsi="Times New Roman" w:eastAsia="方正小标宋简体" w:cs="Times New Roman"/>
          <w:b w:val="0"/>
        </w:rPr>
        <w:t>附件</w:t>
      </w:r>
      <w:bookmarkEnd w:id="62"/>
      <w:bookmarkEnd w:id="64"/>
      <w:bookmarkStart w:id="65" w:name="_Toc15396618"/>
    </w:p>
    <w:p>
      <w:pPr>
        <w:numPr>
          <w:ilvl w:val="0"/>
          <w:numId w:val="0"/>
        </w:numPr>
        <w:rPr>
          <w:rFonts w:hint="default" w:ascii="Times New Roman" w:hAnsi="Times New Roman" w:cs="Times New Roman"/>
        </w:rPr>
      </w:pPr>
    </w:p>
    <w:p>
      <w:pPr>
        <w:spacing w:line="578" w:lineRule="exact"/>
        <w:ind w:firstLine="640"/>
        <w:rPr>
          <w:rFonts w:hint="default" w:ascii="Times New Roman" w:hAnsi="Times New Roman" w:eastAsia="仿宋_GB2312" w:cs="Times New Roman"/>
          <w:kern w:val="0"/>
          <w:sz w:val="32"/>
          <w:szCs w:val="32"/>
        </w:rPr>
      </w:pPr>
      <w:r>
        <w:rPr>
          <w:rFonts w:hint="default" w:ascii="Times New Roman" w:hAnsi="Times New Roman" w:cs="Times New Roman"/>
        </w:rPr>
        <w:drawing>
          <wp:anchor distT="0" distB="0" distL="114300" distR="114300" simplePos="0" relativeHeight="251666432" behindDoc="0" locked="0" layoutInCell="1" allowOverlap="1">
            <wp:simplePos x="0" y="0"/>
            <wp:positionH relativeFrom="column">
              <wp:posOffset>219710</wp:posOffset>
            </wp:positionH>
            <wp:positionV relativeFrom="paragraph">
              <wp:posOffset>-175260</wp:posOffset>
            </wp:positionV>
            <wp:extent cx="5271135" cy="6958330"/>
            <wp:effectExtent l="0" t="0" r="1905" b="635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5271135" cy="6958330"/>
                    </a:xfrm>
                    <a:prstGeom prst="rect">
                      <a:avLst/>
                    </a:prstGeom>
                    <a:noFill/>
                    <a:ln>
                      <a:noFill/>
                    </a:ln>
                  </pic:spPr>
                </pic:pic>
              </a:graphicData>
            </a:graphic>
          </wp:anchor>
        </w:drawing>
      </w:r>
    </w:p>
    <w:p>
      <w:pPr>
        <w:spacing w:line="578" w:lineRule="exact"/>
        <w:ind w:firstLine="640"/>
        <w:rPr>
          <w:rFonts w:hint="default" w:ascii="Times New Roman" w:hAnsi="Times New Roman" w:eastAsia="仿宋_GB2312" w:cs="Times New Roman"/>
          <w:kern w:val="0"/>
          <w:sz w:val="32"/>
          <w:szCs w:val="32"/>
        </w:rPr>
      </w:pPr>
    </w:p>
    <w:p>
      <w:pPr>
        <w:spacing w:line="578" w:lineRule="exact"/>
        <w:ind w:firstLine="640"/>
        <w:rPr>
          <w:rFonts w:hint="default" w:ascii="Times New Roman" w:hAnsi="Times New Roman" w:eastAsia="仿宋_GB2312" w:cs="Times New Roman"/>
          <w:kern w:val="0"/>
          <w:sz w:val="32"/>
          <w:szCs w:val="32"/>
        </w:rPr>
      </w:pPr>
    </w:p>
    <w:p>
      <w:pPr>
        <w:spacing w:line="578" w:lineRule="exact"/>
        <w:ind w:firstLine="640"/>
        <w:rPr>
          <w:rFonts w:hint="default" w:ascii="Times New Roman" w:hAnsi="Times New Roman" w:eastAsia="仿宋_GB2312" w:cs="Times New Roman"/>
          <w:kern w:val="0"/>
          <w:sz w:val="32"/>
          <w:szCs w:val="32"/>
        </w:rPr>
      </w:pPr>
    </w:p>
    <w:p>
      <w:pPr>
        <w:jc w:val="center"/>
        <w:rPr>
          <w:rFonts w:hint="default" w:ascii="Times New Roman" w:hAnsi="Times New Roman" w:cs="Times New Roman"/>
        </w:rPr>
      </w:pPr>
      <w:r>
        <w:rPr>
          <w:rFonts w:hint="default" w:ascii="Times New Roman" w:hAnsi="Times New Roman" w:cs="Times New Roman"/>
        </w:rPr>
        <w:drawing>
          <wp:inline distT="0" distB="0" distL="114300" distR="114300">
            <wp:extent cx="5271135" cy="7124700"/>
            <wp:effectExtent l="0" t="0" r="1905"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7"/>
                    <a:stretch>
                      <a:fillRect/>
                    </a:stretch>
                  </pic:blipFill>
                  <pic:spPr>
                    <a:xfrm>
                      <a:off x="0" y="0"/>
                      <a:ext cx="5271135" cy="7124700"/>
                    </a:xfrm>
                    <a:prstGeom prst="rect">
                      <a:avLst/>
                    </a:prstGeom>
                    <a:noFill/>
                    <a:ln>
                      <a:noFill/>
                    </a:ln>
                  </pic:spPr>
                </pic:pic>
              </a:graphicData>
            </a:graphic>
          </wp:inline>
        </w:drawing>
      </w:r>
    </w:p>
    <w:p>
      <w:pPr>
        <w:jc w:val="center"/>
        <w:rPr>
          <w:rFonts w:hint="default" w:ascii="Times New Roman" w:hAnsi="Times New Roman" w:cs="Times New Roman"/>
        </w:rPr>
      </w:pPr>
    </w:p>
    <w:p>
      <w:pPr>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br w:type="page"/>
      </w:r>
    </w:p>
    <w:p>
      <w:pPr>
        <w:jc w:val="center"/>
        <w:rPr>
          <w:rFonts w:hint="default" w:ascii="Times New Roman" w:hAnsi="Times New Roman" w:eastAsia="仿宋_GB2312" w:cs="Times New Roman"/>
          <w:kern w:val="0"/>
          <w:sz w:val="32"/>
          <w:szCs w:val="32"/>
        </w:rPr>
      </w:pPr>
      <w:r>
        <w:rPr>
          <w:rFonts w:hint="default" w:ascii="Times New Roman" w:hAnsi="Times New Roman" w:cs="Times New Roman"/>
        </w:rPr>
        <w:drawing>
          <wp:inline distT="0" distB="0" distL="114300" distR="114300">
            <wp:extent cx="5271135" cy="8047355"/>
            <wp:effectExtent l="0" t="0" r="1905" b="14605"/>
            <wp:docPr id="2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1"/>
                    <pic:cNvPicPr>
                      <a:picLocks noChangeAspect="1"/>
                    </pic:cNvPicPr>
                  </pic:nvPicPr>
                  <pic:blipFill>
                    <a:blip r:embed="rId18"/>
                    <a:stretch>
                      <a:fillRect/>
                    </a:stretch>
                  </pic:blipFill>
                  <pic:spPr>
                    <a:xfrm>
                      <a:off x="0" y="0"/>
                      <a:ext cx="5271135" cy="8047355"/>
                    </a:xfrm>
                    <a:prstGeom prst="rect">
                      <a:avLst/>
                    </a:prstGeom>
                    <a:noFill/>
                    <a:ln>
                      <a:noFill/>
                    </a:ln>
                  </pic:spPr>
                </pic:pic>
              </a:graphicData>
            </a:graphic>
          </wp:inline>
        </w:drawing>
      </w:r>
      <w:r>
        <w:rPr>
          <w:rFonts w:hint="default" w:ascii="Times New Roman" w:hAnsi="Times New Roman" w:eastAsia="仿宋_GB2312" w:cs="Times New Roman"/>
          <w:kern w:val="0"/>
          <w:sz w:val="32"/>
          <w:szCs w:val="32"/>
        </w:rPr>
        <w:br w:type="page"/>
      </w:r>
      <w:r>
        <w:rPr>
          <w:rFonts w:hint="default" w:ascii="Times New Roman" w:hAnsi="Times New Roman" w:cs="Times New Roman"/>
        </w:rPr>
        <w:drawing>
          <wp:anchor distT="0" distB="0" distL="114300" distR="114300" simplePos="0" relativeHeight="251663360" behindDoc="0" locked="0" layoutInCell="1" allowOverlap="1">
            <wp:simplePos x="0" y="0"/>
            <wp:positionH relativeFrom="column">
              <wp:posOffset>136525</wp:posOffset>
            </wp:positionH>
            <wp:positionV relativeFrom="paragraph">
              <wp:posOffset>423545</wp:posOffset>
            </wp:positionV>
            <wp:extent cx="5271135" cy="6811010"/>
            <wp:effectExtent l="0" t="0" r="1905" b="1270"/>
            <wp:wrapTopAndBottom/>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9"/>
                    <a:stretch>
                      <a:fillRect/>
                    </a:stretch>
                  </pic:blipFill>
                  <pic:spPr>
                    <a:xfrm>
                      <a:off x="0" y="0"/>
                      <a:ext cx="5271135" cy="6811010"/>
                    </a:xfrm>
                    <a:prstGeom prst="rect">
                      <a:avLst/>
                    </a:prstGeom>
                    <a:noFill/>
                    <a:ln>
                      <a:noFill/>
                    </a:ln>
                  </pic:spPr>
                </pic:pic>
              </a:graphicData>
            </a:graphic>
          </wp:anchor>
        </w:drawing>
      </w:r>
      <w:r>
        <w:rPr>
          <w:rFonts w:hint="default" w:ascii="Times New Roman" w:hAnsi="Times New Roman" w:eastAsia="仿宋_GB2312" w:cs="Times New Roman"/>
          <w:kern w:val="0"/>
          <w:sz w:val="32"/>
          <w:szCs w:val="32"/>
        </w:rPr>
        <w:br w:type="page"/>
      </w:r>
    </w:p>
    <w:p>
      <w:pPr>
        <w:rPr>
          <w:rFonts w:hint="default" w:ascii="Times New Roman" w:hAnsi="Times New Roman" w:cs="Times New Roman"/>
        </w:rPr>
      </w:pPr>
      <w:r>
        <w:rPr>
          <w:rFonts w:hint="default" w:ascii="Times New Roman" w:hAnsi="Times New Roman" w:cs="Times New Roman"/>
        </w:rPr>
        <w:drawing>
          <wp:anchor distT="0" distB="0" distL="114300" distR="114300" simplePos="0" relativeHeight="251664384" behindDoc="0" locked="0" layoutInCell="1" allowOverlap="1">
            <wp:simplePos x="0" y="0"/>
            <wp:positionH relativeFrom="column">
              <wp:posOffset>213995</wp:posOffset>
            </wp:positionH>
            <wp:positionV relativeFrom="paragraph">
              <wp:posOffset>353695</wp:posOffset>
            </wp:positionV>
            <wp:extent cx="5271135" cy="7027545"/>
            <wp:effectExtent l="0" t="0" r="1905" b="13335"/>
            <wp:wrapTopAndBottom/>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0"/>
                    <a:stretch>
                      <a:fillRect/>
                    </a:stretch>
                  </pic:blipFill>
                  <pic:spPr>
                    <a:xfrm>
                      <a:off x="0" y="0"/>
                      <a:ext cx="5271135" cy="7027545"/>
                    </a:xfrm>
                    <a:prstGeom prst="rect">
                      <a:avLst/>
                    </a:prstGeom>
                    <a:noFill/>
                    <a:ln>
                      <a:noFill/>
                    </a:ln>
                  </pic:spPr>
                </pic:pic>
              </a:graphicData>
            </a:graphic>
          </wp:anchor>
        </w:drawing>
      </w:r>
      <w:r>
        <w:rPr>
          <w:rFonts w:hint="default" w:ascii="Times New Roman" w:hAnsi="Times New Roman" w:eastAsia="仿宋_GB2312" w:cs="Times New Roman"/>
          <w:kern w:val="0"/>
          <w:sz w:val="32"/>
          <w:szCs w:val="32"/>
        </w:rPr>
        <w:br w:type="page"/>
      </w:r>
      <w:r>
        <w:rPr>
          <w:rFonts w:hint="default" w:ascii="Times New Roman" w:hAnsi="Times New Roman" w:cs="Times New Roman"/>
        </w:rPr>
        <w:drawing>
          <wp:inline distT="0" distB="0" distL="114300" distR="114300">
            <wp:extent cx="5271135" cy="6543040"/>
            <wp:effectExtent l="0" t="0" r="1905" b="1016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1"/>
                    <a:stretch>
                      <a:fillRect/>
                    </a:stretch>
                  </pic:blipFill>
                  <pic:spPr>
                    <a:xfrm>
                      <a:off x="0" y="0"/>
                      <a:ext cx="5271135" cy="6543040"/>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br w:type="page"/>
      </w:r>
    </w:p>
    <w:p>
      <w:pPr>
        <w:rPr>
          <w:rFonts w:hint="default" w:ascii="Times New Roman" w:hAnsi="Times New Roman" w:cs="Times New Roman"/>
        </w:rPr>
      </w:pPr>
      <w:r>
        <w:rPr>
          <w:rFonts w:hint="default" w:ascii="Times New Roman" w:hAnsi="Times New Roman" w:cs="Times New Roman"/>
        </w:rPr>
        <w:drawing>
          <wp:inline distT="0" distB="0" distL="114300" distR="114300">
            <wp:extent cx="5271135" cy="7484745"/>
            <wp:effectExtent l="0" t="0" r="1905" b="133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2"/>
                    <a:stretch>
                      <a:fillRect/>
                    </a:stretch>
                  </pic:blipFill>
                  <pic:spPr>
                    <a:xfrm>
                      <a:off x="0" y="0"/>
                      <a:ext cx="5271135" cy="7484745"/>
                    </a:xfrm>
                    <a:prstGeom prst="rect">
                      <a:avLst/>
                    </a:prstGeom>
                    <a:noFill/>
                    <a:ln>
                      <a:noFill/>
                    </a:ln>
                  </pic:spPr>
                </pic:pic>
              </a:graphicData>
            </a:graphic>
          </wp:inline>
        </w:drawing>
      </w:r>
      <w:r>
        <w:rPr>
          <w:rFonts w:hint="default" w:ascii="Times New Roman" w:hAnsi="Times New Roman" w:cs="Times New Roman"/>
        </w:rPr>
        <w:br w:type="page"/>
      </w:r>
    </w:p>
    <w:p>
      <w:pPr>
        <w:pStyle w:val="3"/>
        <w:rPr>
          <w:rFonts w:hint="default" w:ascii="Times New Roman" w:hAnsi="Times New Roman" w:cs="Times New Roman"/>
        </w:rPr>
      </w:pPr>
    </w:p>
    <w:p>
      <w:pPr>
        <w:pStyle w:val="2"/>
        <w:rPr>
          <w:rFonts w:hint="default" w:ascii="Times New Roman" w:hAnsi="Times New Roman" w:cs="Times New Roman"/>
        </w:rPr>
      </w:pPr>
    </w:p>
    <w:p>
      <w:pPr>
        <w:pStyle w:val="3"/>
        <w:ind w:left="0" w:leftChars="0" w:firstLine="0" w:firstLineChars="0"/>
        <w:jc w:val="both"/>
        <w:rPr>
          <w:rFonts w:hint="default" w:ascii="Times New Roman" w:hAnsi="Times New Roman" w:cs="Times New Roman"/>
        </w:rPr>
      </w:pPr>
    </w:p>
    <w:p>
      <w:pPr>
        <w:pStyle w:val="3"/>
        <w:ind w:left="0" w:leftChars="0" w:firstLine="0" w:firstLineChars="0"/>
        <w:jc w:val="both"/>
        <w:rPr>
          <w:rFonts w:hint="default" w:ascii="Times New Roman" w:hAnsi="Times New Roman" w:cs="Times New Roman"/>
        </w:rPr>
      </w:pPr>
    </w:p>
    <w:p>
      <w:pPr>
        <w:pStyle w:val="3"/>
        <w:ind w:left="0" w:leftChars="0" w:firstLine="0" w:firstLineChars="0"/>
        <w:jc w:val="both"/>
        <w:rPr>
          <w:rFonts w:hint="default" w:ascii="Times New Roman" w:hAnsi="Times New Roman" w:cs="Times New Roman"/>
        </w:rPr>
      </w:pPr>
      <w:r>
        <w:rPr>
          <w:rFonts w:hint="default" w:ascii="Times New Roman" w:hAnsi="Times New Roman" w:cs="Times New Roman"/>
        </w:rPr>
        <w:drawing>
          <wp:inline distT="0" distB="0" distL="114300" distR="114300">
            <wp:extent cx="5271135" cy="6988175"/>
            <wp:effectExtent l="0" t="0" r="1905"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3"/>
                    <a:stretch>
                      <a:fillRect/>
                    </a:stretch>
                  </pic:blipFill>
                  <pic:spPr>
                    <a:xfrm>
                      <a:off x="0" y="0"/>
                      <a:ext cx="5271135" cy="6988175"/>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br w:type="page"/>
      </w:r>
    </w:p>
    <w:p>
      <w:pPr>
        <w:pStyle w:val="3"/>
        <w:ind w:left="0" w:leftChars="0" w:firstLine="0" w:firstLineChars="0"/>
        <w:jc w:val="both"/>
        <w:rPr>
          <w:rFonts w:hint="default" w:ascii="Times New Roman" w:hAnsi="Times New Roman" w:cs="Times New Roman"/>
        </w:rPr>
      </w:pPr>
    </w:p>
    <w:p>
      <w:pPr>
        <w:pStyle w:val="3"/>
        <w:ind w:left="0" w:leftChars="0" w:firstLine="0" w:firstLineChars="0"/>
        <w:jc w:val="both"/>
        <w:rPr>
          <w:rFonts w:hint="default" w:ascii="Times New Roman" w:hAnsi="Times New Roman" w:cs="Times New Roman"/>
        </w:rPr>
      </w:pPr>
      <w:r>
        <w:rPr>
          <w:rFonts w:hint="default" w:ascii="Times New Roman" w:hAnsi="Times New Roman" w:cs="Times New Roman"/>
        </w:rPr>
        <w:drawing>
          <wp:inline distT="0" distB="0" distL="114300" distR="114300">
            <wp:extent cx="5271135" cy="7572375"/>
            <wp:effectExtent l="0" t="0" r="1905"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4"/>
                    <a:stretch>
                      <a:fillRect/>
                    </a:stretch>
                  </pic:blipFill>
                  <pic:spPr>
                    <a:xfrm>
                      <a:off x="0" y="0"/>
                      <a:ext cx="5271135" cy="7572375"/>
                    </a:xfrm>
                    <a:prstGeom prst="rect">
                      <a:avLst/>
                    </a:prstGeom>
                    <a:noFill/>
                    <a:ln>
                      <a:noFill/>
                    </a:ln>
                  </pic:spPr>
                </pic:pic>
              </a:graphicData>
            </a:graphic>
          </wp:inline>
        </w:drawing>
      </w:r>
    </w:p>
    <w:p>
      <w:pPr>
        <w:rPr>
          <w:rFonts w:hint="default" w:ascii="Times New Roman" w:hAnsi="Times New Roman" w:cs="Times New Roman"/>
        </w:rPr>
      </w:pPr>
      <w:r>
        <w:rPr>
          <w:rFonts w:hint="default" w:ascii="Times New Roman" w:hAnsi="Times New Roman" w:cs="Times New Roman"/>
        </w:rPr>
        <w:br w:type="page"/>
      </w:r>
    </w:p>
    <w:p>
      <w:pPr>
        <w:pStyle w:val="3"/>
        <w:ind w:left="0" w:leftChars="0" w:firstLine="0" w:firstLineChars="0"/>
        <w:jc w:val="both"/>
        <w:rPr>
          <w:rFonts w:hint="default" w:ascii="Times New Roman" w:hAnsi="Times New Roman" w:cs="Times New Roman"/>
        </w:rPr>
      </w:pPr>
    </w:p>
    <w:p>
      <w:pPr>
        <w:pStyle w:val="5"/>
        <w:jc w:val="center"/>
        <w:rPr>
          <w:rFonts w:hint="default" w:ascii="Times New Roman" w:hAnsi="Times New Roman" w:eastAsia="方正小标宋简体" w:cs="Times New Roman"/>
          <w:b w:val="0"/>
        </w:rPr>
      </w:pPr>
      <w:bookmarkStart w:id="66" w:name="_Toc1420"/>
      <w:r>
        <w:rPr>
          <w:rFonts w:hint="default" w:ascii="Times New Roman" w:hAnsi="Times New Roman" w:eastAsia="方正小标宋简体" w:cs="Times New Roman"/>
          <w:b w:val="0"/>
        </w:rPr>
        <w:t>第五部分 附表</w:t>
      </w:r>
      <w:bookmarkEnd w:id="63"/>
      <w:bookmarkEnd w:id="65"/>
      <w:bookmarkEnd w:id="66"/>
      <w:bookmarkStart w:id="67" w:name="_Toc15396619"/>
    </w:p>
    <w:p>
      <w:pPr>
        <w:pStyle w:val="6"/>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仿宋" w:cs="Times New Roman"/>
          <w:b w:val="0"/>
        </w:rPr>
      </w:pPr>
      <w:bookmarkStart w:id="68" w:name="_Toc19747"/>
      <w:r>
        <w:rPr>
          <w:rFonts w:hint="default" w:ascii="Times New Roman" w:hAnsi="Times New Roman" w:eastAsia="仿宋" w:cs="Times New Roman"/>
          <w:b w:val="0"/>
        </w:rPr>
        <w:t>一、收入支出决算总表</w:t>
      </w:r>
      <w:bookmarkEnd w:id="67"/>
      <w:bookmarkEnd w:id="68"/>
    </w:p>
    <w:p>
      <w:pPr>
        <w:pStyle w:val="6"/>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仿宋" w:cs="Times New Roman"/>
          <w:b w:val="0"/>
        </w:rPr>
      </w:pPr>
      <w:bookmarkStart w:id="69" w:name="_Toc5816"/>
      <w:bookmarkStart w:id="70" w:name="_Toc15396620"/>
      <w:r>
        <w:rPr>
          <w:rFonts w:hint="default" w:ascii="Times New Roman" w:hAnsi="Times New Roman" w:eastAsia="仿宋" w:cs="Times New Roman"/>
          <w:b w:val="0"/>
        </w:rPr>
        <w:t>二、收入决算表</w:t>
      </w:r>
      <w:bookmarkEnd w:id="69"/>
      <w:bookmarkEnd w:id="70"/>
    </w:p>
    <w:p>
      <w:pPr>
        <w:pStyle w:val="6"/>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仿宋" w:cs="Times New Roman"/>
          <w:b w:val="0"/>
        </w:rPr>
      </w:pPr>
      <w:bookmarkStart w:id="71" w:name="_Toc15396621"/>
      <w:bookmarkStart w:id="72" w:name="_Toc8546"/>
      <w:r>
        <w:rPr>
          <w:rFonts w:hint="default" w:ascii="Times New Roman" w:hAnsi="Times New Roman" w:eastAsia="仿宋" w:cs="Times New Roman"/>
          <w:b w:val="0"/>
        </w:rPr>
        <w:t>三、支出决算表</w:t>
      </w:r>
      <w:bookmarkEnd w:id="71"/>
      <w:bookmarkEnd w:id="72"/>
    </w:p>
    <w:p>
      <w:pPr>
        <w:pStyle w:val="6"/>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仿宋" w:cs="Times New Roman"/>
          <w:b w:val="0"/>
        </w:rPr>
      </w:pPr>
      <w:bookmarkStart w:id="73" w:name="_Toc12757"/>
      <w:bookmarkStart w:id="74" w:name="_Toc15396622"/>
      <w:r>
        <w:rPr>
          <w:rFonts w:hint="default" w:ascii="Times New Roman" w:hAnsi="Times New Roman" w:eastAsia="仿宋" w:cs="Times New Roman"/>
          <w:b w:val="0"/>
        </w:rPr>
        <w:t>四、财政拨款收入支出决算总表</w:t>
      </w:r>
      <w:bookmarkEnd w:id="73"/>
      <w:bookmarkEnd w:id="74"/>
    </w:p>
    <w:p>
      <w:pPr>
        <w:pStyle w:val="6"/>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仿宋" w:cs="Times New Roman"/>
          <w:b w:val="0"/>
        </w:rPr>
      </w:pPr>
      <w:bookmarkStart w:id="75" w:name="_Toc15396623"/>
      <w:bookmarkStart w:id="76" w:name="_Toc31511"/>
      <w:r>
        <w:rPr>
          <w:rFonts w:hint="default" w:ascii="Times New Roman" w:hAnsi="Times New Roman" w:eastAsia="仿宋" w:cs="Times New Roman"/>
          <w:b w:val="0"/>
        </w:rPr>
        <w:t>五、财政拨款支出决算明细表</w:t>
      </w:r>
      <w:bookmarkEnd w:id="75"/>
      <w:bookmarkEnd w:id="76"/>
      <w:bookmarkStart w:id="77" w:name="_Toc15396624"/>
    </w:p>
    <w:p>
      <w:pPr>
        <w:pStyle w:val="6"/>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仿宋" w:cs="Times New Roman"/>
          <w:b w:val="0"/>
        </w:rPr>
      </w:pPr>
      <w:bookmarkStart w:id="78" w:name="_Toc19380"/>
      <w:r>
        <w:rPr>
          <w:rFonts w:hint="default" w:ascii="Times New Roman" w:hAnsi="Times New Roman" w:eastAsia="仿宋" w:cs="Times New Roman"/>
          <w:b w:val="0"/>
        </w:rPr>
        <w:t>六、一般公共预算财政拨款支出决算表</w:t>
      </w:r>
      <w:bookmarkEnd w:id="77"/>
      <w:bookmarkEnd w:id="78"/>
    </w:p>
    <w:p>
      <w:pPr>
        <w:pStyle w:val="6"/>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仿宋" w:cs="Times New Roman"/>
          <w:b w:val="0"/>
        </w:rPr>
      </w:pPr>
      <w:bookmarkStart w:id="79" w:name="_Toc15396625"/>
      <w:bookmarkStart w:id="80" w:name="_Toc16415"/>
      <w:r>
        <w:rPr>
          <w:rFonts w:hint="default" w:ascii="Times New Roman" w:hAnsi="Times New Roman" w:eastAsia="仿宋" w:cs="Times New Roman"/>
          <w:b w:val="0"/>
        </w:rPr>
        <w:t>七、一般公共预算财政拨款支出决算明细表</w:t>
      </w:r>
      <w:bookmarkEnd w:id="79"/>
      <w:bookmarkEnd w:id="80"/>
    </w:p>
    <w:p>
      <w:pPr>
        <w:pStyle w:val="6"/>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仿宋" w:cs="Times New Roman"/>
          <w:b w:val="0"/>
        </w:rPr>
      </w:pPr>
      <w:bookmarkStart w:id="81" w:name="_Toc11715"/>
      <w:bookmarkStart w:id="82" w:name="_Toc15396626"/>
      <w:r>
        <w:rPr>
          <w:rFonts w:hint="default" w:ascii="Times New Roman" w:hAnsi="Times New Roman" w:eastAsia="仿宋" w:cs="Times New Roman"/>
          <w:b w:val="0"/>
        </w:rPr>
        <w:t>八、一般公共预算财政拨款基本支出决算表</w:t>
      </w:r>
      <w:bookmarkEnd w:id="81"/>
      <w:bookmarkEnd w:id="82"/>
    </w:p>
    <w:p>
      <w:pPr>
        <w:pStyle w:val="6"/>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仿宋" w:cs="Times New Roman"/>
          <w:b w:val="0"/>
        </w:rPr>
      </w:pPr>
      <w:bookmarkStart w:id="83" w:name="_Toc15396627"/>
      <w:bookmarkStart w:id="84" w:name="_Toc19225"/>
      <w:r>
        <w:rPr>
          <w:rFonts w:hint="default" w:ascii="Times New Roman" w:hAnsi="Times New Roman" w:eastAsia="仿宋" w:cs="Times New Roman"/>
          <w:b w:val="0"/>
        </w:rPr>
        <w:t>九、一般公共预算财政拨款项目支出决算表</w:t>
      </w:r>
      <w:bookmarkEnd w:id="83"/>
      <w:bookmarkEnd w:id="84"/>
    </w:p>
    <w:p>
      <w:pPr>
        <w:pStyle w:val="6"/>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仿宋" w:cs="Times New Roman"/>
          <w:b w:val="0"/>
        </w:rPr>
      </w:pPr>
      <w:bookmarkStart w:id="85" w:name="_Toc15396628"/>
      <w:bookmarkStart w:id="86" w:name="_Toc11140"/>
      <w:r>
        <w:rPr>
          <w:rFonts w:hint="default" w:ascii="Times New Roman" w:hAnsi="Times New Roman" w:eastAsia="仿宋" w:cs="Times New Roman"/>
          <w:b w:val="0"/>
        </w:rPr>
        <w:t>十、</w:t>
      </w:r>
      <w:bookmarkEnd w:id="85"/>
      <w:r>
        <w:rPr>
          <w:rFonts w:hint="default" w:ascii="Times New Roman" w:hAnsi="Times New Roman" w:eastAsia="仿宋" w:cs="Times New Roman"/>
          <w:b w:val="0"/>
        </w:rPr>
        <w:t>政府性基金预算财政拨款收入支出决算表</w:t>
      </w:r>
      <w:bookmarkEnd w:id="86"/>
    </w:p>
    <w:p>
      <w:pPr>
        <w:pStyle w:val="6"/>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仿宋" w:cs="Times New Roman"/>
          <w:b w:val="0"/>
        </w:rPr>
      </w:pPr>
      <w:bookmarkStart w:id="87" w:name="_Toc15396629"/>
      <w:bookmarkStart w:id="88" w:name="_Toc24430"/>
      <w:r>
        <w:rPr>
          <w:rFonts w:hint="default" w:ascii="Times New Roman" w:hAnsi="Times New Roman" w:eastAsia="仿宋" w:cs="Times New Roman"/>
          <w:b w:val="0"/>
        </w:rPr>
        <w:t>十一、</w:t>
      </w:r>
      <w:bookmarkEnd w:id="87"/>
      <w:r>
        <w:rPr>
          <w:rFonts w:hint="default" w:ascii="Times New Roman" w:hAnsi="Times New Roman" w:eastAsia="仿宋" w:cs="Times New Roman"/>
          <w:b w:val="0"/>
        </w:rPr>
        <w:t>国有资本经营预算财政拨款收入支出决算表</w:t>
      </w:r>
      <w:bookmarkEnd w:id="88"/>
    </w:p>
    <w:p>
      <w:pPr>
        <w:pStyle w:val="6"/>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仿宋" w:cs="Times New Roman"/>
          <w:b w:val="0"/>
        </w:rPr>
      </w:pPr>
      <w:bookmarkStart w:id="89" w:name="_Toc15396630"/>
      <w:bookmarkStart w:id="90" w:name="_Toc2276"/>
      <w:r>
        <w:rPr>
          <w:rFonts w:hint="default" w:ascii="Times New Roman" w:hAnsi="Times New Roman" w:eastAsia="仿宋" w:cs="Times New Roman"/>
          <w:b w:val="0"/>
        </w:rPr>
        <w:t>十二、</w:t>
      </w:r>
      <w:bookmarkEnd w:id="89"/>
      <w:r>
        <w:rPr>
          <w:rFonts w:hint="default" w:ascii="Times New Roman" w:hAnsi="Times New Roman" w:eastAsia="仿宋" w:cs="Times New Roman"/>
          <w:b w:val="0"/>
        </w:rPr>
        <w:t>国有资本经营预算财政拨款支出决算表</w:t>
      </w:r>
      <w:bookmarkEnd w:id="90"/>
    </w:p>
    <w:p>
      <w:pPr>
        <w:pStyle w:val="6"/>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仿宋" w:cs="Times New Roman"/>
          <w:b w:val="0"/>
        </w:rPr>
      </w:pPr>
      <w:bookmarkStart w:id="91" w:name="_Toc15396631"/>
      <w:bookmarkStart w:id="92" w:name="_Toc11990"/>
      <w:r>
        <w:rPr>
          <w:rFonts w:hint="default" w:ascii="Times New Roman" w:hAnsi="Times New Roman" w:eastAsia="仿宋" w:cs="Times New Roman"/>
          <w:b w:val="0"/>
        </w:rPr>
        <w:t>十三、</w:t>
      </w:r>
      <w:bookmarkEnd w:id="91"/>
      <w:r>
        <w:rPr>
          <w:rFonts w:hint="default" w:ascii="Times New Roman" w:hAnsi="Times New Roman" w:eastAsia="仿宋" w:cs="Times New Roman"/>
          <w:b w:val="0"/>
        </w:rPr>
        <w:t>财政拨款“三公”经费支出决算表</w:t>
      </w:r>
      <w:bookmarkEnd w:id="92"/>
    </w:p>
    <w:p>
      <w:pPr>
        <w:rPr>
          <w:rFonts w:hint="default" w:ascii="Times New Roman" w:hAnsi="Times New Roman" w:cs="Times New Roman"/>
        </w:rPr>
      </w:pPr>
    </w:p>
    <w:sectPr>
      <w:footerReference r:id="rId7" w:type="first"/>
      <w:footerReference r:id="rId6" w:type="default"/>
      <w:pgSz w:w="11906" w:h="16838"/>
      <w:pgMar w:top="1440" w:right="1800" w:bottom="1440" w:left="1800"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- 1 -</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1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- 1 -</w:t>
                    </w:r>
                    <w:r>
                      <w:rPr>
                        <w:rFonts w:hint="eastAsia" w:asciiTheme="minorEastAsia" w:hAnsiTheme="minorEastAsia" w:eastAsiaTheme="minorEastAsia" w:cstheme="minorEastAsia"/>
                        <w:sz w:val="24"/>
                        <w:szCs w:val="2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1312" behindDoc="0" locked="0" layoutInCell="1" allowOverlap="1">
              <wp:simplePos x="0" y="0"/>
              <wp:positionH relativeFrom="margin">
                <wp:posOffset>1934845</wp:posOffset>
              </wp:positionH>
              <wp:positionV relativeFrom="paragraph">
                <wp:posOffset>-8255</wp:posOffset>
              </wp:positionV>
              <wp:extent cx="1040130" cy="16256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040130" cy="1625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- 2 -</w:t>
                          </w:r>
                          <w:r>
                            <w:rPr>
                              <w:rFonts w:hint="eastAsia" w:ascii="宋体" w:hAnsi="宋体" w:eastAsia="宋体" w:cs="宋体"/>
                              <w:sz w:val="24"/>
                              <w:szCs w:val="24"/>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52.35pt;margin-top:-0.65pt;height:12.8pt;width:81.9pt;mso-position-horizontal-relative:margin;z-index:251661312;mso-width-relative:page;mso-height-relative:page;" filled="f" stroked="f" coordsize="21600,21600" o:gfxdata="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xHgFPZAAAACQEAAA8AAAAAAAAAAQAgAAAAIgAAAGRycy9kb3du&#10;cmV2LnhtbFBLAQIUABQAAAAIAIdO4kCJis4TNwIAAGQEAAAOAAAAAAAAAAEAIAAAACgBAABkcnMv&#10;ZTJvRG9jLnhtbFBLBQYAAAAABgAGAFkBAADRBQAAAAA=&#10;">
              <v:fill on="f" focussize="0,0"/>
              <v:stroke on="f" weight="0.5pt"/>
              <v:imagedata o:title=""/>
              <o:lock v:ext="edit" aspectratio="f"/>
              <v:textbox inset="0mm,0mm,0mm,0mm">
                <w:txbxContent>
                  <w:p>
                    <w:pPr>
                      <w:pStyle w:val="11"/>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- 2 -</w:t>
                    </w:r>
                    <w:r>
                      <w:rPr>
                        <w:rFonts w:hint="eastAsia" w:ascii="宋体" w:hAnsi="宋体" w:eastAsia="宋体" w:cs="宋体"/>
                        <w:sz w:val="24"/>
                        <w:szCs w:val="24"/>
                      </w:rPr>
                      <w:fldChar w:fldCharType="end"/>
                    </w:r>
                  </w:p>
                </w:txbxContent>
              </v:textbox>
            </v:shape>
          </w:pict>
        </mc:Fallback>
      </mc:AlternateContent>
    </w:r>
  </w:p>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posOffset>2544445</wp:posOffset>
              </wp:positionH>
              <wp:positionV relativeFrom="paragraph">
                <wp:posOffset>-67310</wp:posOffset>
              </wp:positionV>
              <wp:extent cx="490220" cy="21336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490220" cy="2133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- 2 -</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00.35pt;margin-top:-5.3pt;height:16.8pt;width:38.6pt;mso-position-horizontal-relative:margin;z-index:251662336;mso-width-relative:page;mso-height-relative:page;" filled="f" stroked="f" coordsize="21600,21600" o:gfxdata="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MLPzA/ZAAAACgEAAA8AAAAAAAAAAQAgAAAAIgAAAGRycy9kb3du&#10;cmV2LnhtbFBLAQIUABQAAAAIAIdO4kDVoMfeNwIAAGMEAAAOAAAAAAAAAAEAIAAAACgBAABkcnMv&#10;ZTJvRG9jLnhtbFBLBQYAAAAABgAGAFkBAADRBQAAAAA=&#10;">
              <v:fill on="f" focussize="0,0"/>
              <v:stroke on="f" weight="0.5pt"/>
              <v:imagedata o:title=""/>
              <o:lock v:ext="edit" aspectratio="f"/>
              <v:textbox inset="0mm,0mm,0mm,0mm">
                <w:txbxContent>
                  <w:p>
                    <w:pPr>
                      <w:pStyle w:val="11"/>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- 2 -</w:t>
                    </w:r>
                    <w:r>
                      <w:rPr>
                        <w:rFonts w:hint="eastAsia" w:asciiTheme="minorEastAsia" w:hAnsiTheme="minorEastAsia" w:eastAsiaTheme="minorEastAsia" w:cstheme="minorEastAsia"/>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FF8F98"/>
    <w:multiLevelType w:val="singleLevel"/>
    <w:tmpl w:val="F3FF8F98"/>
    <w:lvl w:ilvl="0" w:tentative="0">
      <w:start w:val="4"/>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07004"/>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3795B"/>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22A3"/>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2FE1"/>
    <w:rsid w:val="00D114F0"/>
    <w:rsid w:val="00D20620"/>
    <w:rsid w:val="00D254F7"/>
    <w:rsid w:val="00D26091"/>
    <w:rsid w:val="00D2685C"/>
    <w:rsid w:val="00D34E7C"/>
    <w:rsid w:val="00D35489"/>
    <w:rsid w:val="00D36AFE"/>
    <w:rsid w:val="00D51276"/>
    <w:rsid w:val="00D5444D"/>
    <w:rsid w:val="00D7035F"/>
    <w:rsid w:val="00DA634F"/>
    <w:rsid w:val="00DA65AC"/>
    <w:rsid w:val="00DB1913"/>
    <w:rsid w:val="00DC2C99"/>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0F7FF3"/>
    <w:rsid w:val="012A5EC2"/>
    <w:rsid w:val="015975B8"/>
    <w:rsid w:val="02FEBE30"/>
    <w:rsid w:val="04916F1E"/>
    <w:rsid w:val="061E35DE"/>
    <w:rsid w:val="066E0107"/>
    <w:rsid w:val="07996F6E"/>
    <w:rsid w:val="07DFD8BA"/>
    <w:rsid w:val="085409E1"/>
    <w:rsid w:val="08851FE1"/>
    <w:rsid w:val="09867E8F"/>
    <w:rsid w:val="0A2032A3"/>
    <w:rsid w:val="0AAF1EFF"/>
    <w:rsid w:val="0CA8290A"/>
    <w:rsid w:val="0D35B1ED"/>
    <w:rsid w:val="0E254B6B"/>
    <w:rsid w:val="0E3D7E8A"/>
    <w:rsid w:val="0F98263C"/>
    <w:rsid w:val="101860EC"/>
    <w:rsid w:val="101F47CC"/>
    <w:rsid w:val="102B2027"/>
    <w:rsid w:val="10C055FF"/>
    <w:rsid w:val="11694EBD"/>
    <w:rsid w:val="11772AA4"/>
    <w:rsid w:val="118107EC"/>
    <w:rsid w:val="12E24EE2"/>
    <w:rsid w:val="13D50BC4"/>
    <w:rsid w:val="14B17F78"/>
    <w:rsid w:val="165E0673"/>
    <w:rsid w:val="16B831D5"/>
    <w:rsid w:val="16BB723D"/>
    <w:rsid w:val="17E50567"/>
    <w:rsid w:val="186504BB"/>
    <w:rsid w:val="193E2EAA"/>
    <w:rsid w:val="19A445FC"/>
    <w:rsid w:val="1BE8440E"/>
    <w:rsid w:val="1CC6347C"/>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86A598B"/>
    <w:rsid w:val="29FD04D3"/>
    <w:rsid w:val="2BFF7BC6"/>
    <w:rsid w:val="2C6E64C0"/>
    <w:rsid w:val="2C8A61B5"/>
    <w:rsid w:val="2C9C632F"/>
    <w:rsid w:val="2DF04E50"/>
    <w:rsid w:val="2E586DFA"/>
    <w:rsid w:val="2F040D46"/>
    <w:rsid w:val="2F6B035B"/>
    <w:rsid w:val="2FAE5751"/>
    <w:rsid w:val="2FB1A395"/>
    <w:rsid w:val="2FD9A7D8"/>
    <w:rsid w:val="2FDBF714"/>
    <w:rsid w:val="30AB6865"/>
    <w:rsid w:val="319F7F4E"/>
    <w:rsid w:val="32BD1EF1"/>
    <w:rsid w:val="3304709D"/>
    <w:rsid w:val="334E7E45"/>
    <w:rsid w:val="33A773CB"/>
    <w:rsid w:val="349D6851"/>
    <w:rsid w:val="35BB2AEB"/>
    <w:rsid w:val="35E6413B"/>
    <w:rsid w:val="36AA5135"/>
    <w:rsid w:val="36BE0DA7"/>
    <w:rsid w:val="376B6AA6"/>
    <w:rsid w:val="376D39B2"/>
    <w:rsid w:val="37E16F03"/>
    <w:rsid w:val="37F53A3B"/>
    <w:rsid w:val="38731C98"/>
    <w:rsid w:val="389B6C89"/>
    <w:rsid w:val="38D469F0"/>
    <w:rsid w:val="39627CCD"/>
    <w:rsid w:val="397BAF1F"/>
    <w:rsid w:val="39B457CE"/>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4E268DA"/>
    <w:rsid w:val="450D13D7"/>
    <w:rsid w:val="45506656"/>
    <w:rsid w:val="484C6A03"/>
    <w:rsid w:val="486A6C7A"/>
    <w:rsid w:val="4A627F82"/>
    <w:rsid w:val="4B0E749A"/>
    <w:rsid w:val="4B2477C4"/>
    <w:rsid w:val="4B4F25DA"/>
    <w:rsid w:val="4BE068DB"/>
    <w:rsid w:val="4D577224"/>
    <w:rsid w:val="4DBF1CEB"/>
    <w:rsid w:val="4DF0007C"/>
    <w:rsid w:val="4EAB630A"/>
    <w:rsid w:val="4ECE2238"/>
    <w:rsid w:val="4F833267"/>
    <w:rsid w:val="4FE9BD67"/>
    <w:rsid w:val="4FFB052F"/>
    <w:rsid w:val="4FFF2424"/>
    <w:rsid w:val="537E6D0A"/>
    <w:rsid w:val="53F74C96"/>
    <w:rsid w:val="55170BA8"/>
    <w:rsid w:val="553218C9"/>
    <w:rsid w:val="55C3352A"/>
    <w:rsid w:val="567E1AA5"/>
    <w:rsid w:val="56E47B74"/>
    <w:rsid w:val="57175D52"/>
    <w:rsid w:val="57BD3DD4"/>
    <w:rsid w:val="58076285"/>
    <w:rsid w:val="5A1F5D26"/>
    <w:rsid w:val="5AF92295"/>
    <w:rsid w:val="5B250254"/>
    <w:rsid w:val="5BDD79E6"/>
    <w:rsid w:val="5BF561CA"/>
    <w:rsid w:val="5BFF5DFC"/>
    <w:rsid w:val="5CD71FC4"/>
    <w:rsid w:val="5D1F11B5"/>
    <w:rsid w:val="5D695134"/>
    <w:rsid w:val="5DAE1B18"/>
    <w:rsid w:val="5DE7D9E5"/>
    <w:rsid w:val="5ECEC941"/>
    <w:rsid w:val="5FBF9FF3"/>
    <w:rsid w:val="5FCD4E2C"/>
    <w:rsid w:val="5FEF394A"/>
    <w:rsid w:val="5FF67715"/>
    <w:rsid w:val="624428DA"/>
    <w:rsid w:val="62BF3928"/>
    <w:rsid w:val="63B3701E"/>
    <w:rsid w:val="647F5392"/>
    <w:rsid w:val="64C00105"/>
    <w:rsid w:val="65E66580"/>
    <w:rsid w:val="664B1D71"/>
    <w:rsid w:val="664B4E8E"/>
    <w:rsid w:val="67277B67"/>
    <w:rsid w:val="67AA3209"/>
    <w:rsid w:val="698D0931"/>
    <w:rsid w:val="69A87C65"/>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060C8C"/>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176F5"/>
    <w:rsid w:val="7CFE0F48"/>
    <w:rsid w:val="7D272ABC"/>
    <w:rsid w:val="7D7EC23E"/>
    <w:rsid w:val="7E8ADEBF"/>
    <w:rsid w:val="7E9D4041"/>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200" w:leftChars="200"/>
    </w:pPr>
    <w:rPr>
      <w:rFonts w:ascii="仿宋_GB2312"/>
      <w:szCs w:val="32"/>
    </w:rPr>
  </w:style>
  <w:style w:type="paragraph" w:styleId="8">
    <w:name w:val="Body Text"/>
    <w:basedOn w:val="1"/>
    <w:link w:val="25"/>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2"/>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1"/>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8"/>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5"/>
    <w:qFormat/>
    <w:uiPriority w:val="9"/>
    <w:rPr>
      <w:rFonts w:ascii="Times New Roman" w:hAnsi="Times New Roman"/>
      <w:b/>
      <w:bCs/>
      <w:kern w:val="44"/>
      <w:sz w:val="44"/>
      <w:szCs w:val="44"/>
    </w:rPr>
  </w:style>
  <w:style w:type="character" w:customStyle="1" w:styleId="29">
    <w:name w:val="标题 2 字符"/>
    <w:basedOn w:val="16"/>
    <w:link w:val="6"/>
    <w:qFormat/>
    <w:uiPriority w:val="9"/>
    <w:rPr>
      <w:rFonts w:asciiTheme="majorHAnsi" w:hAnsiTheme="majorHAnsi" w:eastAsiaTheme="majorEastAsia" w:cstheme="majorBidi"/>
      <w:b/>
      <w:bCs/>
      <w:kern w:val="2"/>
      <w:sz w:val="32"/>
      <w:szCs w:val="32"/>
    </w:rPr>
  </w:style>
  <w:style w:type="paragraph" w:customStyle="1" w:styleId="30">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10"/>
    <w:semiHidden/>
    <w:qFormat/>
    <w:uiPriority w:val="99"/>
    <w:rPr>
      <w:rFonts w:ascii="Times New Roman" w:hAnsi="Times New Roman"/>
      <w:kern w:val="2"/>
      <w:sz w:val="18"/>
      <w:szCs w:val="18"/>
    </w:rPr>
  </w:style>
  <w:style w:type="character" w:customStyle="1" w:styleId="32">
    <w:name w:val="标题 3 字符"/>
    <w:basedOn w:val="16"/>
    <w:link w:val="7"/>
    <w:qFormat/>
    <w:uiPriority w:val="9"/>
    <w:rPr>
      <w:rFonts w:ascii="Times New Roman" w:hAnsi="Times New Roman"/>
      <w:b/>
      <w:bCs/>
      <w:kern w:val="2"/>
      <w:sz w:val="32"/>
      <w:szCs w:val="32"/>
    </w:rPr>
  </w:style>
  <w:style w:type="paragraph" w:customStyle="1" w:styleId="33">
    <w:name w:val="TOC 标题2"/>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9.emf"/><Relationship Id="rId23" Type="http://schemas.openxmlformats.org/officeDocument/2006/relationships/image" Target="media/image8.emf"/><Relationship Id="rId22" Type="http://schemas.openxmlformats.org/officeDocument/2006/relationships/image" Target="media/image7.emf"/><Relationship Id="rId21" Type="http://schemas.openxmlformats.org/officeDocument/2006/relationships/image" Target="media/image6.emf"/><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image" Target="media/image4.emf"/><Relationship Id="rId18" Type="http://schemas.openxmlformats.org/officeDocument/2006/relationships/image" Target="media/image3.emf"/><Relationship Id="rId17" Type="http://schemas.openxmlformats.org/officeDocument/2006/relationships/image" Target="media/image2.emf"/><Relationship Id="rId16" Type="http://schemas.openxmlformats.org/officeDocument/2006/relationships/image" Target="media/image1.emf"/><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27754;\Desktop\&#38463;&#22365;&#24030;&#20915;&#31639;&#20844;&#24320;\&#20915;&#31639;&#22270;&#34920;(1)(1).et"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27754;\Desktop\&#38463;&#22365;&#24030;&#20915;&#31639;&#20844;&#24320;\&#20915;&#31639;&#22270;&#34920;(1)(1).et"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27754;\Desktop\&#38463;&#22365;&#24030;&#20915;&#31639;&#20844;&#24320;\&#20915;&#31639;&#22270;&#34920;(1)(1).et"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27754;\Desktop\&#38463;&#22365;&#24030;&#20915;&#31639;&#20844;&#24320;\&#20915;&#31639;&#22270;&#34920;(1)(1).et"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27754;\Desktop\&#38463;&#22365;&#24030;&#20915;&#31639;&#20844;&#24320;\&#20915;&#31639;&#22270;&#34920;(1)(1).et"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27754;\Desktop\&#38463;&#22365;&#24030;&#20915;&#31639;&#20844;&#24320;\&#20915;&#31639;&#22270;&#34920;(1)(1).et"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27754;\Desktop\&#38463;&#22365;&#24030;&#20915;&#31639;&#20844;&#24320;\&#20915;&#31639;&#22270;&#34920;(1)(1).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200" b="0" i="0" u="none" strike="noStrike" kern="1200" spc="0" baseline="0">
                <a:solidFill>
                  <a:schemeClr val="tx1">
                    <a:lumMod val="65000"/>
                    <a:lumOff val="35000"/>
                  </a:schemeClr>
                </a:solidFill>
                <a:latin typeface="+mn-lt"/>
                <a:ea typeface="+mn-ea"/>
                <a:cs typeface="+mn-cs"/>
              </a:defRPr>
            </a:pP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收、支决算总计变动情况图 </a:t>
            </a: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endPar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endParaRPr>
          </a:p>
          <a:p>
            <a:pPr algn="ctr" defTabSz="914400">
              <a:defRPr lang="zh-CN" sz="1200" b="0" i="0" u="none" strike="noStrike" kern="1200" spc="0" baseline="0">
                <a:solidFill>
                  <a:schemeClr val="tx1">
                    <a:lumMod val="65000"/>
                    <a:lumOff val="35000"/>
                  </a:schemeClr>
                </a:solidFill>
                <a:latin typeface="+mn-lt"/>
                <a:ea typeface="+mn-ea"/>
                <a:cs typeface="+mn-cs"/>
              </a:defRPr>
            </a:pP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endParaRPr altLang="en-US" sz="1200" b="0" i="0" u="none" strike="noStrike" baseline="0">
              <a:solidFill>
                <a:srgbClr val="000000"/>
              </a:solidFill>
              <a:effectLst/>
              <a:latin typeface="宋体" panose="02010600030101010101" charset="-122"/>
              <a:ea typeface="宋体" panose="02010600030101010101" charset="-122"/>
              <a:cs typeface="宋体" panose="02010600030101010101" charset="-122"/>
            </a:endParaRPr>
          </a:p>
        </c:rich>
      </c:tx>
      <c:layout>
        <c:manualLayout>
          <c:xMode val="edge"/>
          <c:yMode val="edge"/>
          <c:x val="0.26919332198985"/>
          <c:y val="0.015083213977778"/>
        </c:manualLayout>
      </c:layout>
      <c:overlay val="0"/>
    </c:title>
    <c:autoTitleDeleted val="0"/>
    <c:plotArea>
      <c:layout/>
      <c:barChart>
        <c:barDir val="col"/>
        <c:grouping val="clustered"/>
        <c:varyColors val="0"/>
        <c:ser>
          <c:idx val="0"/>
          <c:order val="0"/>
          <c:tx>
            <c:strRef>
              <c:f>'[决算图表(1)(1).et]Sheet1'!$E$5</c:f>
              <c:strCache>
                <c:ptCount val="1"/>
                <c:pt idx="0">
                  <c:v>2023年</c:v>
                </c:pt>
              </c:strCache>
            </c:strRef>
          </c:tx>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3609.04</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3609.04</a:t>
                    </a:r>
                  </a:p>
                </c:rich>
              </c:tx>
              <c:dLblPos val="outEnd"/>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'[决算图表(1)(1).et]Sheet1'!$F$4:$G$4</c:f>
              <c:strCache>
                <c:ptCount val="2"/>
                <c:pt idx="0">
                  <c:v>收入</c:v>
                </c:pt>
                <c:pt idx="1">
                  <c:v>支出</c:v>
                </c:pt>
              </c:strCache>
            </c:strRef>
          </c:cat>
          <c:val>
            <c:numRef>
              <c:f>'[决算图表(1)(1).et]Sheet1'!$F$5:$G$5</c:f>
              <c:numCache>
                <c:formatCode>#,##0.00</c:formatCode>
                <c:ptCount val="2"/>
                <c:pt idx="0">
                  <c:v>3609.04</c:v>
                </c:pt>
                <c:pt idx="1">
                  <c:v>3609.04</c:v>
                </c:pt>
              </c:numCache>
            </c:numRef>
          </c:val>
        </c:ser>
        <c:ser>
          <c:idx val="1"/>
          <c:order val="1"/>
          <c:tx>
            <c:strRef>
              <c:f>'[决算图表(1)(1).et]Sheet1'!$E$6</c:f>
              <c:strCache>
                <c:ptCount val="1"/>
                <c:pt idx="0">
                  <c:v>2024年</c:v>
                </c:pt>
              </c:strCache>
            </c:strRef>
          </c:tx>
          <c:spPr>
            <a:solidFill>
              <a:schemeClr val="accent2"/>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4190.7</a:t>
                    </a:r>
                  </a:p>
                </c:rich>
              </c:tx>
              <c:dLblPos val="outEnd"/>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'[决算图表(1)(1).et]Sheet1'!$F$4:$G$4</c:f>
              <c:strCache>
                <c:ptCount val="2"/>
                <c:pt idx="0">
                  <c:v>收入</c:v>
                </c:pt>
                <c:pt idx="1">
                  <c:v>支出</c:v>
                </c:pt>
              </c:strCache>
            </c:strRef>
          </c:cat>
          <c:val>
            <c:numRef>
              <c:f>'[决算图表(1)(1).et]Sheet1'!$F$6:$G$6</c:f>
              <c:numCache>
                <c:formatCode>#,##0.00</c:formatCode>
                <c:ptCount val="2"/>
                <c:pt idx="0">
                  <c:v>4190.7</c:v>
                </c:pt>
                <c:pt idx="1" c:formatCode="General">
                  <c:v>4190.7</c:v>
                </c:pt>
              </c:numCache>
            </c:numRef>
          </c:val>
        </c:ser>
        <c:dLbls>
          <c:showLegendKey val="0"/>
          <c:showVal val="0"/>
          <c:showCatName val="0"/>
          <c:showSerName val="0"/>
          <c:showPercent val="0"/>
          <c:showBubbleSize val="0"/>
        </c:dLbls>
        <c:gapWidth val="219"/>
        <c:overlap val="-27"/>
        <c:axId val="299355176"/>
        <c:axId val="176398956"/>
      </c:barChart>
      <c:catAx>
        <c:axId val="29935517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6398956"/>
        <c:crosses val="autoZero"/>
        <c:auto val="1"/>
        <c:lblAlgn val="ctr"/>
        <c:lblOffset val="100"/>
        <c:noMultiLvlLbl val="0"/>
      </c:catAx>
      <c:valAx>
        <c:axId val="17639895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99355176"/>
        <c:crosses val="autoZero"/>
        <c:crossBetween val="between"/>
      </c:valAx>
      <c:spPr>
        <a:noFill/>
        <a:ln>
          <a:noFill/>
        </a:ln>
        <a:effectLst/>
      </c:spPr>
    </c:plotArea>
    <c:legend>
      <c:legendPos val="r"/>
      <c:layout>
        <c:manualLayout>
          <c:xMode val="edge"/>
          <c:yMode val="edge"/>
          <c:x val="0.3875"/>
          <c:y val="0.9"/>
          <c:w val="0.2205"/>
          <c:h val="0.06975"/>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415807809551459"/>
          <c:y val="0.0304709141274238"/>
        </c:manualLayout>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3609.04, 100.00%</a:t>
                    </a:r>
                  </a:p>
                </c:rich>
              </c:tx>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extLst>
            </c:dLbl>
            <c:numFmt formatCode="0.00%" sourceLinked="0"/>
            <c:spPr>
              <a:noFill/>
              <a:ln w="3175">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'[决算图表(1)(1).et]Sheet1'!$A$67</c:f>
              <c:strCache>
                <c:ptCount val="1"/>
                <c:pt idx="0">
                  <c:v>一般公共预算财政拨款收入</c:v>
                </c:pt>
              </c:strCache>
            </c:strRef>
          </c:cat>
          <c:val>
            <c:numRef>
              <c:f>'[决算图表(1)(1).et]Sheet1'!$B$67</c:f>
              <c:numCache>
                <c:formatCode>#,##0.00</c:formatCode>
                <c:ptCount val="1"/>
                <c:pt idx="0">
                  <c:v>3609.04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0426722071280166"/>
          <c:y val="0.890538444493685"/>
          <c:w val="0.901230621703692"/>
          <c:h val="0.10281409262131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manualLayout>
          <c:layoutTarget val="inner"/>
          <c:xMode val="edge"/>
          <c:yMode val="edge"/>
          <c:x val="0.255725190839695"/>
          <c:y val="0.137480965847292"/>
          <c:w val="0.445380363253488"/>
          <c:h val="0.736132260169676"/>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Lbls>
            <c:dLbl>
              <c:idx val="0"/>
              <c:layout>
                <c:manualLayout>
                  <c:x val="-0.202416273006361"/>
                  <c:y val="-0.00520720182553668"/>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3035.73, 84.1%</a:t>
                    </a:r>
                  </a:p>
                </c:rich>
              </c:tx>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255825242718447"/>
                  <c:y val="0.0077418881151684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573.31, 15.</a:t>
                    </a:r>
                    <a:r>
                      <a:rPr lang="en-US" altLang="zh-CN"/>
                      <a:t>9</a:t>
                    </a:r>
                    <a:r>
                      <a:t>%</a:t>
                    </a:r>
                  </a:p>
                </c:rich>
              </c:tx>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'[决算图表(1)(1).et]Sheet1'!$A$86:$A$87</c:f>
              <c:strCache>
                <c:ptCount val="2"/>
                <c:pt idx="0">
                  <c:v>基本支出</c:v>
                </c:pt>
                <c:pt idx="1">
                  <c:v>项目支出</c:v>
                </c:pt>
              </c:strCache>
            </c:strRef>
          </c:cat>
          <c:val>
            <c:numRef>
              <c:f>'[决算图表(1)(1).et]Sheet1'!$B$86:$B$87</c:f>
              <c:numCache>
                <c:formatCode>General</c:formatCode>
                <c:ptCount val="2"/>
                <c:pt idx="0">
                  <c:v>3035.73</c:v>
                </c:pt>
                <c:pt idx="1">
                  <c:v>573.31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03527244011582"/>
          <c:y val="0.902327604959756"/>
          <c:w val="0.906949197157147"/>
          <c:h val="0.091146399825973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财政拨款收、支决算总计变动情况图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manualLayout>
          <c:layoutTarget val="inner"/>
          <c:xMode val="edge"/>
          <c:yMode val="edge"/>
          <c:x val="0.0701105045932632"/>
          <c:y val="0.205156950672646"/>
          <c:w val="0.899001464518706"/>
          <c:h val="0.619843049327354"/>
        </c:manualLayout>
      </c:layout>
      <c:barChart>
        <c:barDir val="col"/>
        <c:grouping val="clustered"/>
        <c:varyColors val="0"/>
        <c:ser>
          <c:idx val="0"/>
          <c:order val="0"/>
          <c:tx>
            <c:strRef>
              <c:f>'[决算图表(1)(1).et]Sheet1'!$E$35</c:f>
              <c:strCache>
                <c:ptCount val="1"/>
                <c:pt idx="0">
                  <c:v>收入</c:v>
                </c:pt>
              </c:strCache>
            </c:strRef>
          </c:tx>
          <c:spPr>
            <a:solidFill>
              <a:schemeClr val="accent1"/>
            </a:solidFill>
            <a:ln>
              <a:noFill/>
            </a:ln>
            <a:effectLst/>
          </c:spPr>
          <c:invertIfNegative val="0"/>
          <c:dLbls>
            <c:dLbl>
              <c:idx val="0"/>
              <c:layout>
                <c:manualLayout>
                  <c:x val="-0.0314766239777812"/>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'[决算图表(1)(1).et]Sheet1'!$D$36:$D$38</c:f>
              <c:strCache>
                <c:ptCount val="3"/>
                <c:pt idx="0">
                  <c:v>2023年</c:v>
                </c:pt>
                <c:pt idx="1">
                  <c:v>2024年</c:v>
                </c:pt>
              </c:strCache>
            </c:strRef>
          </c:cat>
          <c:val>
            <c:numRef>
              <c:f>'[决算图表(1)(1).et]Sheet1'!$E$36:$E$38</c:f>
              <c:numCache>
                <c:formatCode>General</c:formatCode>
                <c:ptCount val="3"/>
                <c:pt idx="0">
                  <c:v>3609.04</c:v>
                </c:pt>
                <c:pt idx="1">
                  <c:v>4190.7</c:v>
                </c:pt>
              </c:numCache>
            </c:numRef>
          </c:val>
        </c:ser>
        <c:ser>
          <c:idx val="1"/>
          <c:order val="1"/>
          <c:tx>
            <c:strRef>
              <c:f>'[决算图表(1)(1).et]Sheet1'!$F$35</c:f>
              <c:strCache>
                <c:ptCount val="1"/>
                <c:pt idx="0">
                  <c:v>支出</c:v>
                </c:pt>
              </c:strCache>
            </c:strRef>
          </c:tx>
          <c:spPr>
            <a:solidFill>
              <a:schemeClr val="accent2"/>
            </a:solidFill>
            <a:ln>
              <a:noFill/>
            </a:ln>
            <a:effectLst/>
          </c:spPr>
          <c:invertIfNegative val="0"/>
          <c:dLbls>
            <c:dLbl>
              <c:idx val="0"/>
              <c:layout>
                <c:manualLayout>
                  <c:x val="0.0370313223268014"/>
                  <c:y val="0.0052470485351989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555469834902021"/>
                  <c:y val="-0.0078705728027984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'[决算图表(1)(1).et]Sheet1'!$D$36:$D$38</c:f>
              <c:strCache>
                <c:ptCount val="3"/>
                <c:pt idx="0">
                  <c:v>2023年</c:v>
                </c:pt>
                <c:pt idx="1">
                  <c:v>2024年</c:v>
                </c:pt>
              </c:strCache>
            </c:strRef>
          </c:cat>
          <c:val>
            <c:numRef>
              <c:f>'[决算图表(1)(1).et]Sheet1'!$F$36:$F$38</c:f>
              <c:numCache>
                <c:formatCode>General</c:formatCode>
                <c:ptCount val="3"/>
                <c:pt idx="0">
                  <c:v>3609.04</c:v>
                </c:pt>
                <c:pt idx="1">
                  <c:v>4190.7</c:v>
                </c:pt>
              </c:numCache>
            </c:numRef>
          </c:val>
        </c:ser>
        <c:dLbls>
          <c:showLegendKey val="0"/>
          <c:showVal val="0"/>
          <c:showCatName val="0"/>
          <c:showSerName val="0"/>
          <c:showPercent val="0"/>
          <c:showBubbleSize val="0"/>
        </c:dLbls>
        <c:gapWidth val="219"/>
        <c:overlap val="-27"/>
        <c:axId val="507669165"/>
        <c:axId val="925852223"/>
      </c:barChart>
      <c:catAx>
        <c:axId val="507669165"/>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25852223"/>
        <c:crosses val="autoZero"/>
        <c:auto val="1"/>
        <c:lblAlgn val="ctr"/>
        <c:lblOffset val="100"/>
        <c:noMultiLvlLbl val="0"/>
      </c:catAx>
      <c:valAx>
        <c:axId val="925852223"/>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07669165"/>
        <c:crosses val="autoZero"/>
        <c:crossBetween val="between"/>
      </c:valAx>
      <c:spPr>
        <a:noFill/>
        <a:ln>
          <a:noFill/>
        </a:ln>
        <a:effectLst/>
      </c:spPr>
    </c:plotArea>
    <c:legend>
      <c:legendPos val="r"/>
      <c:layout>
        <c:manualLayout>
          <c:xMode val="edge"/>
          <c:yMode val="edge"/>
          <c:x val="0.4035"/>
          <c:y val="0.90075"/>
          <c:w val="0.18975"/>
          <c:h val="0.072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noFill/>
      <a:prstDash val="solid"/>
      <a:round/>
    </a:ln>
    <a:effectLst/>
  </c:spPr>
  <c:txPr>
    <a:bodyPr wrap="square"/>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ysClr val="windowText" lastClr="000000"/>
                </a:solidFill>
                <a:latin typeface="黑体" panose="02010609060101010101" charset="-122"/>
                <a:ea typeface="黑体" panose="02010609060101010101" charset="-122"/>
                <a:cs typeface="黑体" panose="02010609060101010101" charset="-122"/>
                <a:sym typeface="黑体" panose="02010609060101010101" charset="-122"/>
              </a:defRPr>
            </a:pPr>
            <a:r>
              <a:rPr sz="1400" b="0" i="0" u="none" strike="noStrike" baseline="0">
                <a:solidFill>
                  <a:srgbClr val="000000"/>
                </a:solidFill>
                <a:latin typeface="黑体" panose="02010609060101010101" charset="-122"/>
                <a:ea typeface="黑体" panose="02010609060101010101" charset="-122"/>
                <a:cs typeface="黑体" panose="02010609060101010101" charset="-122"/>
                <a:sym typeface="黑体" panose="02010609060101010101" charset="-122"/>
              </a:rPr>
              <a:t>一般公共预算财政拨款支出决算变动情况</a:t>
            </a:r>
            <a:endParaRPr sz="1400" b="0" i="0" u="none" strike="noStrike" baseline="0">
              <a:solidFill>
                <a:srgbClr val="000000"/>
              </a:solidFill>
              <a:latin typeface="黑体" panose="02010609060101010101" charset="-122"/>
              <a:ea typeface="黑体" panose="02010609060101010101" charset="-122"/>
              <a:cs typeface="黑体" panose="02010609060101010101" charset="-122"/>
              <a:sym typeface="黑体" panose="02010609060101010101" charset="-122"/>
            </a:endParaRPr>
          </a:p>
          <a:p>
            <a:pPr algn="ctr" defTabSz="914400">
              <a:defRPr lang="zh-CN" sz="1400" b="0" i="0" u="none" strike="noStrike" kern="1200" spc="0" baseline="0">
                <a:solidFill>
                  <a:sysClr val="windowText" lastClr="000000"/>
                </a:solidFill>
                <a:latin typeface="黑体" panose="02010609060101010101" charset="-122"/>
                <a:ea typeface="黑体" panose="02010609060101010101" charset="-122"/>
                <a:cs typeface="黑体" panose="02010609060101010101" charset="-122"/>
                <a:sym typeface="黑体" panose="02010609060101010101" charset="-122"/>
              </a:defRPr>
            </a:pPr>
            <a:r>
              <a:rPr sz="1400" b="0" i="0" u="none" strike="noStrike" baseline="0">
                <a:solidFill>
                  <a:srgbClr val="000000"/>
                </a:solidFill>
                <a:latin typeface="黑体" panose="02010609060101010101" charset="-122"/>
                <a:ea typeface="黑体" panose="02010609060101010101" charset="-122"/>
                <a:cs typeface="黑体" panose="02010609060101010101" charset="-122"/>
                <a:sym typeface="黑体" panose="02010609060101010101" charset="-122"/>
              </a:rPr>
              <a:t>单位：万元</a:t>
            </a:r>
            <a:endParaRPr sz="1200" b="0" i="0" u="none" strike="noStrike" baseline="0">
              <a:solidFill>
                <a:srgbClr val="000000"/>
              </a:solidFill>
              <a:effectLst/>
              <a:latin typeface="黑体" panose="02010609060101010101" charset="-122"/>
              <a:ea typeface="黑体" panose="02010609060101010101" charset="-122"/>
              <a:cs typeface="黑体" panose="02010609060101010101" charset="-122"/>
              <a:sym typeface="黑体" panose="02010609060101010101" charset="-122"/>
            </a:endParaRPr>
          </a:p>
        </c:rich>
      </c:tx>
      <c:layout>
        <c:manualLayout>
          <c:xMode val="edge"/>
          <c:yMode val="edge"/>
          <c:x val="0.135672115674405"/>
          <c:y val="0.0470002710410111"/>
        </c:manualLayout>
      </c:layout>
      <c:overlay val="0"/>
    </c:title>
    <c:autoTitleDeleted val="0"/>
    <c:plotArea>
      <c:layout/>
      <c:barChart>
        <c:barDir val="col"/>
        <c:grouping val="clustered"/>
        <c:varyColors val="0"/>
        <c:ser>
          <c:idx val="0"/>
          <c:order val="0"/>
          <c:tx>
            <c:strRef>
              <c:f>'[决算图表(1)(1).et]Sheet1'!$A$111</c:f>
              <c:strCache>
                <c:ptCount val="1"/>
                <c:pt idx="0">
                  <c:v>支出</c:v>
                </c:pt>
              </c:strCache>
            </c:strRef>
          </c:tx>
          <c:spPr>
            <a:solidFill>
              <a:schemeClr val="accent1"/>
            </a:solidFill>
            <a:ln>
              <a:noFill/>
            </a:ln>
            <a:effectLst/>
          </c:spPr>
          <c:invertIfNegative val="0"/>
          <c:dPt>
            <c:idx val="0"/>
            <c:invertIfNegative val="0"/>
            <c:bubble3D val="0"/>
            <c:explosion val="0"/>
            <c:spPr>
              <a:solidFill>
                <a:schemeClr val="accent2">
                  <a:lumMod val="60000"/>
                  <a:lumOff val="40000"/>
                </a:schemeClr>
              </a:solidFill>
              <a:ln>
                <a:noFill/>
              </a:ln>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ysClr val="windowText" lastClr="000000"/>
                        </a:solidFill>
                        <a:latin typeface="黑体" panose="02010609060101010101" charset="-122"/>
                        <a:ea typeface="黑体" panose="02010609060101010101" charset="-122"/>
                        <a:cs typeface="黑体" panose="02010609060101010101" charset="-122"/>
                        <a:sym typeface="黑体" panose="02010609060101010101" charset="-122"/>
                      </a:defRPr>
                    </a:pPr>
                    <a:r>
                      <a:rPr lang="en-US" altLang="zh-CN" sz="900" b="0" i="0" u="none" strike="noStrike" baseline="0">
                        <a:solidFill>
                          <a:srgbClr val="000000"/>
                        </a:solidFill>
                        <a:latin typeface="黑体" panose="02010609060101010101" charset="-122"/>
                        <a:ea typeface="黑体" panose="02010609060101010101" charset="-122"/>
                        <a:cs typeface="黑体" panose="02010609060101010101" charset="-122"/>
                        <a:sym typeface="黑体" panose="02010609060101010101" charset="-122"/>
                      </a:rPr>
                      <a:t>4190.7</a:t>
                    </a:r>
                    <a:endParaRPr lang="en-US" altLang="zh-CN" sz="900" b="0" i="0" u="none" strike="noStrike" baseline="0">
                      <a:solidFill>
                        <a:srgbClr val="000000"/>
                      </a:solidFill>
                      <a:latin typeface="黑体" panose="02010609060101010101" charset="-122"/>
                      <a:ea typeface="黑体" panose="02010609060101010101" charset="-122"/>
                      <a:cs typeface="黑体" panose="02010609060101010101" charset="-122"/>
                      <a:sym typeface="黑体" panose="02010609060101010101" charset="-12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solidFill>
                      <a:latin typeface="黑体" panose="02010609060101010101" charset="-122"/>
                      <a:ea typeface="黑体" panose="02010609060101010101" charset="-122"/>
                      <a:cs typeface="黑体" panose="02010609060101010101" charset="-122"/>
                      <a:sym typeface="黑体" panose="02010609060101010101"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ysClr val="windowText" lastClr="000000"/>
                    </a:solidFill>
                    <a:latin typeface="黑体" panose="02010609060101010101" charset="-122"/>
                    <a:ea typeface="黑体" panose="02010609060101010101" charset="-122"/>
                    <a:cs typeface="黑体" panose="02010609060101010101" charset="-122"/>
                    <a:sym typeface="黑体" panose="02010609060101010101" charset="-12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'[决算图表(1)(1).et]Sheet1'!$B$110:$C$110</c:f>
              <c:strCache>
                <c:ptCount val="2"/>
                <c:pt idx="0">
                  <c:v>2023年</c:v>
                </c:pt>
                <c:pt idx="1">
                  <c:v>2024年</c:v>
                </c:pt>
              </c:strCache>
            </c:strRef>
          </c:cat>
          <c:val>
            <c:numRef>
              <c:f>'[决算图表(1)(1).et]Sheet1'!$B$111:$C$111</c:f>
              <c:numCache>
                <c:formatCode>General</c:formatCode>
                <c:ptCount val="2"/>
                <c:pt idx="0">
                  <c:v>4190.7</c:v>
                </c:pt>
                <c:pt idx="1">
                  <c:v>3609.04</c:v>
                </c:pt>
              </c:numCache>
            </c:numRef>
          </c:val>
        </c:ser>
        <c:dLbls>
          <c:showLegendKey val="0"/>
          <c:showVal val="0"/>
          <c:showCatName val="0"/>
          <c:showSerName val="0"/>
          <c:showPercent val="0"/>
          <c:showBubbleSize val="0"/>
        </c:dLbls>
        <c:gapWidth val="219"/>
        <c:overlap val="-27"/>
        <c:axId val="995781207"/>
        <c:axId val="394753121"/>
      </c:barChart>
      <c:catAx>
        <c:axId val="995781207"/>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黑体" panose="02010609060101010101" charset="-122"/>
                <a:ea typeface="黑体" panose="02010609060101010101" charset="-122"/>
                <a:cs typeface="黑体" panose="02010609060101010101" charset="-122"/>
                <a:sym typeface="黑体" panose="02010609060101010101" charset="-122"/>
              </a:defRPr>
            </a:pPr>
          </a:p>
        </c:txPr>
        <c:crossAx val="394753121"/>
        <c:crosses val="autoZero"/>
        <c:auto val="1"/>
        <c:lblAlgn val="ctr"/>
        <c:lblOffset val="100"/>
        <c:noMultiLvlLbl val="0"/>
      </c:catAx>
      <c:valAx>
        <c:axId val="394753121"/>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黑体" panose="02010609060101010101" charset="-122"/>
                <a:ea typeface="黑体" panose="02010609060101010101" charset="-122"/>
                <a:cs typeface="黑体" panose="02010609060101010101" charset="-122"/>
                <a:sym typeface="黑体" panose="02010609060101010101" charset="-122"/>
              </a:defRPr>
            </a:pPr>
          </a:p>
        </c:txPr>
        <c:crossAx val="995781207"/>
        <c:crosses val="autoZero"/>
        <c:crossBetween val="between"/>
      </c:valAx>
    </c:plotArea>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solidFill>
            <a:sysClr val="windowText" lastClr="000000"/>
          </a:solidFill>
          <a:latin typeface="黑体" panose="02010609060101010101" charset="-122"/>
          <a:ea typeface="黑体" panose="02010609060101010101" charset="-122"/>
          <a:cs typeface="黑体" panose="02010609060101010101" charset="-122"/>
          <a:sym typeface="黑体" panose="02010609060101010101" charset="-122"/>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200"/>
              <a:t>一般公共预算财政拨款支出决算结构支出决算结构图</a:t>
            </a:r>
            <a:endParaRPr sz="12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0849655902593965"/>
          <c:y val="0.0506422018348624"/>
        </c:manualLayout>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Pt>
            <c:idx val="4"/>
            <c:bubble3D val="0"/>
            <c:explosion val="0"/>
            <c:spPr>
              <a:solidFill>
                <a:schemeClr val="accent5"/>
              </a:solidFill>
              <a:ln w="19050">
                <a:solidFill>
                  <a:schemeClr val="lt1"/>
                </a:solidFill>
              </a:ln>
              <a:effectLst/>
            </c:spPr>
          </c:dPt>
          <c:dLbls>
            <c:dLbl>
              <c:idx val="0"/>
              <c:layout>
                <c:manualLayout>
                  <c:x val="0.227133362118102"/>
                  <c:y val="0.0262922707291877"/>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0606970323906736"/>
                  <c:y val="-0.0206995426625779"/>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320.22,</a:t>
                    </a:r>
                    <a:r>
                      <a:rPr lang="en-US" altLang="zh-CN"/>
                      <a:t>8.</a:t>
                    </a:r>
                    <a:r>
                      <a:t>9%</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dLbl>
              <c:idx val="2"/>
              <c:layout>
                <c:manualLayout>
                  <c:x val="0.136564094584523"/>
                  <c:y val="0.0793268104237994"/>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161.07, 4</a:t>
                    </a:r>
                    <a:r>
                      <a:rPr lang="en-US" altLang="zh-CN"/>
                      <a:t>.5</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3"/>
              <c:layout>
                <c:manualLayout>
                  <c:x val="-0.130288773869073"/>
                  <c:y val="0.0353801932483545"/>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2961.62, 82</a:t>
                    </a:r>
                    <a:r>
                      <a:rPr lang="en-US" altLang="zh-CN"/>
                      <a:t>.1</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4"/>
              <c:layout>
                <c:manualLayout>
                  <c:x val="-0.166783969909706"/>
                  <c:y val="-0.0172925416360506"/>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165.63, </a:t>
                    </a:r>
                    <a:r>
                      <a:rPr lang="en-US" altLang="zh-CN"/>
                      <a:t>4.6</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multiLvlStrRef>
              <c:f>'[决算图表(1)(1).et]Sheet1'!$A$35:$B$39</c:f>
              <c:multiLvlStrCache>
                <c:ptCount val="5"/>
                <c:lvl>
                  <c:pt idx="0">
                    <c:v>0.5</c:v>
                  </c:pt>
                  <c:pt idx="1">
                    <c:v>320.22</c:v>
                  </c:pt>
                  <c:pt idx="2">
                    <c:v>161.07</c:v>
                  </c:pt>
                  <c:pt idx="3">
                    <c:v>2961.62</c:v>
                  </c:pt>
                  <c:pt idx="4">
                    <c:v>165.63</c:v>
                  </c:pt>
                </c:lvl>
                <c:lvl>
                  <c:pt idx="0">
                    <c:v>文化旅游体育与传媒支出</c:v>
                  </c:pt>
                  <c:pt idx="1">
                    <c:v>社会保障和就业支出</c:v>
                  </c:pt>
                  <c:pt idx="2">
                    <c:v>卫生健康支出</c:v>
                  </c:pt>
                  <c:pt idx="3">
                    <c:v>交通运输支出</c:v>
                  </c:pt>
                  <c:pt idx="4">
                    <c:v>住房保障支出</c:v>
                  </c:pt>
                </c:lvl>
              </c:multiLvlStrCache>
            </c:multiLvlStrRef>
          </c:cat>
          <c:val>
            <c:numRef>
              <c:f>'[决算图表(1)(1).et]Sheet1'!$B$35:$B$39</c:f>
              <c:numCache>
                <c:formatCode>General</c:formatCode>
                <c:ptCount val="5"/>
                <c:pt idx="0">
                  <c:v>0.5</c:v>
                </c:pt>
                <c:pt idx="1">
                  <c:v>320.22</c:v>
                </c:pt>
                <c:pt idx="2">
                  <c:v>161.07</c:v>
                </c:pt>
                <c:pt idx="3">
                  <c:v>2961.62</c:v>
                </c:pt>
                <c:pt idx="4">
                  <c:v>165.63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650873478030704"/>
          <c:y val="0.386605504587156"/>
          <c:w val="0.340391741662255"/>
          <c:h val="0.58715596330275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chemeClr val="tx1">
                    <a:lumMod val="65000"/>
                    <a:lumOff val="35000"/>
                  </a:schemeClr>
                </a:solidFill>
                <a:effectLst/>
                <a:latin typeface="+mn-lt"/>
                <a:ea typeface="+mn-ea"/>
                <a:cs typeface="+mn-cs"/>
              </a:rPr>
              <a:t>“三公”经费财政拨款支出结构图</a:t>
            </a:r>
            <a:endParaRPr sz="1400" b="0" i="0" u="none" strike="noStrike" kern="1200" cap="none" spc="0" normalizeH="0" baseline="0">
              <a:solidFill>
                <a:schemeClr val="tx1">
                  <a:lumMod val="65000"/>
                  <a:lumOff val="35000"/>
                </a:schemeClr>
              </a:solidFill>
              <a:effectLst/>
              <a:latin typeface="+mn-lt"/>
              <a:ea typeface="+mn-ea"/>
              <a:cs typeface="+mn-cs"/>
            </a:endParaRPr>
          </a:p>
        </c:rich>
      </c:tx>
      <c:layout/>
      <c:overlay val="0"/>
    </c:title>
    <c:autoTitleDeleted val="0"/>
    <c:plotArea>
      <c:layout/>
      <c:pieChart>
        <c:varyColors val="1"/>
        <c:ser>
          <c:idx val="0"/>
          <c:order val="0"/>
          <c:spPr>
            <a:solidFill>
              <a:schemeClr val="accent1"/>
            </a:solidFill>
            <a:ln w="19050">
              <a:solidFill>
                <a:srgbClr val="FFFFFF">
                  <a:alpha val="100000"/>
                </a:srgbClr>
              </a:solidFill>
              <a:prstDash val="solid"/>
            </a:ln>
            <a:effectLst/>
          </c:spPr>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Lbls>
            <c:dLbl>
              <c:idx val="0"/>
              <c:layout>
                <c:manualLayout>
                  <c:x val="0.305844790067533"/>
                  <c:y val="-0.160563663335084"/>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rPr lang="en-US" altLang="zh-CN" sz="900" b="0" i="0" u="none" strike="noStrike" baseline="0">
                        <a:solidFill>
                          <a:srgbClr val="000000"/>
                        </a:solidFill>
                        <a:latin typeface="宋体" panose="02010600030101010101" charset="-122"/>
                        <a:ea typeface="宋体" panose="02010600030101010101" charset="-122"/>
                        <a:cs typeface="宋体" panose="02010600030101010101" charset="-122"/>
                      </a:rPr>
                      <a:t>20</a:t>
                    </a:r>
                    <a:r>
                      <a:rPr sz="900" b="0" i="0" u="none" strike="noStrike" baseline="0">
                        <a:solidFill>
                          <a:srgbClr val="000000"/>
                        </a:solidFill>
                        <a:latin typeface="宋体" panose="02010600030101010101" charset="-122"/>
                        <a:ea typeface="宋体" panose="02010600030101010101" charset="-122"/>
                        <a:cs typeface="宋体" panose="02010600030101010101" charset="-122"/>
                      </a:rPr>
                      <a:t>, 98.</a:t>
                    </a:r>
                    <a:r>
                      <a:rPr lang="en-US" altLang="zh-CN" sz="900" b="0" i="0" u="none" strike="noStrike" baseline="0">
                        <a:solidFill>
                          <a:srgbClr val="000000"/>
                        </a:solidFill>
                        <a:latin typeface="宋体" panose="02010600030101010101" charset="-122"/>
                        <a:ea typeface="宋体" panose="02010600030101010101" charset="-122"/>
                        <a:cs typeface="Calibri" panose="020F0502020204030204" pitchFamily="2" charset="0"/>
                      </a:rPr>
                      <a:t>9</a:t>
                    </a:r>
                    <a:r>
                      <a:rPr sz="900" b="0" i="0" u="none" strike="noStrike" baseline="0">
                        <a:solidFill>
                          <a:srgbClr val="000000"/>
                        </a:solidFill>
                        <a:latin typeface="宋体" panose="02010600030101010101" charset="-122"/>
                        <a:ea typeface="宋体" panose="02010600030101010101" charset="-122"/>
                        <a:cs typeface="宋体" panose="02010600030101010101" charset="-122"/>
                      </a:rPr>
                      <a:t>%</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227349008650444"/>
                  <c:y val="0.10066038399938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ea"/>
                        <a:ea typeface="+mn-ea"/>
                        <a:cs typeface="+mn-ea"/>
                        <a:sym typeface="+mn-ea"/>
                      </a:defRPr>
                    </a:pPr>
                    <a:r>
                      <a:rPr lang="en-US" altLang="zh-CN">
                        <a:latin typeface="+mn-ea"/>
                        <a:ea typeface="+mn-ea"/>
                        <a:cs typeface="+mn-ea"/>
                        <a:sym typeface="+mn-ea"/>
                      </a:rPr>
                      <a:t>0.21</a:t>
                    </a:r>
                    <a:r>
                      <a:rPr>
                        <a:latin typeface="+mn-ea"/>
                        <a:ea typeface="+mn-ea"/>
                        <a:cs typeface="+mn-ea"/>
                        <a:sym typeface="+mn-ea"/>
                      </a:rPr>
                      <a:t>, 1.1%</a:t>
                    </a:r>
                    <a:endParaRPr sz="900" b="0" i="0" u="none" strike="noStrike" baseline="0">
                      <a:solidFill>
                        <a:srgbClr val="000000">
                          <a:alpha val="100000"/>
                        </a:srgbClr>
                      </a:solidFill>
                      <a:latin typeface="+mn-ea"/>
                      <a:ea typeface="+mn-ea"/>
                      <a:cs typeface="+mn-ea"/>
                      <a:sym typeface="+mn-ea"/>
                    </a:endParaRPr>
                  </a:p>
                </c:rich>
              </c:tx>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ea"/>
                      <a:ea typeface="+mn-ea"/>
                      <a:cs typeface="+mn-ea"/>
                      <a:sym typeface="+mn-ea"/>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'[决算图表(1)(1).et]Sheet1'!$A$128:$A$130</c:f>
              <c:strCache>
                <c:ptCount val="3"/>
                <c:pt idx="0">
                  <c:v>公务用车购置及运行维护费</c:v>
                </c:pt>
                <c:pt idx="1">
                  <c:v>公务接待费</c:v>
                </c:pt>
                <c:pt idx="2">
                  <c:v>因公出国（境）费支出决算</c:v>
                </c:pt>
              </c:strCache>
            </c:strRef>
          </c:cat>
          <c:val>
            <c:numRef>
              <c:f>'[决算图表(1)(1).et]Sheet1'!$B$128:$B$129</c:f>
              <c:numCache>
                <c:formatCode>General</c:formatCode>
                <c:ptCount val="2"/>
                <c:pt idx="0">
                  <c:v>20</c:v>
                </c:pt>
                <c:pt idx="1">
                  <c:v>0.21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103560396683466"/>
          <c:y val="0.882573726541555"/>
          <c:w val="0.79725"/>
          <c:h val="0.1085"/>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rgbClr val="F9FBFA"/>
      </a:solidFill>
      <a:prstDash val="solid"/>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26</Pages>
  <Words>4627</Words>
  <Characters>5055</Characters>
  <Lines>60</Lines>
  <Paragraphs>17</Paragraphs>
  <TotalTime>7</TotalTime>
  <ScaleCrop>false</ScaleCrop>
  <LinksUpToDate>false</LinksUpToDate>
  <CharactersWithSpaces>5230</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Dell</cp:lastModifiedBy>
  <cp:lastPrinted>2025-08-06T17:34:00Z</cp:lastPrinted>
  <dcterms:modified xsi:type="dcterms:W3CDTF">2025-09-18T07:41:27Z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9F17E2A83BB6417CAD657D818F998041</vt:lpwstr>
  </property>
  <property fmtid="{D5CDD505-2E9C-101B-9397-08002B2CF9AE}" pid="4" name="KSOTemplateDocerSaveRecord">
    <vt:lpwstr>eyJoZGlkIjoiOTQ4YzFiYmUzZmUzYmRjYzJiZDIzODgyMTcxYTJiNGMiLCJ1c2VySWQiOiIzMTg5Nzk4OTQifQ==</vt:lpwstr>
  </property>
</Properties>
</file>