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93"/>
        <w:rPr>
          <w:rFonts w:hint="default" w:ascii="Times New Roman" w:hAnsi="Times New Roman" w:eastAsia="方正小标宋简体" w:cs="Times New Roman"/>
          <w:kern w:val="2"/>
          <w:sz w:val="72"/>
          <w:szCs w:val="72"/>
        </w:rPr>
      </w:pPr>
      <w:bookmarkStart w:id="0" w:name="_Toc15396475"/>
      <w:bookmarkStart w:id="1" w:name="_Toc15377425"/>
      <w:bookmarkStart w:id="2" w:name="_Toc15306267"/>
      <w:bookmarkStart w:id="3" w:name="_Toc15378441"/>
      <w:bookmarkStart w:id="4" w:name="_Toc15396597"/>
      <w:bookmarkStart w:id="5" w:name="_Toc15377193"/>
    </w:p>
    <w:p>
      <w:pPr>
        <w:pStyle w:val="2"/>
        <w:spacing w:before="93"/>
        <w:rPr>
          <w:rFonts w:hint="default" w:ascii="Times New Roman" w:hAnsi="Times New Roman" w:eastAsia="方正小标宋简体" w:cs="Times New Roman"/>
          <w:kern w:val="2"/>
          <w:sz w:val="72"/>
          <w:szCs w:val="72"/>
        </w:rPr>
      </w:pPr>
    </w:p>
    <w:p>
      <w:pPr>
        <w:pStyle w:val="2"/>
        <w:spacing w:before="93"/>
        <w:rPr>
          <w:rFonts w:hint="default" w:ascii="Times New Roman" w:hAnsi="Times New Roman" w:eastAsia="方正小标宋简体" w:cs="Times New Roman"/>
          <w:kern w:val="2"/>
          <w:sz w:val="72"/>
          <w:szCs w:val="72"/>
        </w:rPr>
      </w:pPr>
    </w:p>
    <w:p>
      <w:pPr>
        <w:pStyle w:val="2"/>
        <w:jc w:val="center"/>
        <w:rPr>
          <w:rFonts w:hint="default" w:ascii="Times New Roman" w:hAnsi="Times New Roman" w:eastAsia="方正小标宋简体" w:cs="Times New Roman"/>
          <w:color w:val="auto"/>
          <w:kern w:val="2"/>
          <w:sz w:val="44"/>
          <w:szCs w:val="44"/>
          <w:highlight w:val="none"/>
          <w:lang w:val="en-US" w:eastAsia="zh-CN" w:bidi="ar-SA"/>
        </w:rPr>
      </w:pPr>
      <w:r>
        <w:rPr>
          <w:rFonts w:hint="default" w:ascii="Times New Roman" w:hAnsi="Times New Roman" w:eastAsia="方正小标宋简体" w:cs="Times New Roman"/>
          <w:color w:val="auto"/>
          <w:kern w:val="2"/>
          <w:sz w:val="44"/>
          <w:szCs w:val="44"/>
          <w:highlight w:val="none"/>
          <w:lang w:val="en-US" w:eastAsia="zh-CN" w:bidi="ar-SA"/>
        </w:rPr>
        <w:t>2024年度阿坝藏族羌族自治州</w:t>
      </w:r>
    </w:p>
    <w:p>
      <w:pPr>
        <w:pStyle w:val="2"/>
        <w:jc w:val="center"/>
        <w:rPr>
          <w:rFonts w:hint="default" w:ascii="Times New Roman" w:hAnsi="Times New Roman" w:eastAsia="方正小标宋简体" w:cs="Times New Roman"/>
          <w:color w:val="auto"/>
          <w:kern w:val="2"/>
          <w:sz w:val="44"/>
          <w:szCs w:val="44"/>
          <w:highlight w:val="none"/>
          <w:lang w:val="en-US" w:eastAsia="zh-CN" w:bidi="ar-SA"/>
        </w:rPr>
      </w:pPr>
      <w:r>
        <w:rPr>
          <w:rFonts w:hint="default" w:ascii="Times New Roman" w:hAnsi="Times New Roman" w:eastAsia="方正小标宋简体" w:cs="Times New Roman"/>
          <w:color w:val="auto"/>
          <w:kern w:val="2"/>
          <w:sz w:val="44"/>
          <w:szCs w:val="44"/>
          <w:highlight w:val="none"/>
          <w:lang w:val="en-US" w:eastAsia="zh-CN" w:bidi="ar-SA"/>
        </w:rPr>
        <w:t>公路隧道管理处决算</w:t>
      </w:r>
      <w:r>
        <w:rPr>
          <w:rFonts w:hint="eastAsia" w:ascii="Times New Roman" w:eastAsia="方正小标宋简体" w:cs="Times New Roman"/>
          <w:color w:val="auto"/>
          <w:kern w:val="2"/>
          <w:sz w:val="44"/>
          <w:szCs w:val="44"/>
          <w:highlight w:val="none"/>
          <w:lang w:val="en-US" w:eastAsia="zh-CN" w:bidi="ar-SA"/>
        </w:rPr>
        <w:t>公开</w:t>
      </w:r>
      <w:bookmarkStart w:id="92" w:name="_GoBack"/>
      <w:bookmarkEnd w:id="92"/>
    </w:p>
    <w:p>
      <w:pPr>
        <w:spacing w:line="600" w:lineRule="exact"/>
        <w:jc w:val="center"/>
        <w:outlineLvl w:val="0"/>
        <w:rPr>
          <w:rFonts w:hint="default" w:ascii="Times New Roman" w:hAnsi="Times New Roman" w:eastAsia="方正小标宋简体" w:cs="Times New Roman"/>
          <w:sz w:val="72"/>
          <w:szCs w:val="72"/>
        </w:rPr>
      </w:pPr>
    </w:p>
    <w:p>
      <w:pPr>
        <w:pStyle w:val="19"/>
        <w:rPr>
          <w:rFonts w:hint="default" w:ascii="Times New Roman" w:hAnsi="Times New Roman" w:cs="Times New Roman"/>
        </w:rPr>
        <w:sectPr>
          <w:footerReference r:id="rId5" w:type="first"/>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p>
      <w:pPr>
        <w:pStyle w:val="2"/>
        <w:spacing w:before="93"/>
        <w:jc w:val="center"/>
        <w:rPr>
          <w:rFonts w:hint="default" w:ascii="Times New Roman" w:hAnsi="Times New Roman" w:eastAsia="方正小标宋简体" w:cs="Times New Roman"/>
          <w:kern w:val="2"/>
          <w:sz w:val="44"/>
          <w:szCs w:val="44"/>
        </w:rPr>
      </w:pPr>
    </w:p>
    <w:bookmarkEnd w:id="0"/>
    <w:bookmarkEnd w:id="1"/>
    <w:bookmarkEnd w:id="2"/>
    <w:bookmarkEnd w:id="3"/>
    <w:bookmarkEnd w:id="4"/>
    <w:bookmarkEnd w:id="5"/>
    <w:p>
      <w:pPr>
        <w:widowControl/>
        <w:jc w:val="center"/>
        <w:rPr>
          <w:rFonts w:hint="default" w:ascii="Times New Roman" w:hAnsi="Times New Roman" w:eastAsia="黑体" w:cs="Times New Roman"/>
          <w:sz w:val="48"/>
          <w:szCs w:val="48"/>
        </w:rPr>
      </w:pPr>
      <w:r>
        <w:rPr>
          <w:rFonts w:hint="default" w:ascii="Times New Roman" w:hAnsi="Times New Roman" w:eastAsia="黑体" w:cs="Times New Roman"/>
          <w:sz w:val="48"/>
          <w:szCs w:val="48"/>
        </w:rPr>
        <w:t>目录</w:t>
      </w:r>
    </w:p>
    <w:p>
      <w:pPr>
        <w:widowControl/>
        <w:jc w:val="center"/>
        <w:rPr>
          <w:rFonts w:hint="default" w:ascii="Times New Roman" w:hAnsi="Times New Roman" w:eastAsia="黑体" w:cs="Times New Roman"/>
          <w:sz w:val="28"/>
          <w:szCs w:val="28"/>
        </w:rPr>
      </w:pPr>
    </w:p>
    <w:p>
      <w:pPr>
        <w:pStyle w:val="12"/>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公开时间：202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 xml:space="preserve">年 </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 xml:space="preserve"> 月 </w:t>
      </w:r>
      <w:r>
        <w:rPr>
          <w:rFonts w:hint="eastAsia" w:ascii="Times New Roman" w:hAnsi="Times New Roman" w:eastAsia="仿宋_GB2312" w:cs="Times New Roman"/>
          <w:sz w:val="32"/>
          <w:szCs w:val="32"/>
          <w:lang w:val="en-US" w:eastAsia="zh-CN"/>
        </w:rPr>
        <w:t>21</w:t>
      </w:r>
      <w:r>
        <w:rPr>
          <w:rFonts w:hint="default" w:ascii="Times New Roman" w:hAnsi="Times New Roman" w:eastAsia="仿宋_GB2312" w:cs="Times New Roman"/>
          <w:sz w:val="32"/>
          <w:szCs w:val="32"/>
        </w:rPr>
        <w:t xml:space="preserve"> 日</w:t>
      </w:r>
    </w:p>
    <w:p>
      <w:pPr>
        <w:rPr>
          <w:rFonts w:hint="default" w:ascii="Times New Roman" w:hAnsi="Times New Roman" w:cs="Times New Roman"/>
        </w:rPr>
      </w:pPr>
    </w:p>
    <w:sdt>
      <w:sdtPr>
        <w:rPr>
          <w:rFonts w:ascii="宋体" w:hAnsi="宋体" w:eastAsia="宋体" w:cs="Times New Roman"/>
          <w:kern w:val="2"/>
          <w:sz w:val="21"/>
          <w:szCs w:val="24"/>
          <w:lang w:val="en-US" w:eastAsia="zh-CN" w:bidi="ar-SA"/>
        </w:rPr>
        <w:id w:val="147475706"/>
        <w15:color w:val="DBDBDB"/>
        <w:docPartObj>
          <w:docPartGallery w:val="Table of Contents"/>
          <w:docPartUnique/>
        </w:docPartObj>
      </w:sdtPr>
      <w:sdtEndPr>
        <w:rPr>
          <w:rFonts w:hint="default" w:ascii="Times New Roman" w:hAnsi="Times New Roman" w:eastAsia="宋体" w:cs="Times New Roman"/>
          <w:kern w:val="2"/>
          <w:sz w:val="21"/>
          <w:szCs w:val="24"/>
          <w:lang w:val="en-US" w:eastAsia="zh-CN" w:bidi="ar-SA"/>
        </w:rPr>
      </w:sdtEndPr>
      <w:sdtContent>
        <w:p>
          <w:pPr>
            <w:spacing w:before="0" w:beforeLines="0" w:after="0" w:afterLines="0" w:line="360" w:lineRule="auto"/>
            <w:ind w:left="0" w:leftChars="0" w:right="0" w:rightChars="0" w:firstLine="0" w:firstLineChars="0"/>
            <w:jc w:val="center"/>
          </w:pPr>
        </w:p>
        <w:p>
          <w:pPr>
            <w:pStyle w:val="12"/>
            <w:tabs>
              <w:tab w:val="right" w:leader="dot" w:pos="8306"/>
              <w:tab w:val="clear" w:pos="8296"/>
            </w:tabs>
            <w:spacing w:line="360" w:lineRule="auto"/>
            <w:rPr>
              <w:rFonts w:hint="eastAsia" w:ascii="仿宋" w:hAnsi="仿宋" w:eastAsia="仿宋" w:cs="仿宋"/>
              <w:sz w:val="28"/>
              <w:szCs w:val="28"/>
            </w:rPr>
          </w:pPr>
          <w:r>
            <w:rPr>
              <w:rFonts w:hint="default"/>
            </w:rPr>
            <w:fldChar w:fldCharType="begin"/>
          </w:r>
          <w:r>
            <w:rPr>
              <w:rFonts w:hint="default"/>
            </w:rPr>
            <w:instrText xml:space="preserve">TOC \o "1-2" \h \u </w:instrText>
          </w:r>
          <w:r>
            <w:rPr>
              <w:rFonts w:hint="default"/>
            </w:rPr>
            <w:fldChar w:fldCharType="separate"/>
          </w: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HYPERLINK \l _Toc22983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rPr>
            <w:t xml:space="preserve">第一部分  </w:t>
          </w:r>
          <w:r>
            <w:rPr>
              <w:rFonts w:hint="eastAsia" w:ascii="仿宋" w:hAnsi="仿宋" w:eastAsia="仿宋" w:cs="仿宋"/>
              <w:b/>
              <w:bCs/>
              <w:sz w:val="28"/>
              <w:szCs w:val="28"/>
              <w:lang w:val="en-US" w:eastAsia="zh-CN"/>
            </w:rPr>
            <w:t>单位</w:t>
          </w:r>
          <w:r>
            <w:rPr>
              <w:rFonts w:hint="eastAsia" w:ascii="仿宋" w:hAnsi="仿宋" w:eastAsia="仿宋" w:cs="仿宋"/>
              <w:b/>
              <w:bCs/>
              <w:sz w:val="28"/>
              <w:szCs w:val="28"/>
            </w:rPr>
            <w:t>概况</w:t>
          </w:r>
          <w:r>
            <w:rPr>
              <w:rFonts w:hint="eastAsia" w:ascii="仿宋" w:hAnsi="仿宋" w:eastAsia="仿宋" w:cs="仿宋"/>
              <w:b/>
              <w:bCs/>
              <w:sz w:val="28"/>
              <w:szCs w:val="28"/>
            </w:rPr>
            <w:tab/>
          </w: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PAGEREF _Toc22983 \h </w:instrText>
          </w:r>
          <w:r>
            <w:rPr>
              <w:rFonts w:hint="eastAsia" w:ascii="仿宋" w:hAnsi="仿宋" w:eastAsia="仿宋" w:cs="仿宋"/>
              <w:b/>
              <w:bCs/>
              <w:sz w:val="28"/>
              <w:szCs w:val="28"/>
            </w:rPr>
            <w:fldChar w:fldCharType="separate"/>
          </w:r>
          <w:r>
            <w:rPr>
              <w:rFonts w:hint="eastAsia" w:ascii="仿宋" w:hAnsi="仿宋" w:eastAsia="仿宋" w:cs="仿宋"/>
              <w:b/>
              <w:bCs/>
              <w:sz w:val="28"/>
              <w:szCs w:val="28"/>
            </w:rPr>
            <w:t>- 4 -</w:t>
          </w:r>
          <w:r>
            <w:rPr>
              <w:rFonts w:hint="eastAsia" w:ascii="仿宋" w:hAnsi="仿宋" w:eastAsia="仿宋" w:cs="仿宋"/>
              <w:b/>
              <w:bCs/>
              <w:sz w:val="28"/>
              <w:szCs w:val="28"/>
            </w:rPr>
            <w:fldChar w:fldCharType="end"/>
          </w:r>
          <w:r>
            <w:rPr>
              <w:rFonts w:hint="eastAsia" w:ascii="仿宋" w:hAnsi="仿宋" w:eastAsia="仿宋" w:cs="仿宋"/>
              <w:b/>
              <w:bCs/>
              <w:sz w:val="28"/>
              <w:szCs w:val="28"/>
            </w:rPr>
            <w:fldChar w:fldCharType="end"/>
          </w:r>
        </w:p>
        <w:p>
          <w:pPr>
            <w:pStyle w:val="14"/>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_Toc22104 </w:instrText>
          </w:r>
          <w:r>
            <w:rPr>
              <w:rFonts w:hint="eastAsia" w:ascii="仿宋" w:hAnsi="仿宋" w:eastAsia="仿宋" w:cs="仿宋"/>
              <w:sz w:val="28"/>
              <w:szCs w:val="28"/>
            </w:rPr>
            <w:fldChar w:fldCharType="separate"/>
          </w:r>
          <w:r>
            <w:rPr>
              <w:rFonts w:hint="eastAsia" w:ascii="仿宋" w:hAnsi="仿宋" w:eastAsia="仿宋" w:cs="仿宋"/>
              <w:sz w:val="28"/>
              <w:szCs w:val="28"/>
            </w:rPr>
            <w:t>一、</w:t>
          </w:r>
          <w:r>
            <w:rPr>
              <w:rFonts w:hint="eastAsia" w:ascii="仿宋" w:hAnsi="仿宋" w:eastAsia="仿宋" w:cs="仿宋"/>
              <w:sz w:val="28"/>
              <w:szCs w:val="28"/>
              <w:lang w:val="en-US" w:eastAsia="zh-CN"/>
            </w:rPr>
            <w:t>主要</w:t>
          </w:r>
          <w:r>
            <w:rPr>
              <w:rFonts w:hint="eastAsia" w:ascii="仿宋" w:hAnsi="仿宋" w:eastAsia="仿宋" w:cs="仿宋"/>
              <w:sz w:val="28"/>
              <w:szCs w:val="28"/>
            </w:rPr>
            <w:t>职责</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_Toc22104 \h </w:instrText>
          </w:r>
          <w:r>
            <w:rPr>
              <w:rFonts w:hint="eastAsia" w:ascii="仿宋" w:hAnsi="仿宋" w:eastAsia="仿宋" w:cs="仿宋"/>
              <w:sz w:val="28"/>
              <w:szCs w:val="28"/>
            </w:rPr>
            <w:fldChar w:fldCharType="separate"/>
          </w:r>
          <w:r>
            <w:rPr>
              <w:rFonts w:hint="eastAsia" w:ascii="仿宋" w:hAnsi="仿宋" w:eastAsia="仿宋" w:cs="仿宋"/>
              <w:sz w:val="28"/>
              <w:szCs w:val="28"/>
            </w:rPr>
            <w:t>- 4 -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_Toc25054 </w:instrText>
          </w:r>
          <w:r>
            <w:rPr>
              <w:rFonts w:hint="eastAsia" w:ascii="仿宋" w:hAnsi="仿宋" w:eastAsia="仿宋" w:cs="仿宋"/>
              <w:sz w:val="28"/>
              <w:szCs w:val="28"/>
            </w:rPr>
            <w:fldChar w:fldCharType="separate"/>
          </w:r>
          <w:r>
            <w:rPr>
              <w:rFonts w:hint="eastAsia" w:ascii="仿宋" w:hAnsi="仿宋" w:eastAsia="仿宋" w:cs="仿宋"/>
              <w:sz w:val="28"/>
              <w:szCs w:val="28"/>
            </w:rPr>
            <w:t>二、机</w:t>
          </w:r>
          <w:r>
            <w:rPr>
              <w:rFonts w:hint="eastAsia" w:ascii="仿宋" w:hAnsi="仿宋" w:eastAsia="仿宋" w:cs="仿宋"/>
              <w:bCs w:val="0"/>
              <w:sz w:val="28"/>
              <w:szCs w:val="28"/>
            </w:rPr>
            <w:t>构设置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_Toc25054 \h </w:instrText>
          </w:r>
          <w:r>
            <w:rPr>
              <w:rFonts w:hint="eastAsia" w:ascii="仿宋" w:hAnsi="仿宋" w:eastAsia="仿宋" w:cs="仿宋"/>
              <w:sz w:val="28"/>
              <w:szCs w:val="28"/>
            </w:rPr>
            <w:fldChar w:fldCharType="separate"/>
          </w:r>
          <w:r>
            <w:rPr>
              <w:rFonts w:hint="eastAsia" w:ascii="仿宋" w:hAnsi="仿宋" w:eastAsia="仿宋" w:cs="仿宋"/>
              <w:sz w:val="28"/>
              <w:szCs w:val="28"/>
            </w:rPr>
            <w:t>- 4 -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_Toc25166 </w:instrText>
          </w:r>
          <w:r>
            <w:rPr>
              <w:rFonts w:hint="eastAsia" w:ascii="仿宋" w:hAnsi="仿宋" w:eastAsia="仿宋" w:cs="仿宋"/>
              <w:sz w:val="28"/>
              <w:szCs w:val="28"/>
            </w:rPr>
            <w:fldChar w:fldCharType="separate"/>
          </w:r>
          <w:r>
            <w:rPr>
              <w:rFonts w:hint="eastAsia" w:ascii="仿宋" w:hAnsi="仿宋" w:eastAsia="仿宋" w:cs="仿宋"/>
              <w:b/>
              <w:bCs/>
              <w:sz w:val="28"/>
              <w:szCs w:val="28"/>
            </w:rPr>
            <w:t>第二部分  2024年度部门决算情况说明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_Toc25166 \h </w:instrText>
          </w:r>
          <w:r>
            <w:rPr>
              <w:rFonts w:hint="eastAsia" w:ascii="仿宋" w:hAnsi="仿宋" w:eastAsia="仿宋" w:cs="仿宋"/>
              <w:sz w:val="28"/>
              <w:szCs w:val="28"/>
            </w:rPr>
            <w:fldChar w:fldCharType="separate"/>
          </w:r>
          <w:r>
            <w:rPr>
              <w:rFonts w:hint="eastAsia" w:ascii="仿宋" w:hAnsi="仿宋" w:eastAsia="仿宋" w:cs="仿宋"/>
              <w:sz w:val="28"/>
              <w:szCs w:val="28"/>
            </w:rPr>
            <w:t>- 5 -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spacing w:line="360" w:lineRule="auto"/>
            <w:rPr>
              <w:rFonts w:hint="eastAsia" w:ascii="仿宋" w:hAnsi="仿宋" w:eastAsia="仿宋" w:cs="仿宋"/>
              <w:b w:val="0"/>
              <w:bCs w:val="0"/>
              <w:sz w:val="28"/>
              <w:szCs w:val="28"/>
            </w:rPr>
          </w:pP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HYPERLINK \l _Toc17383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一、收入支出决算总体情况说明</w:t>
          </w:r>
          <w:r>
            <w:rPr>
              <w:rFonts w:hint="eastAsia" w:ascii="仿宋" w:hAnsi="仿宋" w:eastAsia="仿宋" w:cs="仿宋"/>
              <w:b w:val="0"/>
              <w:bCs w:val="0"/>
              <w:sz w:val="28"/>
              <w:szCs w:val="28"/>
            </w:rPr>
            <w:tab/>
          </w: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PAGEREF _Toc17383 \h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- 5 -</w:t>
          </w:r>
          <w:r>
            <w:rPr>
              <w:rFonts w:hint="eastAsia" w:ascii="仿宋" w:hAnsi="仿宋" w:eastAsia="仿宋" w:cs="仿宋"/>
              <w:b w:val="0"/>
              <w:bCs w:val="0"/>
              <w:sz w:val="28"/>
              <w:szCs w:val="28"/>
            </w:rPr>
            <w:fldChar w:fldCharType="end"/>
          </w:r>
          <w:r>
            <w:rPr>
              <w:rFonts w:hint="eastAsia" w:ascii="仿宋" w:hAnsi="仿宋" w:eastAsia="仿宋" w:cs="仿宋"/>
              <w:b w:val="0"/>
              <w:bCs w:val="0"/>
              <w:sz w:val="28"/>
              <w:szCs w:val="28"/>
            </w:rPr>
            <w:fldChar w:fldCharType="end"/>
          </w:r>
        </w:p>
        <w:p>
          <w:pPr>
            <w:pStyle w:val="14"/>
            <w:tabs>
              <w:tab w:val="right" w:leader="dot" w:pos="8306"/>
              <w:tab w:val="clear" w:pos="8296"/>
            </w:tabs>
            <w:spacing w:line="360" w:lineRule="auto"/>
            <w:rPr>
              <w:rFonts w:hint="eastAsia" w:ascii="仿宋" w:hAnsi="仿宋" w:eastAsia="仿宋" w:cs="仿宋"/>
              <w:b w:val="0"/>
              <w:bCs w:val="0"/>
              <w:sz w:val="28"/>
              <w:szCs w:val="28"/>
            </w:rPr>
          </w:pP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HYPERLINK \l _Toc21137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二、收入决算情况说明</w:t>
          </w:r>
          <w:r>
            <w:rPr>
              <w:rFonts w:hint="eastAsia" w:ascii="仿宋" w:hAnsi="仿宋" w:eastAsia="仿宋" w:cs="仿宋"/>
              <w:b w:val="0"/>
              <w:bCs w:val="0"/>
              <w:sz w:val="28"/>
              <w:szCs w:val="28"/>
            </w:rPr>
            <w:tab/>
          </w: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PAGEREF _Toc21137 \h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- 5 -</w:t>
          </w:r>
          <w:r>
            <w:rPr>
              <w:rFonts w:hint="eastAsia" w:ascii="仿宋" w:hAnsi="仿宋" w:eastAsia="仿宋" w:cs="仿宋"/>
              <w:b w:val="0"/>
              <w:bCs w:val="0"/>
              <w:sz w:val="28"/>
              <w:szCs w:val="28"/>
            </w:rPr>
            <w:fldChar w:fldCharType="end"/>
          </w:r>
          <w:r>
            <w:rPr>
              <w:rFonts w:hint="eastAsia" w:ascii="仿宋" w:hAnsi="仿宋" w:eastAsia="仿宋" w:cs="仿宋"/>
              <w:b w:val="0"/>
              <w:bCs w:val="0"/>
              <w:sz w:val="28"/>
              <w:szCs w:val="28"/>
            </w:rPr>
            <w:fldChar w:fldCharType="end"/>
          </w:r>
        </w:p>
        <w:p>
          <w:pPr>
            <w:pStyle w:val="14"/>
            <w:tabs>
              <w:tab w:val="right" w:leader="dot" w:pos="8306"/>
              <w:tab w:val="clear" w:pos="8296"/>
            </w:tabs>
            <w:spacing w:line="360" w:lineRule="auto"/>
            <w:rPr>
              <w:rFonts w:hint="eastAsia" w:ascii="仿宋" w:hAnsi="仿宋" w:eastAsia="仿宋" w:cs="仿宋"/>
              <w:b w:val="0"/>
              <w:bCs w:val="0"/>
              <w:sz w:val="28"/>
              <w:szCs w:val="28"/>
            </w:rPr>
          </w:pP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HYPERLINK \l _Toc14246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三、支出决算情况说明</w:t>
          </w:r>
          <w:r>
            <w:rPr>
              <w:rFonts w:hint="eastAsia" w:ascii="仿宋" w:hAnsi="仿宋" w:eastAsia="仿宋" w:cs="仿宋"/>
              <w:b w:val="0"/>
              <w:bCs w:val="0"/>
              <w:sz w:val="28"/>
              <w:szCs w:val="28"/>
            </w:rPr>
            <w:tab/>
          </w: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PAGEREF _Toc14246 \h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- 6 -</w:t>
          </w:r>
          <w:r>
            <w:rPr>
              <w:rFonts w:hint="eastAsia" w:ascii="仿宋" w:hAnsi="仿宋" w:eastAsia="仿宋" w:cs="仿宋"/>
              <w:b w:val="0"/>
              <w:bCs w:val="0"/>
              <w:sz w:val="28"/>
              <w:szCs w:val="28"/>
            </w:rPr>
            <w:fldChar w:fldCharType="end"/>
          </w:r>
          <w:r>
            <w:rPr>
              <w:rFonts w:hint="eastAsia" w:ascii="仿宋" w:hAnsi="仿宋" w:eastAsia="仿宋" w:cs="仿宋"/>
              <w:b w:val="0"/>
              <w:bCs w:val="0"/>
              <w:sz w:val="28"/>
              <w:szCs w:val="28"/>
            </w:rPr>
            <w:fldChar w:fldCharType="end"/>
          </w:r>
        </w:p>
        <w:p>
          <w:pPr>
            <w:pStyle w:val="14"/>
            <w:tabs>
              <w:tab w:val="right" w:leader="dot" w:pos="8306"/>
              <w:tab w:val="clear" w:pos="8296"/>
            </w:tabs>
            <w:spacing w:line="360" w:lineRule="auto"/>
            <w:rPr>
              <w:rFonts w:hint="eastAsia" w:ascii="仿宋" w:hAnsi="仿宋" w:eastAsia="仿宋" w:cs="仿宋"/>
              <w:b w:val="0"/>
              <w:bCs w:val="0"/>
              <w:sz w:val="28"/>
              <w:szCs w:val="28"/>
            </w:rPr>
          </w:pP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HYPERLINK \l _Toc4826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四、财政拨款收入支出决算总体情况说明</w:t>
          </w:r>
          <w:r>
            <w:rPr>
              <w:rFonts w:hint="eastAsia" w:ascii="仿宋" w:hAnsi="仿宋" w:eastAsia="仿宋" w:cs="仿宋"/>
              <w:b w:val="0"/>
              <w:bCs w:val="0"/>
              <w:sz w:val="28"/>
              <w:szCs w:val="28"/>
            </w:rPr>
            <w:tab/>
          </w: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PAGEREF _Toc4826 \h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- 6 -</w:t>
          </w:r>
          <w:r>
            <w:rPr>
              <w:rFonts w:hint="eastAsia" w:ascii="仿宋" w:hAnsi="仿宋" w:eastAsia="仿宋" w:cs="仿宋"/>
              <w:b w:val="0"/>
              <w:bCs w:val="0"/>
              <w:sz w:val="28"/>
              <w:szCs w:val="28"/>
            </w:rPr>
            <w:fldChar w:fldCharType="end"/>
          </w:r>
          <w:r>
            <w:rPr>
              <w:rFonts w:hint="eastAsia" w:ascii="仿宋" w:hAnsi="仿宋" w:eastAsia="仿宋" w:cs="仿宋"/>
              <w:b w:val="0"/>
              <w:bCs w:val="0"/>
              <w:sz w:val="28"/>
              <w:szCs w:val="28"/>
            </w:rPr>
            <w:fldChar w:fldCharType="end"/>
          </w:r>
        </w:p>
        <w:p>
          <w:pPr>
            <w:pStyle w:val="14"/>
            <w:tabs>
              <w:tab w:val="right" w:leader="dot" w:pos="8306"/>
              <w:tab w:val="clear" w:pos="8296"/>
            </w:tabs>
            <w:spacing w:line="360" w:lineRule="auto"/>
            <w:rPr>
              <w:rFonts w:hint="eastAsia" w:ascii="仿宋" w:hAnsi="仿宋" w:eastAsia="仿宋" w:cs="仿宋"/>
              <w:b w:val="0"/>
              <w:bCs w:val="0"/>
              <w:sz w:val="28"/>
              <w:szCs w:val="28"/>
            </w:rPr>
          </w:pP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HYPERLINK \l _Toc26832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五、一般公共预算财政拨款支出决算情况说明</w:t>
          </w:r>
          <w:r>
            <w:rPr>
              <w:rFonts w:hint="eastAsia" w:ascii="仿宋" w:hAnsi="仿宋" w:eastAsia="仿宋" w:cs="仿宋"/>
              <w:b w:val="0"/>
              <w:bCs w:val="0"/>
              <w:sz w:val="28"/>
              <w:szCs w:val="28"/>
            </w:rPr>
            <w:tab/>
          </w: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PAGEREF _Toc26832 \h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- 7 -</w:t>
          </w:r>
          <w:r>
            <w:rPr>
              <w:rFonts w:hint="eastAsia" w:ascii="仿宋" w:hAnsi="仿宋" w:eastAsia="仿宋" w:cs="仿宋"/>
              <w:b w:val="0"/>
              <w:bCs w:val="0"/>
              <w:sz w:val="28"/>
              <w:szCs w:val="28"/>
            </w:rPr>
            <w:fldChar w:fldCharType="end"/>
          </w:r>
          <w:r>
            <w:rPr>
              <w:rFonts w:hint="eastAsia" w:ascii="仿宋" w:hAnsi="仿宋" w:eastAsia="仿宋" w:cs="仿宋"/>
              <w:b w:val="0"/>
              <w:bCs w:val="0"/>
              <w:sz w:val="28"/>
              <w:szCs w:val="28"/>
            </w:rPr>
            <w:fldChar w:fldCharType="end"/>
          </w:r>
        </w:p>
        <w:p>
          <w:pPr>
            <w:pStyle w:val="14"/>
            <w:tabs>
              <w:tab w:val="right" w:leader="dot" w:pos="8306"/>
              <w:tab w:val="clear" w:pos="8296"/>
            </w:tabs>
            <w:spacing w:line="360" w:lineRule="auto"/>
            <w:rPr>
              <w:rFonts w:hint="eastAsia" w:ascii="仿宋" w:hAnsi="仿宋" w:eastAsia="仿宋" w:cs="仿宋"/>
              <w:b w:val="0"/>
              <w:bCs w:val="0"/>
              <w:sz w:val="28"/>
              <w:szCs w:val="28"/>
            </w:rPr>
          </w:pP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HYPERLINK \l _Toc23403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六、一般公共预算财政拨款基本支出决算情况说明</w:t>
          </w:r>
          <w:r>
            <w:rPr>
              <w:rFonts w:hint="eastAsia" w:ascii="仿宋" w:hAnsi="仿宋" w:eastAsia="仿宋" w:cs="仿宋"/>
              <w:b w:val="0"/>
              <w:bCs w:val="0"/>
              <w:sz w:val="28"/>
              <w:szCs w:val="28"/>
            </w:rPr>
            <w:tab/>
          </w: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PAGEREF _Toc23403 \h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- 9 -</w:t>
          </w:r>
          <w:r>
            <w:rPr>
              <w:rFonts w:hint="eastAsia" w:ascii="仿宋" w:hAnsi="仿宋" w:eastAsia="仿宋" w:cs="仿宋"/>
              <w:b w:val="0"/>
              <w:bCs w:val="0"/>
              <w:sz w:val="28"/>
              <w:szCs w:val="28"/>
            </w:rPr>
            <w:fldChar w:fldCharType="end"/>
          </w:r>
          <w:r>
            <w:rPr>
              <w:rFonts w:hint="eastAsia" w:ascii="仿宋" w:hAnsi="仿宋" w:eastAsia="仿宋" w:cs="仿宋"/>
              <w:b w:val="0"/>
              <w:bCs w:val="0"/>
              <w:sz w:val="28"/>
              <w:szCs w:val="28"/>
            </w:rPr>
            <w:fldChar w:fldCharType="end"/>
          </w:r>
        </w:p>
        <w:p>
          <w:pPr>
            <w:pStyle w:val="14"/>
            <w:tabs>
              <w:tab w:val="right" w:leader="dot" w:pos="8306"/>
              <w:tab w:val="clear" w:pos="8296"/>
            </w:tabs>
            <w:spacing w:line="360" w:lineRule="auto"/>
            <w:rPr>
              <w:rFonts w:hint="eastAsia" w:ascii="仿宋" w:hAnsi="仿宋" w:eastAsia="仿宋" w:cs="仿宋"/>
              <w:b w:val="0"/>
              <w:bCs w:val="0"/>
              <w:sz w:val="28"/>
              <w:szCs w:val="28"/>
            </w:rPr>
          </w:pP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HYPERLINK \l _Toc25747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七、财政拨款“三公”经费支出决算情况说明</w:t>
          </w:r>
          <w:r>
            <w:rPr>
              <w:rFonts w:hint="eastAsia" w:ascii="仿宋" w:hAnsi="仿宋" w:eastAsia="仿宋" w:cs="仿宋"/>
              <w:b w:val="0"/>
              <w:bCs w:val="0"/>
              <w:sz w:val="28"/>
              <w:szCs w:val="28"/>
            </w:rPr>
            <w:tab/>
          </w: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PAGEREF _Toc25747 \h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- 10 -</w:t>
          </w:r>
          <w:r>
            <w:rPr>
              <w:rFonts w:hint="eastAsia" w:ascii="仿宋" w:hAnsi="仿宋" w:eastAsia="仿宋" w:cs="仿宋"/>
              <w:b w:val="0"/>
              <w:bCs w:val="0"/>
              <w:sz w:val="28"/>
              <w:szCs w:val="28"/>
            </w:rPr>
            <w:fldChar w:fldCharType="end"/>
          </w:r>
          <w:r>
            <w:rPr>
              <w:rFonts w:hint="eastAsia" w:ascii="仿宋" w:hAnsi="仿宋" w:eastAsia="仿宋" w:cs="仿宋"/>
              <w:b w:val="0"/>
              <w:bCs w:val="0"/>
              <w:sz w:val="28"/>
              <w:szCs w:val="28"/>
            </w:rPr>
            <w:fldChar w:fldCharType="end"/>
          </w:r>
        </w:p>
        <w:p>
          <w:pPr>
            <w:pStyle w:val="14"/>
            <w:tabs>
              <w:tab w:val="right" w:leader="dot" w:pos="8306"/>
              <w:tab w:val="clear" w:pos="8296"/>
            </w:tabs>
            <w:spacing w:line="360" w:lineRule="auto"/>
            <w:rPr>
              <w:rFonts w:hint="eastAsia" w:ascii="仿宋" w:hAnsi="仿宋" w:eastAsia="仿宋" w:cs="仿宋"/>
              <w:b w:val="0"/>
              <w:bCs w:val="0"/>
              <w:sz w:val="28"/>
              <w:szCs w:val="28"/>
            </w:rPr>
          </w:pP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HYPERLINK \l _Toc10975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八、政府性基金预算支出决算情况说明</w:t>
          </w:r>
          <w:r>
            <w:rPr>
              <w:rFonts w:hint="eastAsia" w:ascii="仿宋" w:hAnsi="仿宋" w:eastAsia="仿宋" w:cs="仿宋"/>
              <w:b w:val="0"/>
              <w:bCs w:val="0"/>
              <w:sz w:val="28"/>
              <w:szCs w:val="28"/>
            </w:rPr>
            <w:tab/>
          </w: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PAGEREF _Toc10975 \h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- 11 -</w:t>
          </w:r>
          <w:r>
            <w:rPr>
              <w:rFonts w:hint="eastAsia" w:ascii="仿宋" w:hAnsi="仿宋" w:eastAsia="仿宋" w:cs="仿宋"/>
              <w:b w:val="0"/>
              <w:bCs w:val="0"/>
              <w:sz w:val="28"/>
              <w:szCs w:val="28"/>
            </w:rPr>
            <w:fldChar w:fldCharType="end"/>
          </w:r>
          <w:r>
            <w:rPr>
              <w:rFonts w:hint="eastAsia" w:ascii="仿宋" w:hAnsi="仿宋" w:eastAsia="仿宋" w:cs="仿宋"/>
              <w:b w:val="0"/>
              <w:bCs w:val="0"/>
              <w:sz w:val="28"/>
              <w:szCs w:val="28"/>
            </w:rPr>
            <w:fldChar w:fldCharType="end"/>
          </w:r>
        </w:p>
        <w:p>
          <w:pPr>
            <w:pStyle w:val="14"/>
            <w:tabs>
              <w:tab w:val="right" w:leader="dot" w:pos="8306"/>
              <w:tab w:val="clear" w:pos="8296"/>
            </w:tabs>
            <w:spacing w:line="360" w:lineRule="auto"/>
            <w:rPr>
              <w:rFonts w:hint="eastAsia" w:ascii="仿宋" w:hAnsi="仿宋" w:eastAsia="仿宋" w:cs="仿宋"/>
              <w:b w:val="0"/>
              <w:bCs w:val="0"/>
              <w:sz w:val="28"/>
              <w:szCs w:val="28"/>
            </w:rPr>
          </w:pP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HYPERLINK \l _Toc25759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九、国有资本经营预算支出决算情况说明</w:t>
          </w:r>
          <w:r>
            <w:rPr>
              <w:rFonts w:hint="eastAsia" w:ascii="仿宋" w:hAnsi="仿宋" w:eastAsia="仿宋" w:cs="仿宋"/>
              <w:b w:val="0"/>
              <w:bCs w:val="0"/>
              <w:sz w:val="28"/>
              <w:szCs w:val="28"/>
            </w:rPr>
            <w:tab/>
          </w: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PAGEREF _Toc25759 \h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- 11 -</w:t>
          </w:r>
          <w:r>
            <w:rPr>
              <w:rFonts w:hint="eastAsia" w:ascii="仿宋" w:hAnsi="仿宋" w:eastAsia="仿宋" w:cs="仿宋"/>
              <w:b w:val="0"/>
              <w:bCs w:val="0"/>
              <w:sz w:val="28"/>
              <w:szCs w:val="28"/>
            </w:rPr>
            <w:fldChar w:fldCharType="end"/>
          </w:r>
          <w:r>
            <w:rPr>
              <w:rFonts w:hint="eastAsia" w:ascii="仿宋" w:hAnsi="仿宋" w:eastAsia="仿宋" w:cs="仿宋"/>
              <w:b w:val="0"/>
              <w:bCs w:val="0"/>
              <w:sz w:val="28"/>
              <w:szCs w:val="28"/>
            </w:rPr>
            <w:fldChar w:fldCharType="end"/>
          </w:r>
        </w:p>
        <w:p>
          <w:pPr>
            <w:pStyle w:val="14"/>
            <w:tabs>
              <w:tab w:val="right" w:leader="dot" w:pos="8306"/>
              <w:tab w:val="clear" w:pos="8296"/>
            </w:tabs>
            <w:spacing w:line="360" w:lineRule="auto"/>
            <w:rPr>
              <w:rFonts w:hint="eastAsia" w:ascii="仿宋" w:hAnsi="仿宋" w:eastAsia="仿宋" w:cs="仿宋"/>
              <w:b w:val="0"/>
              <w:bCs w:val="0"/>
              <w:sz w:val="28"/>
              <w:szCs w:val="28"/>
            </w:rPr>
          </w:pP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HYPERLINK \l _Toc15266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十、其他重要事项的情况说明</w:t>
          </w:r>
          <w:r>
            <w:rPr>
              <w:rFonts w:hint="eastAsia" w:ascii="仿宋" w:hAnsi="仿宋" w:eastAsia="仿宋" w:cs="仿宋"/>
              <w:b w:val="0"/>
              <w:bCs w:val="0"/>
              <w:sz w:val="28"/>
              <w:szCs w:val="28"/>
            </w:rPr>
            <w:tab/>
          </w:r>
          <w:r>
            <w:rPr>
              <w:rFonts w:hint="eastAsia" w:ascii="仿宋" w:hAnsi="仿宋" w:eastAsia="仿宋" w:cs="仿宋"/>
              <w:b w:val="0"/>
              <w:bCs w:val="0"/>
              <w:sz w:val="28"/>
              <w:szCs w:val="28"/>
            </w:rPr>
            <w:fldChar w:fldCharType="begin"/>
          </w:r>
          <w:r>
            <w:rPr>
              <w:rFonts w:hint="eastAsia" w:ascii="仿宋" w:hAnsi="仿宋" w:eastAsia="仿宋" w:cs="仿宋"/>
              <w:b w:val="0"/>
              <w:bCs w:val="0"/>
              <w:sz w:val="28"/>
              <w:szCs w:val="28"/>
            </w:rPr>
            <w:instrText xml:space="preserve"> PAGEREF _Toc15266 \h </w:instrText>
          </w:r>
          <w:r>
            <w:rPr>
              <w:rFonts w:hint="eastAsia" w:ascii="仿宋" w:hAnsi="仿宋" w:eastAsia="仿宋" w:cs="仿宋"/>
              <w:b w:val="0"/>
              <w:bCs w:val="0"/>
              <w:sz w:val="28"/>
              <w:szCs w:val="28"/>
            </w:rPr>
            <w:fldChar w:fldCharType="separate"/>
          </w:r>
          <w:r>
            <w:rPr>
              <w:rFonts w:hint="eastAsia" w:ascii="仿宋" w:hAnsi="仿宋" w:eastAsia="仿宋" w:cs="仿宋"/>
              <w:b w:val="0"/>
              <w:bCs w:val="0"/>
              <w:sz w:val="28"/>
              <w:szCs w:val="28"/>
            </w:rPr>
            <w:t>- 11 -</w:t>
          </w:r>
          <w:r>
            <w:rPr>
              <w:rFonts w:hint="eastAsia" w:ascii="仿宋" w:hAnsi="仿宋" w:eastAsia="仿宋" w:cs="仿宋"/>
              <w:b w:val="0"/>
              <w:bCs w:val="0"/>
              <w:sz w:val="28"/>
              <w:szCs w:val="28"/>
            </w:rPr>
            <w:fldChar w:fldCharType="end"/>
          </w:r>
          <w:r>
            <w:rPr>
              <w:rFonts w:hint="eastAsia" w:ascii="仿宋" w:hAnsi="仿宋" w:eastAsia="仿宋" w:cs="仿宋"/>
              <w:b w:val="0"/>
              <w:bCs w:val="0"/>
              <w:sz w:val="28"/>
              <w:szCs w:val="28"/>
            </w:rPr>
            <w:fldChar w:fldCharType="end"/>
          </w:r>
        </w:p>
        <w:p>
          <w:pPr>
            <w:pStyle w:val="12"/>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_Toc27460 </w:instrText>
          </w:r>
          <w:r>
            <w:rPr>
              <w:rFonts w:hint="eastAsia" w:ascii="仿宋" w:hAnsi="仿宋" w:eastAsia="仿宋" w:cs="仿宋"/>
              <w:sz w:val="28"/>
              <w:szCs w:val="28"/>
            </w:rPr>
            <w:fldChar w:fldCharType="separate"/>
          </w:r>
          <w:r>
            <w:rPr>
              <w:rFonts w:hint="eastAsia" w:ascii="仿宋" w:hAnsi="仿宋" w:eastAsia="仿宋" w:cs="仿宋"/>
              <w:b/>
              <w:bCs/>
              <w:sz w:val="28"/>
              <w:szCs w:val="28"/>
            </w:rPr>
            <w:t>第三部分  名词解释</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_Toc27460 \h </w:instrText>
          </w:r>
          <w:r>
            <w:rPr>
              <w:rFonts w:hint="eastAsia" w:ascii="仿宋" w:hAnsi="仿宋" w:eastAsia="仿宋" w:cs="仿宋"/>
              <w:sz w:val="28"/>
              <w:szCs w:val="28"/>
            </w:rPr>
            <w:fldChar w:fldCharType="separate"/>
          </w:r>
          <w:r>
            <w:rPr>
              <w:rFonts w:hint="eastAsia" w:ascii="仿宋" w:hAnsi="仿宋" w:eastAsia="仿宋" w:cs="仿宋"/>
              <w:sz w:val="28"/>
              <w:szCs w:val="28"/>
            </w:rPr>
            <w:t>- 13 -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_Toc14860 </w:instrText>
          </w:r>
          <w:r>
            <w:rPr>
              <w:rFonts w:hint="eastAsia" w:ascii="仿宋" w:hAnsi="仿宋" w:eastAsia="仿宋" w:cs="仿宋"/>
              <w:sz w:val="28"/>
              <w:szCs w:val="28"/>
            </w:rPr>
            <w:fldChar w:fldCharType="separate"/>
          </w:r>
          <w:r>
            <w:rPr>
              <w:rFonts w:hint="eastAsia" w:ascii="仿宋" w:hAnsi="仿宋" w:eastAsia="仿宋" w:cs="仿宋"/>
              <w:b/>
              <w:bCs/>
              <w:sz w:val="28"/>
              <w:szCs w:val="28"/>
            </w:rPr>
            <w:t>第四部分  附件</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_Toc14860 \h </w:instrText>
          </w:r>
          <w:r>
            <w:rPr>
              <w:rFonts w:hint="eastAsia" w:ascii="仿宋" w:hAnsi="仿宋" w:eastAsia="仿宋" w:cs="仿宋"/>
              <w:sz w:val="28"/>
              <w:szCs w:val="28"/>
            </w:rPr>
            <w:fldChar w:fldCharType="separate"/>
          </w:r>
          <w:r>
            <w:rPr>
              <w:rFonts w:hint="eastAsia" w:ascii="仿宋" w:hAnsi="仿宋" w:eastAsia="仿宋" w:cs="仿宋"/>
              <w:sz w:val="28"/>
              <w:szCs w:val="28"/>
            </w:rPr>
            <w:t>- 15 -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2"/>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_Toc409 </w:instrText>
          </w:r>
          <w:r>
            <w:rPr>
              <w:rFonts w:hint="eastAsia" w:ascii="仿宋" w:hAnsi="仿宋" w:eastAsia="仿宋" w:cs="仿宋"/>
              <w:sz w:val="28"/>
              <w:szCs w:val="28"/>
            </w:rPr>
            <w:fldChar w:fldCharType="separate"/>
          </w:r>
          <w:r>
            <w:rPr>
              <w:rFonts w:hint="eastAsia" w:ascii="仿宋" w:hAnsi="仿宋" w:eastAsia="仿宋" w:cs="仿宋"/>
              <w:b/>
              <w:bCs/>
              <w:sz w:val="28"/>
              <w:szCs w:val="28"/>
            </w:rPr>
            <w:t>第五部分 附表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_Toc409 \h </w:instrText>
          </w:r>
          <w:r>
            <w:rPr>
              <w:rFonts w:hint="eastAsia" w:ascii="仿宋" w:hAnsi="仿宋" w:eastAsia="仿宋" w:cs="仿宋"/>
              <w:sz w:val="28"/>
              <w:szCs w:val="28"/>
            </w:rPr>
            <w:fldChar w:fldCharType="separate"/>
          </w:r>
          <w:r>
            <w:rPr>
              <w:rFonts w:hint="eastAsia" w:ascii="仿宋" w:hAnsi="仿宋" w:eastAsia="仿宋" w:cs="仿宋"/>
              <w:sz w:val="28"/>
              <w:szCs w:val="28"/>
            </w:rPr>
            <w:t>- 22 -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_Toc26740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一、收入支出决算总表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_Toc26740 \h </w:instrText>
          </w:r>
          <w:r>
            <w:rPr>
              <w:rFonts w:hint="eastAsia" w:ascii="仿宋" w:hAnsi="仿宋" w:eastAsia="仿宋" w:cs="仿宋"/>
              <w:sz w:val="28"/>
              <w:szCs w:val="28"/>
            </w:rPr>
            <w:fldChar w:fldCharType="separate"/>
          </w:r>
          <w:r>
            <w:rPr>
              <w:rFonts w:hint="eastAsia" w:ascii="仿宋" w:hAnsi="仿宋" w:eastAsia="仿宋" w:cs="仿宋"/>
              <w:sz w:val="28"/>
              <w:szCs w:val="28"/>
            </w:rPr>
            <w:t>- 22 -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_Toc12238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二、收入决算表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_Toc12238 \h </w:instrText>
          </w:r>
          <w:r>
            <w:rPr>
              <w:rFonts w:hint="eastAsia" w:ascii="仿宋" w:hAnsi="仿宋" w:eastAsia="仿宋" w:cs="仿宋"/>
              <w:sz w:val="28"/>
              <w:szCs w:val="28"/>
            </w:rPr>
            <w:fldChar w:fldCharType="separate"/>
          </w:r>
          <w:r>
            <w:rPr>
              <w:rFonts w:hint="eastAsia" w:ascii="仿宋" w:hAnsi="仿宋" w:eastAsia="仿宋" w:cs="仿宋"/>
              <w:sz w:val="28"/>
              <w:szCs w:val="28"/>
            </w:rPr>
            <w:t>- 22 -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_Toc2228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三、支出决算表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_Toc2228 \h </w:instrText>
          </w:r>
          <w:r>
            <w:rPr>
              <w:rFonts w:hint="eastAsia" w:ascii="仿宋" w:hAnsi="仿宋" w:eastAsia="仿宋" w:cs="仿宋"/>
              <w:sz w:val="28"/>
              <w:szCs w:val="28"/>
            </w:rPr>
            <w:fldChar w:fldCharType="separate"/>
          </w:r>
          <w:r>
            <w:rPr>
              <w:rFonts w:hint="eastAsia" w:ascii="仿宋" w:hAnsi="仿宋" w:eastAsia="仿宋" w:cs="仿宋"/>
              <w:sz w:val="28"/>
              <w:szCs w:val="28"/>
            </w:rPr>
            <w:t>- 22 -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_Toc18706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四、财政拨款收入支出决算总表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_Toc18706 \h </w:instrText>
          </w:r>
          <w:r>
            <w:rPr>
              <w:rFonts w:hint="eastAsia" w:ascii="仿宋" w:hAnsi="仿宋" w:eastAsia="仿宋" w:cs="仿宋"/>
              <w:sz w:val="28"/>
              <w:szCs w:val="28"/>
            </w:rPr>
            <w:fldChar w:fldCharType="separate"/>
          </w:r>
          <w:r>
            <w:rPr>
              <w:rFonts w:hint="eastAsia" w:ascii="仿宋" w:hAnsi="仿宋" w:eastAsia="仿宋" w:cs="仿宋"/>
              <w:sz w:val="28"/>
              <w:szCs w:val="28"/>
            </w:rPr>
            <w:t>- 22 -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_Toc24311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五、财政拨款支出决算明细表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_Toc24311 \h </w:instrText>
          </w:r>
          <w:r>
            <w:rPr>
              <w:rFonts w:hint="eastAsia" w:ascii="仿宋" w:hAnsi="仿宋" w:eastAsia="仿宋" w:cs="仿宋"/>
              <w:sz w:val="28"/>
              <w:szCs w:val="28"/>
            </w:rPr>
            <w:fldChar w:fldCharType="separate"/>
          </w:r>
          <w:r>
            <w:rPr>
              <w:rFonts w:hint="eastAsia" w:ascii="仿宋" w:hAnsi="仿宋" w:eastAsia="仿宋" w:cs="仿宋"/>
              <w:sz w:val="28"/>
              <w:szCs w:val="28"/>
            </w:rPr>
            <w:t>- 22 -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_Toc12219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六、一般公共预算财政拨款支出决算表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_Toc12219 \h </w:instrText>
          </w:r>
          <w:r>
            <w:rPr>
              <w:rFonts w:hint="eastAsia" w:ascii="仿宋" w:hAnsi="仿宋" w:eastAsia="仿宋" w:cs="仿宋"/>
              <w:sz w:val="28"/>
              <w:szCs w:val="28"/>
            </w:rPr>
            <w:fldChar w:fldCharType="separate"/>
          </w:r>
          <w:r>
            <w:rPr>
              <w:rFonts w:hint="eastAsia" w:ascii="仿宋" w:hAnsi="仿宋" w:eastAsia="仿宋" w:cs="仿宋"/>
              <w:sz w:val="28"/>
              <w:szCs w:val="28"/>
            </w:rPr>
            <w:t>- 22 -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_Toc32710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七、一般公共预算财政拨款支出决算明细表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_Toc32710 \h </w:instrText>
          </w:r>
          <w:r>
            <w:rPr>
              <w:rFonts w:hint="eastAsia" w:ascii="仿宋" w:hAnsi="仿宋" w:eastAsia="仿宋" w:cs="仿宋"/>
              <w:sz w:val="28"/>
              <w:szCs w:val="28"/>
            </w:rPr>
            <w:fldChar w:fldCharType="separate"/>
          </w:r>
          <w:r>
            <w:rPr>
              <w:rFonts w:hint="eastAsia" w:ascii="仿宋" w:hAnsi="仿宋" w:eastAsia="仿宋" w:cs="仿宋"/>
              <w:sz w:val="28"/>
              <w:szCs w:val="28"/>
            </w:rPr>
            <w:t>- 22 -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_Toc7054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八、一般公共预算财政拨款基本支出决算表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_Toc7054 \h </w:instrText>
          </w:r>
          <w:r>
            <w:rPr>
              <w:rFonts w:hint="eastAsia" w:ascii="仿宋" w:hAnsi="仿宋" w:eastAsia="仿宋" w:cs="仿宋"/>
              <w:sz w:val="28"/>
              <w:szCs w:val="28"/>
            </w:rPr>
            <w:fldChar w:fldCharType="separate"/>
          </w:r>
          <w:r>
            <w:rPr>
              <w:rFonts w:hint="eastAsia" w:ascii="仿宋" w:hAnsi="仿宋" w:eastAsia="仿宋" w:cs="仿宋"/>
              <w:sz w:val="28"/>
              <w:szCs w:val="28"/>
            </w:rPr>
            <w:t>- 22 -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_Toc27567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九、一般公共预算财政拨款项目支出决算表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_Toc27567 \h </w:instrText>
          </w:r>
          <w:r>
            <w:rPr>
              <w:rFonts w:hint="eastAsia" w:ascii="仿宋" w:hAnsi="仿宋" w:eastAsia="仿宋" w:cs="仿宋"/>
              <w:sz w:val="28"/>
              <w:szCs w:val="28"/>
            </w:rPr>
            <w:fldChar w:fldCharType="separate"/>
          </w:r>
          <w:r>
            <w:rPr>
              <w:rFonts w:hint="eastAsia" w:ascii="仿宋" w:hAnsi="仿宋" w:eastAsia="仿宋" w:cs="仿宋"/>
              <w:sz w:val="28"/>
              <w:szCs w:val="28"/>
            </w:rPr>
            <w:t>- 22 -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_Toc31571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十、政府性基金预算财政拨款收入支出决算表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_Toc31571 \h </w:instrText>
          </w:r>
          <w:r>
            <w:rPr>
              <w:rFonts w:hint="eastAsia" w:ascii="仿宋" w:hAnsi="仿宋" w:eastAsia="仿宋" w:cs="仿宋"/>
              <w:sz w:val="28"/>
              <w:szCs w:val="28"/>
            </w:rPr>
            <w:fldChar w:fldCharType="separate"/>
          </w:r>
          <w:r>
            <w:rPr>
              <w:rFonts w:hint="eastAsia" w:ascii="仿宋" w:hAnsi="仿宋" w:eastAsia="仿宋" w:cs="仿宋"/>
              <w:sz w:val="28"/>
              <w:szCs w:val="28"/>
            </w:rPr>
            <w:t>- 22 -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_Toc19711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十一、国有资本经营预算财政拨款收入支出决算表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_Toc19711 \h </w:instrText>
          </w:r>
          <w:r>
            <w:rPr>
              <w:rFonts w:hint="eastAsia" w:ascii="仿宋" w:hAnsi="仿宋" w:eastAsia="仿宋" w:cs="仿宋"/>
              <w:sz w:val="28"/>
              <w:szCs w:val="28"/>
            </w:rPr>
            <w:fldChar w:fldCharType="separate"/>
          </w:r>
          <w:r>
            <w:rPr>
              <w:rFonts w:hint="eastAsia" w:ascii="仿宋" w:hAnsi="仿宋" w:eastAsia="仿宋" w:cs="仿宋"/>
              <w:sz w:val="28"/>
              <w:szCs w:val="28"/>
            </w:rPr>
            <w:t>- 22 -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spacing w:line="360" w:lineRule="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_Toc5157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十二、国有资本经营预算财政拨款支出决算表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_Toc5157 \h </w:instrText>
          </w:r>
          <w:r>
            <w:rPr>
              <w:rFonts w:hint="eastAsia" w:ascii="仿宋" w:hAnsi="仿宋" w:eastAsia="仿宋" w:cs="仿宋"/>
              <w:sz w:val="28"/>
              <w:szCs w:val="28"/>
            </w:rPr>
            <w:fldChar w:fldCharType="separate"/>
          </w:r>
          <w:r>
            <w:rPr>
              <w:rFonts w:hint="eastAsia" w:ascii="仿宋" w:hAnsi="仿宋" w:eastAsia="仿宋" w:cs="仿宋"/>
              <w:sz w:val="28"/>
              <w:szCs w:val="28"/>
            </w:rPr>
            <w:t>- 22 -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tabs>
              <w:tab w:val="right" w:leader="dot" w:pos="8306"/>
              <w:tab w:val="clear" w:pos="8296"/>
            </w:tabs>
            <w:spacing w:line="360" w:lineRule="auto"/>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_Toc4192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十三、财政拨款“三公”经费支出决算表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_Toc4192 \h </w:instrText>
          </w:r>
          <w:r>
            <w:rPr>
              <w:rFonts w:hint="eastAsia" w:ascii="仿宋" w:hAnsi="仿宋" w:eastAsia="仿宋" w:cs="仿宋"/>
              <w:sz w:val="28"/>
              <w:szCs w:val="28"/>
            </w:rPr>
            <w:fldChar w:fldCharType="separate"/>
          </w:r>
          <w:r>
            <w:rPr>
              <w:rFonts w:hint="eastAsia" w:ascii="仿宋" w:hAnsi="仿宋" w:eastAsia="仿宋" w:cs="仿宋"/>
              <w:sz w:val="28"/>
              <w:szCs w:val="28"/>
            </w:rPr>
            <w:t>- 22 -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spacing w:line="360" w:lineRule="auto"/>
            <w:rPr>
              <w:rFonts w:hint="default" w:ascii="Times New Roman" w:hAnsi="Times New Roman" w:eastAsia="宋体" w:cs="Times New Roman"/>
              <w:kern w:val="2"/>
              <w:sz w:val="21"/>
              <w:szCs w:val="24"/>
              <w:lang w:val="en-US" w:eastAsia="zh-CN" w:bidi="ar-SA"/>
            </w:rPr>
          </w:pPr>
          <w:r>
            <w:rPr>
              <w:rFonts w:hint="default"/>
            </w:rPr>
            <w:fldChar w:fldCharType="end"/>
          </w:r>
        </w:p>
      </w:sdtContent>
    </w:sdt>
    <w:p>
      <w:pPr>
        <w:widowControl/>
        <w:spacing w:line="560" w:lineRule="exact"/>
        <w:jc w:val="left"/>
        <w:rPr>
          <w:rFonts w:hint="default" w:ascii="Times New Roman" w:hAnsi="Times New Roman" w:eastAsia="仿宋_GB2312" w:cs="Times New Roman"/>
          <w:bCs/>
          <w:kern w:val="44"/>
          <w:sz w:val="32"/>
          <w:szCs w:val="32"/>
        </w:rPr>
      </w:pPr>
      <w:bookmarkStart w:id="6" w:name="_Toc15396599"/>
      <w:bookmarkStart w:id="7" w:name="_Toc15377196"/>
      <w:r>
        <w:rPr>
          <w:rFonts w:hint="default" w:ascii="Times New Roman" w:hAnsi="Times New Roman" w:eastAsia="仿宋_GB2312" w:cs="Times New Roman"/>
          <w:b/>
          <w:sz w:val="32"/>
          <w:szCs w:val="32"/>
        </w:rPr>
        <w:br w:type="page"/>
      </w:r>
    </w:p>
    <w:p>
      <w:pPr>
        <w:pStyle w:val="3"/>
        <w:jc w:val="center"/>
        <w:rPr>
          <w:rStyle w:val="28"/>
          <w:rFonts w:hint="default" w:ascii="Times New Roman" w:hAnsi="Times New Roman" w:eastAsia="方正小标宋简体" w:cs="Times New Roman"/>
          <w:b/>
          <w:bCs w:val="0"/>
        </w:rPr>
      </w:pPr>
      <w:bookmarkStart w:id="8" w:name="_Toc22983"/>
      <w:r>
        <w:rPr>
          <w:rFonts w:hint="default" w:ascii="Times New Roman" w:hAnsi="Times New Roman" w:eastAsia="方正小标宋简体" w:cs="Times New Roman"/>
          <w:b w:val="0"/>
        </w:rPr>
        <w:t xml:space="preserve">第一部分  </w:t>
      </w:r>
      <w:r>
        <w:rPr>
          <w:rStyle w:val="28"/>
          <w:rFonts w:hint="default" w:ascii="Times New Roman" w:hAnsi="Times New Roman" w:eastAsia="方正小标宋简体" w:cs="Times New Roman"/>
          <w:b w:val="0"/>
          <w:bCs w:val="0"/>
          <w:lang w:val="en-US" w:eastAsia="zh-CN"/>
        </w:rPr>
        <w:t>单位</w:t>
      </w:r>
      <w:r>
        <w:rPr>
          <w:rStyle w:val="28"/>
          <w:rFonts w:hint="default" w:ascii="Times New Roman" w:hAnsi="Times New Roman" w:eastAsia="方正小标宋简体" w:cs="Times New Roman"/>
          <w:b w:val="0"/>
          <w:bCs w:val="0"/>
        </w:rPr>
        <w:t>概况</w:t>
      </w:r>
      <w:bookmarkEnd w:id="6"/>
      <w:bookmarkEnd w:id="7"/>
      <w:bookmarkEnd w:id="8"/>
    </w:p>
    <w:p>
      <w:pPr>
        <w:pStyle w:val="4"/>
        <w:numPr>
          <w:ilvl w:val="0"/>
          <w:numId w:val="1"/>
        </w:numPr>
        <w:rPr>
          <w:rFonts w:hint="default" w:ascii="Times New Roman" w:hAnsi="Times New Roman" w:eastAsia="黑体" w:cs="Times New Roman"/>
          <w:b w:val="0"/>
        </w:rPr>
      </w:pPr>
      <w:bookmarkStart w:id="9" w:name="_Toc22104"/>
      <w:r>
        <w:rPr>
          <w:rFonts w:hint="default" w:ascii="Times New Roman" w:hAnsi="Times New Roman" w:eastAsia="黑体" w:cs="Times New Roman"/>
          <w:b w:val="0"/>
          <w:lang w:val="en-US" w:eastAsia="zh-CN"/>
        </w:rPr>
        <w:t>主要</w:t>
      </w:r>
      <w:r>
        <w:rPr>
          <w:rFonts w:hint="default" w:ascii="Times New Roman" w:hAnsi="Times New Roman" w:eastAsia="黑体" w:cs="Times New Roman"/>
          <w:b w:val="0"/>
        </w:rPr>
        <w:t>职责</w:t>
      </w:r>
      <w:bookmarkEnd w:id="9"/>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阿坝州公路隧道管理处前身为四川省交通运输厅鹧鸪山隧道管理处，2016年1月经阿坝州人民政府与四川省交通运输厅达成整体划转移交协议，将原鹧鸪山隧道管理处划转移交给阿坝州人民政府。根据《中共阿坝州委机构编制委员会关于设立阿坝州公路隧道管理处请示的批复》（阿编发〔2016〕5号）文件精神，撤销了省交通运输厅下划的鹧鸪山隧道管理处，设立阿坝州公</w:t>
      </w:r>
      <w:r>
        <w:rPr>
          <w:rFonts w:hint="eastAsia" w:eastAsia="仿宋_GB2312" w:cs="Times New Roman"/>
          <w:sz w:val="32"/>
          <w:szCs w:val="32"/>
          <w:lang w:val="en-US" w:eastAsia="zh-CN"/>
        </w:rPr>
        <w:t>路</w:t>
      </w:r>
      <w:r>
        <w:rPr>
          <w:rFonts w:hint="default" w:ascii="Times New Roman" w:hAnsi="Times New Roman" w:eastAsia="仿宋_GB2312" w:cs="Times New Roman"/>
          <w:sz w:val="32"/>
          <w:szCs w:val="32"/>
          <w:lang w:val="en-US" w:eastAsia="zh-CN"/>
        </w:rPr>
        <w:t>隧道管理处，隶属于阿坝州公路管理局，为副县级公益一类事业单位，在州公路局的统筹安排下指导全州隧道管理工作。</w:t>
      </w:r>
    </w:p>
    <w:p>
      <w:pPr>
        <w:pStyle w:val="4"/>
        <w:rPr>
          <w:rStyle w:val="29"/>
          <w:rFonts w:hint="default" w:ascii="Times New Roman" w:hAnsi="Times New Roman" w:cs="Times New Roman"/>
          <w:b w:val="0"/>
          <w:bCs w:val="0"/>
        </w:rPr>
      </w:pPr>
      <w:bookmarkStart w:id="10" w:name="_Toc15377200"/>
      <w:bookmarkStart w:id="11" w:name="_Toc25054"/>
      <w:bookmarkStart w:id="12" w:name="_Toc15396601"/>
      <w:r>
        <w:rPr>
          <w:rFonts w:hint="default" w:ascii="Times New Roman" w:hAnsi="Times New Roman" w:eastAsia="黑体" w:cs="Times New Roman"/>
          <w:b w:val="0"/>
        </w:rPr>
        <w:t>二、机</w:t>
      </w:r>
      <w:r>
        <w:rPr>
          <w:rStyle w:val="29"/>
          <w:rFonts w:hint="default" w:ascii="Times New Roman" w:hAnsi="Times New Roman" w:eastAsia="黑体" w:cs="Times New Roman"/>
          <w:b w:val="0"/>
          <w:bCs w:val="0"/>
        </w:rPr>
        <w:t>构设置</w:t>
      </w:r>
      <w:bookmarkEnd w:id="10"/>
      <w:bookmarkEnd w:id="11"/>
      <w:bookmarkEnd w:id="12"/>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隧道管理处机关下设办公室、财务科、人事科、安全科、维护科、机料科6个科室。</w:t>
      </w:r>
    </w:p>
    <w:p>
      <w:pPr>
        <w:snapToGrid w:val="0"/>
        <w:spacing w:line="5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br w:type="page"/>
      </w:r>
    </w:p>
    <w:p>
      <w:pPr>
        <w:pStyle w:val="3"/>
        <w:jc w:val="center"/>
        <w:rPr>
          <w:rFonts w:hint="default" w:ascii="Times New Roman" w:hAnsi="Times New Roman" w:eastAsia="方正小标宋简体" w:cs="Times New Roman"/>
          <w:b w:val="0"/>
        </w:rPr>
      </w:pPr>
      <w:bookmarkStart w:id="13" w:name="_Toc25166"/>
      <w:bookmarkStart w:id="14" w:name="_Toc15396602"/>
      <w:bookmarkStart w:id="15" w:name="_Toc15377204"/>
      <w:r>
        <w:rPr>
          <w:rFonts w:hint="default" w:ascii="Times New Roman" w:hAnsi="Times New Roman" w:eastAsia="方正小标宋简体" w:cs="Times New Roman"/>
          <w:b w:val="0"/>
        </w:rPr>
        <w:t>第二部分  2024年度部门决算情况说明</w:t>
      </w:r>
      <w:bookmarkEnd w:id="13"/>
      <w:bookmarkEnd w:id="14"/>
      <w:bookmarkEnd w:id="15"/>
    </w:p>
    <w:p>
      <w:pPr>
        <w:pStyle w:val="27"/>
        <w:spacing w:line="600" w:lineRule="exact"/>
        <w:ind w:firstLine="640"/>
        <w:outlineLvl w:val="1"/>
        <w:rPr>
          <w:rStyle w:val="29"/>
          <w:rFonts w:hint="default" w:ascii="Times New Roman" w:hAnsi="Times New Roman" w:eastAsia="黑体" w:cs="Times New Roman"/>
          <w:b w:val="0"/>
        </w:rPr>
      </w:pPr>
      <w:bookmarkStart w:id="16" w:name="_Toc15396603"/>
      <w:bookmarkStart w:id="17" w:name="_Toc17383"/>
      <w:bookmarkStart w:id="18" w:name="_Toc15377205"/>
      <w:r>
        <w:rPr>
          <w:rFonts w:hint="default" w:ascii="Times New Roman" w:hAnsi="Times New Roman" w:eastAsia="黑体" w:cs="Times New Roman"/>
          <w:sz w:val="32"/>
          <w:szCs w:val="32"/>
        </w:rPr>
        <w:t>一、收</w:t>
      </w:r>
      <w:r>
        <w:rPr>
          <w:rStyle w:val="29"/>
          <w:rFonts w:hint="default" w:ascii="Times New Roman" w:hAnsi="Times New Roman" w:eastAsia="黑体" w:cs="Times New Roman"/>
          <w:b w:val="0"/>
        </w:rPr>
        <w:t>入支出决算总体情况说明</w:t>
      </w:r>
      <w:bookmarkEnd w:id="16"/>
      <w:bookmarkEnd w:id="17"/>
      <w:bookmarkEnd w:id="18"/>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2024年度收入、支出总计均为2070.7万元。与2023年度相比，收入、支出总计</w:t>
      </w:r>
      <w:r>
        <w:rPr>
          <w:rFonts w:hint="eastAsia" w:eastAsia="仿宋_GB2312" w:cs="Times New Roman"/>
          <w:sz w:val="32"/>
          <w:szCs w:val="32"/>
          <w:lang w:val="en-US" w:eastAsia="zh-CN"/>
        </w:rPr>
        <w:t>增加</w:t>
      </w:r>
      <w:r>
        <w:rPr>
          <w:rFonts w:hint="default" w:ascii="Times New Roman" w:hAnsi="Times New Roman" w:eastAsia="仿宋_GB2312" w:cs="Times New Roman"/>
          <w:sz w:val="32"/>
          <w:szCs w:val="32"/>
          <w:lang w:val="en-US" w:eastAsia="zh-CN"/>
        </w:rPr>
        <w:t>366万元，</w:t>
      </w:r>
      <w:r>
        <w:rPr>
          <w:rFonts w:hint="eastAsia" w:eastAsia="仿宋_GB2312" w:cs="Times New Roman"/>
          <w:sz w:val="32"/>
          <w:szCs w:val="32"/>
          <w:lang w:val="en-US" w:eastAsia="zh-CN"/>
        </w:rPr>
        <w:t>增长</w:t>
      </w:r>
      <w:r>
        <w:rPr>
          <w:rFonts w:hint="default" w:ascii="Times New Roman" w:hAnsi="Times New Roman" w:eastAsia="仿宋_GB2312" w:cs="Times New Roman"/>
          <w:sz w:val="32"/>
          <w:szCs w:val="32"/>
          <w:lang w:val="en-US" w:eastAsia="zh-CN"/>
        </w:rPr>
        <w:t>21.5%。主要变动原因是2024年项目增加。</w:t>
      </w:r>
    </w:p>
    <w:p>
      <w:pPr>
        <w:ind w:firstLine="420" w:firstLineChars="200"/>
        <w:rPr>
          <w:rFonts w:hint="default" w:ascii="Times New Roman" w:hAnsi="Times New Roman" w:eastAsia="仿宋_GB2312" w:cs="Times New Roman"/>
          <w:sz w:val="32"/>
          <w:szCs w:val="32"/>
        </w:rPr>
      </w:pPr>
      <w:r>
        <w:rPr>
          <w:rFonts w:hint="default" w:ascii="Times New Roman" w:hAnsi="Times New Roman" w:cs="Times New Roman"/>
        </w:rPr>
        <w:drawing>
          <wp:inline distT="0" distB="0" distL="114300" distR="114300">
            <wp:extent cx="4930140" cy="2829560"/>
            <wp:effectExtent l="4445" t="4445" r="18415" b="1587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（图1：收入、支出决算总计变动情况图）</w:t>
      </w:r>
    </w:p>
    <w:p>
      <w:pPr>
        <w:pStyle w:val="27"/>
        <w:spacing w:line="600" w:lineRule="exact"/>
        <w:ind w:firstLine="640"/>
        <w:outlineLvl w:val="1"/>
        <w:rPr>
          <w:rFonts w:hint="default" w:ascii="Times New Roman" w:hAnsi="Times New Roman" w:eastAsia="黑体" w:cs="Times New Roman"/>
          <w:sz w:val="32"/>
          <w:szCs w:val="32"/>
        </w:rPr>
      </w:pPr>
      <w:bookmarkStart w:id="19" w:name="_Toc21137"/>
      <w:bookmarkStart w:id="20" w:name="_Toc15377206"/>
      <w:bookmarkStart w:id="21" w:name="_Toc15396604"/>
      <w:r>
        <w:rPr>
          <w:rFonts w:hint="default" w:ascii="Times New Roman" w:hAnsi="Times New Roman" w:eastAsia="黑体" w:cs="Times New Roman"/>
          <w:sz w:val="32"/>
          <w:szCs w:val="32"/>
        </w:rPr>
        <w:t>二、收入决算情况说明</w:t>
      </w:r>
      <w:bookmarkEnd w:id="19"/>
      <w:bookmarkEnd w:id="20"/>
      <w:bookmarkEnd w:id="21"/>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2024年度本年收入合计2070.7万元，其中：一般公共预算财政拨款收入2070.7万元，占100%。</w:t>
      </w:r>
    </w:p>
    <w:p>
      <w:pPr>
        <w:jc w:val="cente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drawing>
          <wp:anchor distT="0" distB="0" distL="114300" distR="114300" simplePos="0" relativeHeight="251659264" behindDoc="0" locked="0" layoutInCell="1" allowOverlap="1">
            <wp:simplePos x="0" y="0"/>
            <wp:positionH relativeFrom="column">
              <wp:posOffset>762000</wp:posOffset>
            </wp:positionH>
            <wp:positionV relativeFrom="paragraph">
              <wp:posOffset>75565</wp:posOffset>
            </wp:positionV>
            <wp:extent cx="3836670" cy="2522220"/>
            <wp:effectExtent l="4445" t="4445" r="14605" b="18415"/>
            <wp:wrapTopAndBottom/>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default" w:ascii="Times New Roman" w:hAnsi="Times New Roman" w:eastAsia="仿宋_GB2312" w:cs="Times New Roman"/>
          <w:sz w:val="32"/>
          <w:szCs w:val="32"/>
          <w:lang w:val="en-US" w:eastAsia="zh-CN"/>
        </w:rPr>
        <w:t>（图2：收入决算结构图）</w:t>
      </w:r>
    </w:p>
    <w:p>
      <w:pPr>
        <w:pStyle w:val="27"/>
        <w:spacing w:line="600" w:lineRule="exact"/>
        <w:ind w:firstLine="640"/>
        <w:outlineLvl w:val="1"/>
        <w:rPr>
          <w:rStyle w:val="29"/>
          <w:rFonts w:hint="default" w:ascii="Times New Roman" w:hAnsi="Times New Roman" w:eastAsia="黑体" w:cs="Times New Roman"/>
          <w:b w:val="0"/>
        </w:rPr>
      </w:pPr>
      <w:bookmarkStart w:id="22" w:name="_Toc14246"/>
      <w:bookmarkStart w:id="23" w:name="_Toc15377207"/>
      <w:bookmarkStart w:id="24" w:name="_Toc15396605"/>
      <w:r>
        <w:rPr>
          <w:rFonts w:hint="default" w:ascii="Times New Roman" w:hAnsi="Times New Roman" w:eastAsia="黑体" w:cs="Times New Roman"/>
          <w:sz w:val="32"/>
          <w:szCs w:val="32"/>
        </w:rPr>
        <w:t>三、支</w:t>
      </w:r>
      <w:r>
        <w:rPr>
          <w:rStyle w:val="29"/>
          <w:rFonts w:hint="default" w:ascii="Times New Roman" w:hAnsi="Times New Roman" w:eastAsia="黑体" w:cs="Times New Roman"/>
          <w:b w:val="0"/>
        </w:rPr>
        <w:t>出决算情况说明</w:t>
      </w:r>
      <w:bookmarkEnd w:id="22"/>
      <w:bookmarkEnd w:id="23"/>
      <w:bookmarkEnd w:id="24"/>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2024年度本年支出合计2070.7万元，其中：基本支出891.48万元，占</w:t>
      </w:r>
      <w:r>
        <w:rPr>
          <w:rFonts w:hint="default" w:ascii="Times New Roman" w:hAnsi="Times New Roman" w:eastAsia="仿宋_GB2312" w:cs="Times New Roman"/>
          <w:sz w:val="32"/>
          <w:szCs w:val="32"/>
          <w:lang w:val="en-US" w:eastAsia="zh-CN"/>
        </w:rPr>
        <w:t>43</w:t>
      </w:r>
      <w:r>
        <w:rPr>
          <w:rFonts w:hint="default" w:ascii="Times New Roman" w:hAnsi="Times New Roman" w:eastAsia="仿宋_GB2312" w:cs="Times New Roman"/>
          <w:sz w:val="32"/>
          <w:szCs w:val="32"/>
        </w:rPr>
        <w:t>%；项目支出1179.22万元，占</w:t>
      </w:r>
      <w:r>
        <w:rPr>
          <w:rFonts w:hint="default" w:ascii="Times New Roman" w:hAnsi="Times New Roman" w:eastAsia="仿宋_GB2312" w:cs="Times New Roman"/>
          <w:sz w:val="32"/>
          <w:szCs w:val="32"/>
          <w:lang w:val="en-US" w:eastAsia="zh-CN"/>
        </w:rPr>
        <w:t>5</w:t>
      </w:r>
      <w:r>
        <w:rPr>
          <w:rFonts w:hint="eastAsia" w:eastAsia="仿宋_GB2312" w:cs="Times New Roman"/>
          <w:sz w:val="32"/>
          <w:szCs w:val="32"/>
          <w:lang w:val="en-US" w:eastAsia="zh-CN"/>
        </w:rPr>
        <w:t>7</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w:t>
      </w:r>
    </w:p>
    <w:p>
      <w:pPr>
        <w:pStyle w:val="2"/>
        <w:jc w:val="center"/>
        <w:rPr>
          <w:rFonts w:hint="default" w:ascii="Times New Roman" w:hAnsi="Times New Roman" w:eastAsia="仿宋_GB2312" w:cs="Times New Roman"/>
          <w:sz w:val="32"/>
          <w:szCs w:val="32"/>
        </w:rPr>
      </w:pPr>
      <w:r>
        <w:rPr>
          <w:rFonts w:hint="default" w:ascii="Times New Roman" w:hAnsi="Times New Roman" w:cs="Times New Roman"/>
        </w:rPr>
        <w:drawing>
          <wp:inline distT="0" distB="0" distL="114300" distR="114300">
            <wp:extent cx="4674235" cy="2743200"/>
            <wp:effectExtent l="4445" t="4445" r="15240" b="10795"/>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ind w:firstLine="800" w:firstLineChars="25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（图3：支出决算结构图）</w:t>
      </w:r>
    </w:p>
    <w:p>
      <w:pPr>
        <w:spacing w:line="600" w:lineRule="exact"/>
        <w:ind w:firstLine="640" w:firstLineChars="200"/>
        <w:outlineLvl w:val="1"/>
        <w:rPr>
          <w:rStyle w:val="29"/>
          <w:rFonts w:hint="default" w:ascii="Times New Roman" w:hAnsi="Times New Roman" w:eastAsia="黑体" w:cs="Times New Roman"/>
          <w:b w:val="0"/>
        </w:rPr>
      </w:pPr>
      <w:bookmarkStart w:id="25" w:name="_Toc15396606"/>
      <w:bookmarkStart w:id="26" w:name="_Toc15377208"/>
      <w:bookmarkStart w:id="27" w:name="_Toc4826"/>
      <w:r>
        <w:rPr>
          <w:rFonts w:hint="default" w:ascii="Times New Roman" w:hAnsi="Times New Roman" w:eastAsia="黑体" w:cs="Times New Roman"/>
          <w:sz w:val="32"/>
          <w:szCs w:val="32"/>
        </w:rPr>
        <w:t>四、财</w:t>
      </w:r>
      <w:r>
        <w:rPr>
          <w:rStyle w:val="29"/>
          <w:rFonts w:hint="default" w:ascii="Times New Roman" w:hAnsi="Times New Roman" w:eastAsia="黑体" w:cs="Times New Roman"/>
          <w:b w:val="0"/>
        </w:rPr>
        <w:t>政拨款收入支出决算总体情况说明</w:t>
      </w:r>
      <w:bookmarkEnd w:id="25"/>
      <w:bookmarkEnd w:id="26"/>
      <w:bookmarkEnd w:id="27"/>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2024年度财政拨款收入、支出总计均为2070.7万元。与2023年度相比，财政拨款收入总计、支出总计</w:t>
      </w:r>
      <w:r>
        <w:rPr>
          <w:rFonts w:hint="default" w:ascii="Times New Roman" w:hAnsi="Times New Roman" w:eastAsia="仿宋_GB2312" w:cs="Times New Roman"/>
          <w:sz w:val="32"/>
          <w:szCs w:val="32"/>
          <w:lang w:val="en-US" w:eastAsia="zh-CN"/>
        </w:rPr>
        <w:t>各</w:t>
      </w:r>
      <w:r>
        <w:rPr>
          <w:rFonts w:hint="eastAsia" w:eastAsia="仿宋_GB2312" w:cs="Times New Roman"/>
          <w:sz w:val="32"/>
          <w:szCs w:val="32"/>
          <w:lang w:val="en-US" w:eastAsia="zh-CN"/>
        </w:rPr>
        <w:t>增加</w:t>
      </w:r>
      <w:r>
        <w:rPr>
          <w:rFonts w:hint="default" w:ascii="Times New Roman" w:hAnsi="Times New Roman" w:eastAsia="仿宋_GB2312" w:cs="Times New Roman"/>
          <w:sz w:val="32"/>
          <w:szCs w:val="32"/>
        </w:rPr>
        <w:t>366万元，</w:t>
      </w:r>
      <w:r>
        <w:rPr>
          <w:rFonts w:hint="eastAsia" w:eastAsia="仿宋_GB2312" w:cs="Times New Roman"/>
          <w:sz w:val="32"/>
          <w:szCs w:val="32"/>
          <w:lang w:val="en-US" w:eastAsia="zh-CN"/>
        </w:rPr>
        <w:t>增长</w:t>
      </w:r>
      <w:r>
        <w:rPr>
          <w:rFonts w:hint="default" w:ascii="Times New Roman" w:hAnsi="Times New Roman" w:eastAsia="仿宋_GB2312" w:cs="Times New Roman"/>
          <w:sz w:val="32"/>
          <w:szCs w:val="32"/>
        </w:rPr>
        <w:t>21.</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%。主要变动原因是2024年项目增加</w:t>
      </w:r>
      <w:r>
        <w:rPr>
          <w:rFonts w:hint="default" w:ascii="Times New Roman" w:hAnsi="Times New Roman" w:eastAsia="仿宋_GB2312" w:cs="Times New Roman"/>
          <w:sz w:val="32"/>
          <w:szCs w:val="32"/>
          <w:lang w:eastAsia="zh-CN"/>
        </w:rPr>
        <w:t>。</w:t>
      </w:r>
    </w:p>
    <w:p>
      <w:pPr>
        <w:pStyle w:val="2"/>
        <w:jc w:val="center"/>
        <w:rPr>
          <w:rFonts w:hint="default" w:ascii="Times New Roman" w:hAnsi="Times New Roman" w:eastAsia="仿宋_GB2312" w:cs="Times New Roman"/>
          <w:sz w:val="32"/>
          <w:szCs w:val="32"/>
        </w:rPr>
      </w:pPr>
      <w:r>
        <w:rPr>
          <w:rFonts w:hint="default" w:ascii="Times New Roman" w:hAnsi="Times New Roman" w:cs="Times New Roman"/>
        </w:rPr>
        <w:drawing>
          <wp:inline distT="0" distB="0" distL="114300" distR="114300">
            <wp:extent cx="4572000" cy="2743200"/>
            <wp:effectExtent l="4445" t="4445" r="10795" b="10795"/>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（图4：财政拨款收、支决算总计变动情况）</w:t>
      </w:r>
    </w:p>
    <w:p>
      <w:pPr>
        <w:spacing w:line="600" w:lineRule="exact"/>
        <w:ind w:firstLine="640" w:firstLineChars="200"/>
        <w:outlineLvl w:val="1"/>
        <w:rPr>
          <w:rStyle w:val="29"/>
          <w:rFonts w:hint="default" w:ascii="Times New Roman" w:hAnsi="Times New Roman" w:eastAsia="黑体" w:cs="Times New Roman"/>
          <w:b w:val="0"/>
        </w:rPr>
      </w:pPr>
      <w:bookmarkStart w:id="28" w:name="_Toc15377209"/>
      <w:bookmarkStart w:id="29" w:name="_Toc26832"/>
      <w:bookmarkStart w:id="30" w:name="_Toc15396607"/>
      <w:r>
        <w:rPr>
          <w:rFonts w:hint="default" w:ascii="Times New Roman" w:hAnsi="Times New Roman" w:eastAsia="黑体" w:cs="Times New Roman"/>
          <w:sz w:val="32"/>
          <w:szCs w:val="32"/>
        </w:rPr>
        <w:t>五、</w:t>
      </w:r>
      <w:r>
        <w:rPr>
          <w:rFonts w:hint="default" w:ascii="Times New Roman" w:hAnsi="Times New Roman" w:eastAsia="黑体" w:cs="Times New Roman"/>
          <w:b/>
          <w:sz w:val="32"/>
          <w:szCs w:val="32"/>
        </w:rPr>
        <w:t>一</w:t>
      </w:r>
      <w:r>
        <w:rPr>
          <w:rStyle w:val="29"/>
          <w:rFonts w:hint="default" w:ascii="Times New Roman" w:hAnsi="Times New Roman" w:eastAsia="黑体" w:cs="Times New Roman"/>
          <w:b w:val="0"/>
        </w:rPr>
        <w:t>般公共预算财政拨款支出决算情况说明</w:t>
      </w:r>
      <w:bookmarkEnd w:id="28"/>
      <w:bookmarkEnd w:id="29"/>
      <w:bookmarkEnd w:id="30"/>
    </w:p>
    <w:p>
      <w:pPr>
        <w:spacing w:line="600" w:lineRule="exact"/>
        <w:ind w:firstLine="643" w:firstLineChars="200"/>
        <w:outlineLvl w:val="2"/>
        <w:rPr>
          <w:rFonts w:hint="default" w:ascii="Times New Roman" w:hAnsi="Times New Roman" w:eastAsia="楷体_GB2312" w:cs="Times New Roman"/>
          <w:b/>
          <w:sz w:val="32"/>
          <w:szCs w:val="32"/>
        </w:rPr>
      </w:pPr>
      <w:bookmarkStart w:id="31" w:name="_Toc15377210"/>
      <w:r>
        <w:rPr>
          <w:rFonts w:hint="default" w:ascii="Times New Roman" w:hAnsi="Times New Roman" w:eastAsia="楷体_GB2312" w:cs="Times New Roman"/>
          <w:b/>
          <w:sz w:val="32"/>
          <w:szCs w:val="32"/>
        </w:rPr>
        <w:t>（一）一般公共预算财政拨款支出决算总体情况</w:t>
      </w:r>
      <w:bookmarkEnd w:id="31"/>
    </w:p>
    <w:p>
      <w:pPr>
        <w:spacing w:line="600" w:lineRule="exact"/>
        <w:ind w:firstLine="64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2024年度一般公共预算财政拨款支出2070.7万元，占本年支出合计的</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%。与2023年度相比，一般公共预算财政拨款支出</w:t>
      </w:r>
      <w:r>
        <w:rPr>
          <w:rFonts w:hint="eastAsia" w:eastAsia="仿宋_GB2312" w:cs="Times New Roman"/>
          <w:sz w:val="32"/>
          <w:szCs w:val="32"/>
          <w:lang w:val="en-US" w:eastAsia="zh-CN"/>
        </w:rPr>
        <w:t>增加</w:t>
      </w:r>
      <w:r>
        <w:rPr>
          <w:rFonts w:hint="default" w:ascii="Times New Roman" w:hAnsi="Times New Roman" w:eastAsia="仿宋_GB2312" w:cs="Times New Roman"/>
          <w:sz w:val="32"/>
          <w:szCs w:val="32"/>
        </w:rPr>
        <w:t>366万元，</w:t>
      </w:r>
      <w:r>
        <w:rPr>
          <w:rFonts w:hint="eastAsia" w:eastAsia="仿宋_GB2312" w:cs="Times New Roman"/>
          <w:sz w:val="32"/>
          <w:szCs w:val="32"/>
          <w:lang w:val="en-US" w:eastAsia="zh-CN"/>
        </w:rPr>
        <w:t>增长</w:t>
      </w:r>
      <w:r>
        <w:rPr>
          <w:rFonts w:hint="default" w:ascii="Times New Roman" w:hAnsi="Times New Roman" w:eastAsia="仿宋_GB2312" w:cs="Times New Roman"/>
          <w:sz w:val="32"/>
          <w:szCs w:val="32"/>
        </w:rPr>
        <w:t>21.</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%。主要变动原因是2024年项目增加</w:t>
      </w:r>
      <w:r>
        <w:rPr>
          <w:rFonts w:hint="default" w:ascii="Times New Roman" w:hAnsi="Times New Roman" w:eastAsia="仿宋_GB2312" w:cs="Times New Roman"/>
          <w:sz w:val="32"/>
          <w:szCs w:val="32"/>
          <w:lang w:eastAsia="zh-CN"/>
        </w:rPr>
        <w:t>。</w:t>
      </w:r>
    </w:p>
    <w:p>
      <w:pPr>
        <w:jc w:val="center"/>
        <w:rPr>
          <w:rFonts w:hint="default"/>
          <w:lang w:eastAsia="zh-CN"/>
        </w:rPr>
      </w:pPr>
      <w:r>
        <w:drawing>
          <wp:inline distT="0" distB="0" distL="114300" distR="114300">
            <wp:extent cx="4080510" cy="2273935"/>
            <wp:effectExtent l="4445" t="4445" r="14605" b="762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（图5：一般公共预算财政拨款支出决算变动情况）</w:t>
      </w:r>
    </w:p>
    <w:p>
      <w:pPr>
        <w:spacing w:line="600" w:lineRule="exact"/>
        <w:ind w:firstLine="643" w:firstLineChars="200"/>
        <w:outlineLvl w:val="2"/>
        <w:rPr>
          <w:rFonts w:hint="default" w:ascii="Times New Roman" w:hAnsi="Times New Roman" w:eastAsia="楷体_GB2312" w:cs="Times New Roman"/>
          <w:b/>
          <w:sz w:val="32"/>
          <w:szCs w:val="32"/>
        </w:rPr>
      </w:pPr>
      <w:bookmarkStart w:id="32" w:name="_Toc15377211"/>
      <w:r>
        <w:rPr>
          <w:rFonts w:hint="default" w:ascii="Times New Roman" w:hAnsi="Times New Roman" w:eastAsia="楷体_GB2312" w:cs="Times New Roman"/>
          <w:b/>
          <w:sz w:val="32"/>
          <w:szCs w:val="32"/>
        </w:rPr>
        <w:t>（二）一般公共预算财政拨款支出决算结构情况</w:t>
      </w:r>
      <w:bookmarkEnd w:id="32"/>
    </w:p>
    <w:p>
      <w:pPr>
        <w:spacing w:line="600" w:lineRule="exact"/>
        <w:ind w:firstLine="640"/>
        <w:rPr>
          <w:rFonts w:hint="default" w:ascii="Times New Roman" w:hAnsi="Times New Roman" w:eastAsia="仿宋_GB2312" w:cs="Times New Roman"/>
          <w:b/>
          <w:bCs/>
          <w:sz w:val="32"/>
          <w:szCs w:val="32"/>
          <w:lang w:eastAsia="zh-CN"/>
        </w:rPr>
      </w:pPr>
      <w:r>
        <w:rPr>
          <w:rFonts w:hint="default" w:ascii="Times New Roman" w:hAnsi="Times New Roman" w:eastAsia="仿宋_GB2312" w:cs="Times New Roman"/>
          <w:sz w:val="32"/>
          <w:szCs w:val="32"/>
        </w:rPr>
        <w:t>2024年度一般公共预算财政拨款支出2070.7万元，主要用于以下方面：社会保障和就业支出133.43万元，占</w:t>
      </w:r>
      <w:r>
        <w:rPr>
          <w:rFonts w:hint="default" w:ascii="Times New Roman" w:hAnsi="Times New Roman" w:eastAsia="仿宋_GB2312" w:cs="Times New Roman"/>
          <w:sz w:val="32"/>
          <w:szCs w:val="32"/>
          <w:lang w:val="en-US" w:eastAsia="zh-CN"/>
        </w:rPr>
        <w:t>6.4</w:t>
      </w:r>
      <w:r>
        <w:rPr>
          <w:rFonts w:hint="default" w:ascii="Times New Roman" w:hAnsi="Times New Roman" w:eastAsia="仿宋_GB2312" w:cs="Times New Roman"/>
          <w:sz w:val="32"/>
          <w:szCs w:val="32"/>
        </w:rPr>
        <w:t>%；卫生健康支出46.29万元，占</w:t>
      </w:r>
      <w:r>
        <w:rPr>
          <w:rFonts w:hint="default" w:ascii="Times New Roman" w:hAnsi="Times New Roman" w:eastAsia="仿宋_GB2312" w:cs="Times New Roman"/>
          <w:sz w:val="32"/>
          <w:szCs w:val="32"/>
          <w:lang w:val="en-US" w:eastAsia="zh-CN"/>
        </w:rPr>
        <w:t>2.2</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交通运输支出1819.66万元，占比</w:t>
      </w:r>
      <w:r>
        <w:rPr>
          <w:rFonts w:hint="eastAsia" w:eastAsia="仿宋_GB2312" w:cs="Times New Roman"/>
          <w:sz w:val="32"/>
          <w:szCs w:val="32"/>
          <w:lang w:val="en-US" w:eastAsia="zh-CN"/>
        </w:rPr>
        <w:t>88</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住房保障支出71.32万元，占</w:t>
      </w:r>
      <w:r>
        <w:rPr>
          <w:rFonts w:hint="default" w:ascii="Times New Roman" w:hAnsi="Times New Roman" w:eastAsia="仿宋_GB2312" w:cs="Times New Roman"/>
          <w:sz w:val="32"/>
          <w:szCs w:val="32"/>
          <w:lang w:val="en-US" w:eastAsia="zh-CN"/>
        </w:rPr>
        <w:t>3.4</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w:t>
      </w:r>
    </w:p>
    <w:p>
      <w:pPr>
        <w:pStyle w:val="2"/>
        <w:jc w:val="center"/>
        <w:rPr>
          <w:rFonts w:hint="default" w:ascii="Times New Roman" w:hAnsi="Times New Roman" w:eastAsia="仿宋_GB2312" w:cs="Times New Roman"/>
          <w:sz w:val="32"/>
          <w:szCs w:val="32"/>
        </w:rPr>
      </w:pPr>
      <w:r>
        <w:drawing>
          <wp:inline distT="0" distB="0" distL="114300" distR="114300">
            <wp:extent cx="4319270" cy="2574290"/>
            <wp:effectExtent l="4445" t="5080" r="19685" b="11430"/>
            <wp:docPr id="9"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（图6：一般公共预算财政拨款支出决算结构）</w:t>
      </w:r>
    </w:p>
    <w:p>
      <w:pPr>
        <w:spacing w:line="600" w:lineRule="exact"/>
        <w:ind w:firstLine="643" w:firstLineChars="200"/>
        <w:outlineLvl w:val="2"/>
        <w:rPr>
          <w:rFonts w:hint="default" w:ascii="Times New Roman" w:hAnsi="Times New Roman" w:eastAsia="楷体_GB2312" w:cs="Times New Roman"/>
          <w:b/>
          <w:sz w:val="32"/>
          <w:szCs w:val="32"/>
        </w:rPr>
      </w:pPr>
      <w:bookmarkStart w:id="33" w:name="_Toc15377212"/>
      <w:r>
        <w:rPr>
          <w:rFonts w:hint="default" w:ascii="Times New Roman" w:hAnsi="Times New Roman" w:eastAsia="楷体_GB2312" w:cs="Times New Roman"/>
          <w:b/>
          <w:sz w:val="32"/>
          <w:szCs w:val="32"/>
        </w:rPr>
        <w:t>（三）一般公共预算财政拨款支出决算具体情况</w:t>
      </w:r>
      <w:bookmarkEnd w:id="33"/>
    </w:p>
    <w:p>
      <w:pPr>
        <w:spacing w:line="600" w:lineRule="exact"/>
        <w:ind w:firstLine="640"/>
        <w:rPr>
          <w:rFonts w:hint="default" w:ascii="Times New Roman" w:hAnsi="Times New Roman" w:eastAsia="仿宋_GB2312" w:cs="Times New Roman"/>
          <w:sz w:val="32"/>
          <w:szCs w:val="32"/>
        </w:rPr>
      </w:pPr>
      <w:bookmarkStart w:id="34" w:name="_Toc15378460"/>
      <w:bookmarkStart w:id="35" w:name="_Toc15377444"/>
      <w:bookmarkStart w:id="36" w:name="_Toc15377213"/>
      <w:r>
        <w:rPr>
          <w:rFonts w:hint="default" w:ascii="Times New Roman" w:hAnsi="Times New Roman" w:eastAsia="仿宋_GB2312" w:cs="Times New Roman"/>
          <w:sz w:val="32"/>
          <w:szCs w:val="32"/>
        </w:rPr>
        <w:t>2024年度一般公共预算财政拨款支出决算数为2070.7</w:t>
      </w:r>
      <w:r>
        <w:rPr>
          <w:rFonts w:hint="eastAsia" w:eastAsia="仿宋_GB2312" w:cs="Times New Roman"/>
          <w:sz w:val="32"/>
          <w:szCs w:val="32"/>
          <w:lang w:val="en-US" w:eastAsia="zh-CN"/>
        </w:rPr>
        <w:t>万元</w:t>
      </w:r>
      <w:r>
        <w:rPr>
          <w:rFonts w:hint="default" w:ascii="Times New Roman" w:hAnsi="Times New Roman" w:eastAsia="仿宋_GB2312" w:cs="Times New Roman"/>
          <w:sz w:val="32"/>
          <w:szCs w:val="32"/>
        </w:rPr>
        <w:t>，完成预算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%。其中：</w:t>
      </w:r>
      <w:bookmarkEnd w:id="34"/>
      <w:bookmarkEnd w:id="35"/>
      <w:bookmarkEnd w:id="36"/>
    </w:p>
    <w:p>
      <w:pPr>
        <w:spacing w:line="600" w:lineRule="exact"/>
        <w:ind w:firstLine="643" w:firstLineChars="200"/>
        <w:rPr>
          <w:rFonts w:hint="default" w:ascii="Times New Roman" w:hAnsi="Times New Roman" w:eastAsia="仿宋" w:cs="Times New Roman"/>
          <w:b/>
          <w:color w:val="auto"/>
          <w:sz w:val="32"/>
          <w:szCs w:val="32"/>
          <w:highlight w:val="none"/>
        </w:rPr>
      </w:pPr>
      <w:r>
        <w:rPr>
          <w:rStyle w:val="17"/>
          <w:rFonts w:hint="default" w:ascii="Times New Roman" w:hAnsi="Times New Roman" w:eastAsia="仿宋" w:cs="Times New Roman"/>
          <w:bCs/>
          <w:color w:val="auto"/>
          <w:sz w:val="32"/>
          <w:szCs w:val="32"/>
          <w:highlight w:val="none"/>
        </w:rPr>
        <w:t>1.社会保障和就业支出（类）行政事业单位养老支出（款）机关事业单位基本养老保险缴费支出（项）</w:t>
      </w:r>
      <w:r>
        <w:rPr>
          <w:rStyle w:val="17"/>
          <w:rFonts w:hint="default" w:ascii="Times New Roman" w:hAnsi="Times New Roman" w:eastAsia="仿宋" w:cs="Times New Roman"/>
          <w:bCs/>
          <w:color w:val="auto"/>
          <w:sz w:val="32"/>
          <w:szCs w:val="32"/>
          <w:highlight w:val="none"/>
          <w:lang w:eastAsia="zh-CN"/>
        </w:rPr>
        <w:t>：</w:t>
      </w:r>
      <w:r>
        <w:rPr>
          <w:rFonts w:hint="default" w:ascii="Times New Roman" w:hAnsi="Times New Roman" w:eastAsia="仿宋_GB2312" w:cs="Times New Roman"/>
          <w:sz w:val="32"/>
          <w:szCs w:val="32"/>
        </w:rPr>
        <w:t>支出决算为86.62万元，完成预算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p>
    <w:p>
      <w:pPr>
        <w:spacing w:line="600" w:lineRule="exact"/>
        <w:ind w:firstLine="643" w:firstLineChars="200"/>
        <w:rPr>
          <w:rStyle w:val="17"/>
          <w:rFonts w:hint="default" w:ascii="Times New Roman" w:hAnsi="Times New Roman" w:eastAsia="仿宋" w:cs="Times New Roman"/>
          <w:b w:val="0"/>
          <w:bCs/>
          <w:color w:val="auto"/>
          <w:sz w:val="32"/>
          <w:szCs w:val="32"/>
          <w:highlight w:val="none"/>
        </w:rPr>
      </w:pPr>
      <w:r>
        <w:rPr>
          <w:rStyle w:val="17"/>
          <w:rFonts w:hint="default" w:ascii="Times New Roman" w:hAnsi="Times New Roman" w:eastAsia="仿宋" w:cs="Times New Roman"/>
          <w:bCs/>
          <w:color w:val="auto"/>
          <w:sz w:val="32"/>
          <w:szCs w:val="32"/>
          <w:highlight w:val="none"/>
        </w:rPr>
        <w:t>2.社会保障和就业支出（类）行政事业单位养老支出（款）机关事业单位职业年金缴费支出（项）</w:t>
      </w:r>
      <w:r>
        <w:rPr>
          <w:rStyle w:val="17"/>
          <w:rFonts w:hint="eastAsia" w:eastAsia="仿宋" w:cs="Times New Roman"/>
          <w:bCs/>
          <w:color w:val="auto"/>
          <w:sz w:val="32"/>
          <w:szCs w:val="32"/>
          <w:highlight w:val="none"/>
          <w:lang w:eastAsia="zh-CN"/>
        </w:rPr>
        <w:t>：</w:t>
      </w:r>
      <w:r>
        <w:rPr>
          <w:rFonts w:hint="default" w:ascii="Times New Roman" w:hAnsi="Times New Roman" w:eastAsia="仿宋_GB2312" w:cs="Times New Roman"/>
          <w:sz w:val="32"/>
          <w:szCs w:val="32"/>
        </w:rPr>
        <w:t>支出决算为43.31万元，完成预算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p>
    <w:p>
      <w:pPr>
        <w:spacing w:line="600" w:lineRule="exact"/>
        <w:ind w:firstLine="643" w:firstLineChars="200"/>
        <w:rPr>
          <w:rFonts w:hint="default" w:ascii="Times New Roman" w:hAnsi="Times New Roman" w:eastAsia="仿宋_GB2312" w:cs="Times New Roman"/>
          <w:sz w:val="32"/>
          <w:szCs w:val="32"/>
        </w:rPr>
      </w:pPr>
      <w:r>
        <w:rPr>
          <w:rStyle w:val="17"/>
          <w:rFonts w:hint="default" w:ascii="Times New Roman" w:hAnsi="Times New Roman" w:eastAsia="仿宋" w:cs="Times New Roman"/>
          <w:bCs/>
          <w:color w:val="auto"/>
          <w:sz w:val="32"/>
          <w:szCs w:val="32"/>
          <w:highlight w:val="none"/>
          <w:lang w:val="en-US" w:eastAsia="zh-CN"/>
        </w:rPr>
        <w:t>3</w:t>
      </w:r>
      <w:r>
        <w:rPr>
          <w:rStyle w:val="17"/>
          <w:rFonts w:hint="default" w:ascii="Times New Roman" w:hAnsi="Times New Roman" w:eastAsia="仿宋" w:cs="Times New Roman"/>
          <w:bCs/>
          <w:color w:val="auto"/>
          <w:sz w:val="32"/>
          <w:szCs w:val="32"/>
          <w:highlight w:val="none"/>
        </w:rPr>
        <w:t>.社会保障和就业支出（类）行政事业单位养老支出（款）事业单位离退休（项）</w:t>
      </w:r>
      <w:r>
        <w:rPr>
          <w:rStyle w:val="17"/>
          <w:rFonts w:hint="default" w:ascii="Times New Roman" w:hAnsi="Times New Roman" w:eastAsia="仿宋" w:cs="Times New Roman"/>
          <w:bCs/>
          <w:color w:val="auto"/>
          <w:sz w:val="32"/>
          <w:szCs w:val="32"/>
          <w:highlight w:val="none"/>
          <w:lang w:eastAsia="zh-CN"/>
        </w:rPr>
        <w:t>：</w:t>
      </w:r>
      <w:r>
        <w:rPr>
          <w:rFonts w:hint="default" w:ascii="Times New Roman" w:hAnsi="Times New Roman" w:eastAsia="仿宋_GB2312" w:cs="Times New Roman"/>
          <w:sz w:val="32"/>
          <w:szCs w:val="32"/>
        </w:rPr>
        <w:t>支出决算为3.5万元，完成预算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p>
    <w:p>
      <w:pPr>
        <w:spacing w:line="600" w:lineRule="exact"/>
        <w:ind w:firstLine="643" w:firstLineChars="200"/>
        <w:rPr>
          <w:rFonts w:hint="default" w:ascii="Times New Roman" w:hAnsi="Times New Roman" w:eastAsia="仿宋" w:cs="Times New Roman"/>
          <w:b/>
          <w:color w:val="auto"/>
          <w:sz w:val="32"/>
          <w:szCs w:val="32"/>
          <w:highlight w:val="none"/>
        </w:rPr>
      </w:pPr>
      <w:r>
        <w:rPr>
          <w:rStyle w:val="17"/>
          <w:rFonts w:hint="default" w:ascii="Times New Roman" w:hAnsi="Times New Roman" w:eastAsia="仿宋" w:cs="Times New Roman"/>
          <w:bCs/>
          <w:color w:val="auto"/>
          <w:sz w:val="32"/>
          <w:szCs w:val="32"/>
          <w:highlight w:val="none"/>
          <w:lang w:val="en-US" w:eastAsia="zh-CN"/>
        </w:rPr>
        <w:t>4</w:t>
      </w:r>
      <w:r>
        <w:rPr>
          <w:rStyle w:val="17"/>
          <w:rFonts w:hint="default" w:ascii="Times New Roman" w:hAnsi="Times New Roman" w:eastAsia="仿宋" w:cs="Times New Roman"/>
          <w:bCs/>
          <w:color w:val="auto"/>
          <w:sz w:val="32"/>
          <w:szCs w:val="32"/>
          <w:highlight w:val="none"/>
        </w:rPr>
        <w:t>.卫生健康支出（类）行政事业单位医疗（款）事业单位医疗（项）</w:t>
      </w:r>
      <w:r>
        <w:rPr>
          <w:rStyle w:val="17"/>
          <w:rFonts w:hint="default" w:ascii="Times New Roman" w:hAnsi="Times New Roman" w:eastAsia="仿宋" w:cs="Times New Roman"/>
          <w:bCs/>
          <w:color w:val="auto"/>
          <w:sz w:val="32"/>
          <w:szCs w:val="32"/>
          <w:highlight w:val="none"/>
          <w:lang w:eastAsia="zh-CN"/>
        </w:rPr>
        <w:t>：</w:t>
      </w:r>
      <w:r>
        <w:rPr>
          <w:rStyle w:val="17"/>
          <w:rFonts w:hint="default" w:ascii="Times New Roman" w:hAnsi="Times New Roman" w:eastAsia="仿宋" w:cs="Times New Roman"/>
          <w:b w:val="0"/>
          <w:bCs/>
          <w:color w:val="auto"/>
          <w:sz w:val="32"/>
          <w:szCs w:val="32"/>
          <w:highlight w:val="none"/>
        </w:rPr>
        <w:t xml:space="preserve"> </w:t>
      </w:r>
      <w:r>
        <w:rPr>
          <w:rFonts w:hint="default" w:ascii="Times New Roman" w:hAnsi="Times New Roman" w:eastAsia="仿宋_GB2312" w:cs="Times New Roman"/>
          <w:sz w:val="32"/>
          <w:szCs w:val="32"/>
        </w:rPr>
        <w:t>支出决算为37.45万元，完成预算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p>
    <w:p>
      <w:pPr>
        <w:spacing w:line="600" w:lineRule="exact"/>
        <w:ind w:firstLine="643" w:firstLineChars="200"/>
        <w:rPr>
          <w:rFonts w:hint="default" w:ascii="Times New Roman" w:hAnsi="Times New Roman" w:eastAsia="仿宋" w:cs="Times New Roman"/>
          <w:b/>
          <w:color w:val="auto"/>
          <w:sz w:val="32"/>
          <w:szCs w:val="32"/>
          <w:highlight w:val="none"/>
        </w:rPr>
      </w:pPr>
      <w:r>
        <w:rPr>
          <w:rStyle w:val="17"/>
          <w:rFonts w:hint="default" w:ascii="Times New Roman" w:hAnsi="Times New Roman" w:eastAsia="仿宋" w:cs="Times New Roman"/>
          <w:bCs/>
          <w:color w:val="auto"/>
          <w:sz w:val="32"/>
          <w:szCs w:val="32"/>
          <w:highlight w:val="none"/>
          <w:lang w:val="en-US" w:eastAsia="zh-CN"/>
        </w:rPr>
        <w:t>5</w:t>
      </w:r>
      <w:r>
        <w:rPr>
          <w:rStyle w:val="17"/>
          <w:rFonts w:hint="default" w:ascii="Times New Roman" w:hAnsi="Times New Roman" w:eastAsia="仿宋" w:cs="Times New Roman"/>
          <w:bCs/>
          <w:color w:val="auto"/>
          <w:sz w:val="32"/>
          <w:szCs w:val="32"/>
          <w:highlight w:val="none"/>
        </w:rPr>
        <w:t>.卫生健康支出（类）行政事业单位医疗（款）其他行政事业单位医疗支出（项）</w:t>
      </w:r>
      <w:r>
        <w:rPr>
          <w:rStyle w:val="17"/>
          <w:rFonts w:hint="default" w:ascii="Times New Roman" w:hAnsi="Times New Roman" w:eastAsia="仿宋" w:cs="Times New Roman"/>
          <w:bCs/>
          <w:color w:val="auto"/>
          <w:sz w:val="32"/>
          <w:szCs w:val="32"/>
          <w:highlight w:val="none"/>
          <w:lang w:eastAsia="zh-CN"/>
        </w:rPr>
        <w:t>：</w:t>
      </w:r>
      <w:r>
        <w:rPr>
          <w:rFonts w:hint="default" w:ascii="Times New Roman" w:hAnsi="Times New Roman" w:eastAsia="仿宋_GB2312" w:cs="Times New Roman"/>
          <w:sz w:val="32"/>
          <w:szCs w:val="32"/>
        </w:rPr>
        <w:t>支出决算为8.85万元，完成预算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p>
    <w:p>
      <w:pPr>
        <w:spacing w:line="600" w:lineRule="exact"/>
        <w:ind w:firstLine="643" w:firstLineChars="200"/>
        <w:rPr>
          <w:rStyle w:val="17"/>
          <w:rFonts w:hint="default" w:ascii="Times New Roman" w:hAnsi="Times New Roman" w:eastAsia="仿宋" w:cs="Times New Roman"/>
          <w:b w:val="0"/>
          <w:bCs/>
          <w:color w:val="auto"/>
          <w:sz w:val="32"/>
          <w:szCs w:val="32"/>
          <w:highlight w:val="none"/>
        </w:rPr>
      </w:pPr>
      <w:r>
        <w:rPr>
          <w:rStyle w:val="17"/>
          <w:rFonts w:hint="default" w:ascii="Times New Roman" w:hAnsi="Times New Roman" w:eastAsia="仿宋" w:cs="Times New Roman"/>
          <w:bCs/>
          <w:color w:val="auto"/>
          <w:sz w:val="32"/>
          <w:szCs w:val="32"/>
          <w:highlight w:val="none"/>
          <w:lang w:val="en-US" w:eastAsia="zh-CN"/>
        </w:rPr>
        <w:t>6</w:t>
      </w:r>
      <w:r>
        <w:rPr>
          <w:rStyle w:val="17"/>
          <w:rFonts w:hint="default" w:ascii="Times New Roman" w:hAnsi="Times New Roman" w:eastAsia="仿宋" w:cs="Times New Roman"/>
          <w:bCs/>
          <w:color w:val="auto"/>
          <w:sz w:val="32"/>
          <w:szCs w:val="32"/>
          <w:highlight w:val="none"/>
        </w:rPr>
        <w:t>.交通运输支出（类）公路水路运输（款）公路养护（项）</w:t>
      </w:r>
      <w:r>
        <w:rPr>
          <w:rStyle w:val="17"/>
          <w:rFonts w:hint="default" w:ascii="Times New Roman" w:hAnsi="Times New Roman" w:eastAsia="仿宋" w:cs="Times New Roman"/>
          <w:bCs/>
          <w:color w:val="auto"/>
          <w:sz w:val="32"/>
          <w:szCs w:val="32"/>
          <w:highlight w:val="none"/>
          <w:lang w:eastAsia="zh-CN"/>
        </w:rPr>
        <w:t>：</w:t>
      </w:r>
      <w:r>
        <w:rPr>
          <w:rStyle w:val="17"/>
          <w:rFonts w:hint="default" w:ascii="Times New Roman" w:hAnsi="Times New Roman" w:eastAsia="仿宋" w:cs="Times New Roman"/>
          <w:b w:val="0"/>
          <w:bCs/>
          <w:color w:val="auto"/>
          <w:sz w:val="32"/>
          <w:szCs w:val="32"/>
          <w:highlight w:val="none"/>
        </w:rPr>
        <w:t xml:space="preserve"> </w:t>
      </w:r>
      <w:r>
        <w:rPr>
          <w:rFonts w:hint="default" w:ascii="Times New Roman" w:hAnsi="Times New Roman" w:eastAsia="仿宋_GB2312" w:cs="Times New Roman"/>
          <w:sz w:val="32"/>
          <w:szCs w:val="32"/>
        </w:rPr>
        <w:t>支出决算为1598.2万元，完成预算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p>
    <w:p>
      <w:pPr>
        <w:spacing w:line="600" w:lineRule="exact"/>
        <w:ind w:firstLine="643" w:firstLineChars="200"/>
        <w:rPr>
          <w:rStyle w:val="17"/>
          <w:rFonts w:hint="default" w:ascii="Times New Roman" w:hAnsi="Times New Roman" w:eastAsia="仿宋" w:cs="Times New Roman"/>
          <w:b w:val="0"/>
          <w:bCs/>
          <w:color w:val="auto"/>
          <w:sz w:val="32"/>
          <w:szCs w:val="32"/>
          <w:highlight w:val="none"/>
        </w:rPr>
      </w:pPr>
      <w:r>
        <w:rPr>
          <w:rStyle w:val="17"/>
          <w:rFonts w:hint="default" w:ascii="Times New Roman" w:hAnsi="Times New Roman" w:eastAsia="仿宋" w:cs="Times New Roman"/>
          <w:bCs/>
          <w:color w:val="auto"/>
          <w:sz w:val="32"/>
          <w:szCs w:val="32"/>
          <w:highlight w:val="none"/>
          <w:lang w:val="en-US" w:eastAsia="zh-CN"/>
        </w:rPr>
        <w:t>7</w:t>
      </w:r>
      <w:r>
        <w:rPr>
          <w:rStyle w:val="17"/>
          <w:rFonts w:hint="default" w:ascii="Times New Roman" w:hAnsi="Times New Roman" w:eastAsia="仿宋" w:cs="Times New Roman"/>
          <w:bCs/>
          <w:color w:val="auto"/>
          <w:sz w:val="32"/>
          <w:szCs w:val="32"/>
          <w:highlight w:val="none"/>
        </w:rPr>
        <w:t>.交通运输支出（类）公路水路运输（款）公路建设（项）</w:t>
      </w:r>
      <w:r>
        <w:rPr>
          <w:rStyle w:val="17"/>
          <w:rFonts w:hint="default" w:ascii="Times New Roman" w:hAnsi="Times New Roman" w:eastAsia="仿宋" w:cs="Times New Roman"/>
          <w:bCs/>
          <w:color w:val="auto"/>
          <w:sz w:val="32"/>
          <w:szCs w:val="32"/>
          <w:highlight w:val="none"/>
          <w:lang w:eastAsia="zh-CN"/>
        </w:rPr>
        <w:t>：</w:t>
      </w:r>
      <w:r>
        <w:rPr>
          <w:rStyle w:val="17"/>
          <w:rFonts w:hint="default" w:ascii="Times New Roman" w:hAnsi="Times New Roman" w:eastAsia="仿宋" w:cs="Times New Roman"/>
          <w:b w:val="0"/>
          <w:bCs/>
          <w:color w:val="auto"/>
          <w:sz w:val="32"/>
          <w:szCs w:val="32"/>
          <w:highlight w:val="none"/>
        </w:rPr>
        <w:t xml:space="preserve"> </w:t>
      </w:r>
      <w:r>
        <w:rPr>
          <w:rFonts w:hint="default" w:ascii="Times New Roman" w:hAnsi="Times New Roman" w:eastAsia="仿宋_GB2312" w:cs="Times New Roman"/>
          <w:sz w:val="32"/>
          <w:szCs w:val="32"/>
        </w:rPr>
        <w:t>支出决算为</w:t>
      </w:r>
      <w:r>
        <w:rPr>
          <w:rFonts w:hint="default" w:ascii="Times New Roman" w:hAnsi="Times New Roman" w:eastAsia="仿宋_GB2312" w:cs="Times New Roman"/>
          <w:sz w:val="32"/>
          <w:szCs w:val="32"/>
          <w:lang w:val="en-US" w:eastAsia="zh-CN"/>
        </w:rPr>
        <w:t>221.4</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rPr>
        <w:t>万元，完成预算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p>
    <w:p>
      <w:pPr>
        <w:spacing w:line="600" w:lineRule="exact"/>
        <w:ind w:firstLine="643" w:firstLineChars="200"/>
        <w:rPr>
          <w:rFonts w:hint="default" w:ascii="Times New Roman" w:hAnsi="Times New Roman" w:eastAsia="仿宋" w:cs="Times New Roman"/>
          <w:color w:val="auto"/>
          <w:sz w:val="32"/>
          <w:szCs w:val="32"/>
          <w:highlight w:val="none"/>
          <w:lang w:eastAsia="zh-CN"/>
        </w:rPr>
      </w:pPr>
      <w:r>
        <w:rPr>
          <w:rStyle w:val="17"/>
          <w:rFonts w:hint="default" w:ascii="Times New Roman" w:hAnsi="Times New Roman" w:eastAsia="仿宋" w:cs="Times New Roman"/>
          <w:bCs/>
          <w:color w:val="auto"/>
          <w:sz w:val="32"/>
          <w:szCs w:val="32"/>
          <w:highlight w:val="none"/>
          <w:lang w:val="en-US" w:eastAsia="zh-CN"/>
        </w:rPr>
        <w:t>8.</w:t>
      </w:r>
      <w:r>
        <w:rPr>
          <w:rStyle w:val="17"/>
          <w:rFonts w:hint="default" w:ascii="Times New Roman" w:hAnsi="Times New Roman" w:eastAsia="仿宋" w:cs="Times New Roman"/>
          <w:bCs/>
          <w:color w:val="auto"/>
          <w:sz w:val="32"/>
          <w:szCs w:val="32"/>
          <w:highlight w:val="none"/>
        </w:rPr>
        <w:t>住房保障支出（类）住房改革支出（款）住房公积金（项）</w:t>
      </w:r>
      <w:r>
        <w:rPr>
          <w:rStyle w:val="17"/>
          <w:rFonts w:hint="default" w:ascii="Times New Roman" w:hAnsi="Times New Roman" w:eastAsia="仿宋" w:cs="Times New Roman"/>
          <w:bCs/>
          <w:color w:val="auto"/>
          <w:sz w:val="32"/>
          <w:szCs w:val="32"/>
          <w:highlight w:val="none"/>
          <w:lang w:eastAsia="zh-CN"/>
        </w:rPr>
        <w:t>：</w:t>
      </w:r>
      <w:r>
        <w:rPr>
          <w:rFonts w:hint="default" w:ascii="Times New Roman" w:hAnsi="Times New Roman" w:eastAsia="仿宋_GB2312" w:cs="Times New Roman"/>
          <w:sz w:val="32"/>
          <w:szCs w:val="32"/>
        </w:rPr>
        <w:t>支出决算为70.3</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rPr>
        <w:t>万元，完成预算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w:t>
      </w:r>
    </w:p>
    <w:p>
      <w:pPr>
        <w:spacing w:line="600" w:lineRule="exact"/>
        <w:ind w:firstLine="643" w:firstLineChars="200"/>
        <w:rPr>
          <w:rFonts w:hint="default" w:ascii="Times New Roman" w:hAnsi="Times New Roman" w:eastAsia="仿宋" w:cs="Times New Roman"/>
          <w:color w:val="auto"/>
          <w:sz w:val="32"/>
          <w:szCs w:val="32"/>
          <w:highlight w:val="none"/>
          <w:lang w:eastAsia="zh-CN"/>
        </w:rPr>
      </w:pPr>
      <w:r>
        <w:rPr>
          <w:rStyle w:val="17"/>
          <w:rFonts w:hint="default" w:ascii="Times New Roman" w:hAnsi="Times New Roman" w:eastAsia="仿宋" w:cs="Times New Roman"/>
          <w:bCs/>
          <w:color w:val="auto"/>
          <w:kern w:val="2"/>
          <w:sz w:val="32"/>
          <w:szCs w:val="32"/>
          <w:highlight w:val="none"/>
          <w:lang w:val="en-US" w:eastAsia="zh-CN" w:bidi="ar-SA"/>
        </w:rPr>
        <w:t>9.</w:t>
      </w:r>
      <w:r>
        <w:rPr>
          <w:rStyle w:val="17"/>
          <w:rFonts w:hint="default" w:ascii="Times New Roman" w:hAnsi="Times New Roman" w:eastAsia="仿宋" w:cs="Times New Roman"/>
          <w:bCs/>
          <w:color w:val="auto"/>
          <w:sz w:val="32"/>
          <w:szCs w:val="32"/>
          <w:highlight w:val="none"/>
        </w:rPr>
        <w:t>住房保障支出（类）住房改革支出（款）购房补贴（项）</w:t>
      </w:r>
      <w:r>
        <w:rPr>
          <w:rStyle w:val="17"/>
          <w:rFonts w:hint="default" w:ascii="Times New Roman" w:hAnsi="Times New Roman" w:eastAsia="仿宋" w:cs="Times New Roman"/>
          <w:bCs/>
          <w:color w:val="auto"/>
          <w:sz w:val="32"/>
          <w:szCs w:val="32"/>
          <w:highlight w:val="none"/>
          <w:lang w:eastAsia="zh-CN"/>
        </w:rPr>
        <w:t>：</w:t>
      </w:r>
      <w:r>
        <w:rPr>
          <w:rFonts w:hint="default" w:ascii="Times New Roman" w:hAnsi="Times New Roman" w:eastAsia="仿宋_GB2312" w:cs="Times New Roman"/>
          <w:sz w:val="32"/>
          <w:szCs w:val="32"/>
        </w:rPr>
        <w:t>支出决算为1万元，完成预算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r>
        <w:rPr>
          <w:rStyle w:val="17"/>
          <w:rFonts w:hint="default" w:ascii="Times New Roman" w:hAnsi="Times New Roman" w:eastAsia="仿宋" w:cs="Times New Roman"/>
          <w:b w:val="0"/>
          <w:bCs/>
          <w:color w:val="auto"/>
          <w:sz w:val="32"/>
          <w:szCs w:val="32"/>
          <w:highlight w:val="none"/>
          <w:lang w:eastAsia="zh-CN"/>
        </w:rPr>
        <w:t>。</w:t>
      </w:r>
    </w:p>
    <w:p>
      <w:pPr>
        <w:tabs>
          <w:tab w:val="right" w:pos="8306"/>
        </w:tabs>
        <w:spacing w:line="600" w:lineRule="exact"/>
        <w:ind w:firstLine="640"/>
        <w:outlineLvl w:val="1"/>
        <w:rPr>
          <w:rStyle w:val="29"/>
          <w:rFonts w:hint="default" w:ascii="Times New Roman" w:hAnsi="Times New Roman" w:cs="Times New Roman"/>
        </w:rPr>
      </w:pPr>
      <w:bookmarkStart w:id="37" w:name="_Toc15377214"/>
      <w:bookmarkStart w:id="38" w:name="_Toc15396608"/>
      <w:bookmarkStart w:id="39" w:name="_Toc23403"/>
      <w:r>
        <w:rPr>
          <w:rFonts w:hint="default" w:ascii="Times New Roman" w:hAnsi="Times New Roman" w:eastAsia="黑体" w:cs="Times New Roman"/>
          <w:sz w:val="32"/>
          <w:szCs w:val="32"/>
        </w:rPr>
        <w:t>六</w:t>
      </w:r>
      <w:r>
        <w:rPr>
          <w:rFonts w:hint="default" w:ascii="Times New Roman" w:hAnsi="Times New Roman" w:eastAsia="黑体" w:cs="Times New Roman"/>
          <w:b/>
          <w:sz w:val="32"/>
          <w:szCs w:val="32"/>
        </w:rPr>
        <w:t>、一</w:t>
      </w:r>
      <w:r>
        <w:rPr>
          <w:rStyle w:val="29"/>
          <w:rFonts w:hint="default" w:ascii="Times New Roman" w:hAnsi="Times New Roman" w:eastAsia="黑体" w:cs="Times New Roman"/>
          <w:b w:val="0"/>
        </w:rPr>
        <w:t>般公共预算财政拨款基本支出决算情况说明</w:t>
      </w:r>
      <w:bookmarkEnd w:id="37"/>
      <w:bookmarkEnd w:id="38"/>
      <w:bookmarkEnd w:id="39"/>
      <w:r>
        <w:rPr>
          <w:rStyle w:val="29"/>
          <w:rFonts w:hint="default" w:ascii="Times New Roman" w:hAnsi="Times New Roman" w:eastAsia="黑体" w:cs="Times New Roman"/>
          <w:b w:val="0"/>
        </w:rPr>
        <w:tab/>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2024年度一般公共预算财政拨款基本支出891.48万元，其中：</w:t>
      </w:r>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人员经费883.23万元，主要包括：基本工资、津贴补贴、奖金、绩效工资、机关事业单位基本养老保险缴费、职业年金缴费、职工基本医疗保险缴费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其他社会保障缴费、住房公积金、其他工资福利支出、生活补助、奖励金等。</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rPr>
        <w:t>　　公用经费8.25万元，主要包括：办公费、印刷费、咨询费、电费、邮电费、差旅费、维修（护）费、培训费、专用材料费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劳务费、工会经费、福利费、公务用车运行维护费、其他交通费、其他商品和服务支出</w:t>
      </w:r>
      <w:r>
        <w:rPr>
          <w:rFonts w:hint="default" w:ascii="Times New Roman" w:hAnsi="Times New Roman" w:eastAsia="仿宋_GB2312" w:cs="Times New Roman"/>
          <w:sz w:val="32"/>
          <w:szCs w:val="32"/>
          <w:lang w:eastAsia="zh-CN"/>
        </w:rPr>
        <w:t>。</w:t>
      </w:r>
    </w:p>
    <w:p>
      <w:pPr>
        <w:spacing w:line="600" w:lineRule="exact"/>
        <w:ind w:firstLine="640"/>
        <w:outlineLvl w:val="1"/>
        <w:rPr>
          <w:rStyle w:val="29"/>
          <w:rFonts w:hint="default" w:ascii="Times New Roman" w:hAnsi="Times New Roman" w:eastAsia="黑体" w:cs="Times New Roman"/>
          <w:b w:val="0"/>
        </w:rPr>
      </w:pPr>
      <w:bookmarkStart w:id="40" w:name="_Toc25747"/>
      <w:bookmarkStart w:id="41" w:name="_Toc15377215"/>
      <w:bookmarkStart w:id="42" w:name="_Toc15396609"/>
      <w:r>
        <w:rPr>
          <w:rFonts w:hint="default" w:ascii="Times New Roman" w:hAnsi="Times New Roman" w:eastAsia="黑体" w:cs="Times New Roman"/>
          <w:sz w:val="32"/>
          <w:szCs w:val="32"/>
        </w:rPr>
        <w:t>七、</w:t>
      </w:r>
      <w:r>
        <w:rPr>
          <w:rStyle w:val="29"/>
          <w:rFonts w:hint="default" w:ascii="Times New Roman" w:hAnsi="Times New Roman" w:eastAsia="黑体" w:cs="Times New Roman"/>
          <w:b w:val="0"/>
        </w:rPr>
        <w:t>财政拨款</w:t>
      </w:r>
      <w:r>
        <w:rPr>
          <w:rStyle w:val="29"/>
          <w:rFonts w:hint="default" w:ascii="Times New Roman" w:hAnsi="Times New Roman" w:eastAsia="黑体" w:cs="Times New Roman"/>
        </w:rPr>
        <w:t>“</w:t>
      </w:r>
      <w:r>
        <w:rPr>
          <w:rStyle w:val="29"/>
          <w:rFonts w:hint="default" w:ascii="Times New Roman" w:hAnsi="Times New Roman" w:eastAsia="黑体" w:cs="Times New Roman"/>
          <w:b w:val="0"/>
        </w:rPr>
        <w:t>三公”经费支出决算情况说明</w:t>
      </w:r>
      <w:bookmarkEnd w:id="40"/>
      <w:bookmarkEnd w:id="41"/>
      <w:bookmarkEnd w:id="42"/>
    </w:p>
    <w:p>
      <w:pPr>
        <w:spacing w:line="600" w:lineRule="exact"/>
        <w:ind w:firstLine="643" w:firstLineChars="200"/>
        <w:outlineLvl w:val="2"/>
        <w:rPr>
          <w:rFonts w:hint="default" w:ascii="Times New Roman" w:hAnsi="Times New Roman" w:eastAsia="楷体_GB2312" w:cs="Times New Roman"/>
          <w:b/>
          <w:sz w:val="32"/>
          <w:szCs w:val="32"/>
        </w:rPr>
      </w:pPr>
      <w:bookmarkStart w:id="43" w:name="_Toc15377216"/>
      <w:r>
        <w:rPr>
          <w:rFonts w:hint="default" w:ascii="Times New Roman" w:hAnsi="Times New Roman" w:eastAsia="楷体_GB2312" w:cs="Times New Roman"/>
          <w:b/>
          <w:sz w:val="32"/>
          <w:szCs w:val="32"/>
        </w:rPr>
        <w:t>（一）“三公”经费财政拨款支出决算总体情况说明</w:t>
      </w:r>
      <w:bookmarkEnd w:id="43"/>
    </w:p>
    <w:p>
      <w:pPr>
        <w:spacing w:line="60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2024年度“三公”经费财政拨款支出决算为49.21万元，完成预算</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%，较上年度增加4.27万元，增长9.</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%。决算与预算数持平的</w:t>
      </w:r>
      <w:r>
        <w:rPr>
          <w:rFonts w:hint="default" w:ascii="Times New Roman" w:hAnsi="Times New Roman" w:eastAsia="仿宋_GB2312" w:cs="Times New Roman"/>
          <w:sz w:val="32"/>
          <w:szCs w:val="32"/>
          <w:lang w:eastAsia="zh-CN"/>
        </w:rPr>
        <w:t>。</w:t>
      </w:r>
    </w:p>
    <w:p>
      <w:pPr>
        <w:spacing w:line="600" w:lineRule="exact"/>
        <w:ind w:firstLine="643" w:firstLineChars="200"/>
        <w:outlineLvl w:val="2"/>
        <w:rPr>
          <w:rFonts w:hint="default" w:ascii="Times New Roman" w:hAnsi="Times New Roman" w:eastAsia="楷体_GB2312" w:cs="Times New Roman"/>
          <w:b/>
          <w:sz w:val="32"/>
          <w:szCs w:val="32"/>
        </w:rPr>
      </w:pPr>
      <w:bookmarkStart w:id="44" w:name="_Toc15377217"/>
      <w:r>
        <w:rPr>
          <w:rFonts w:hint="default" w:ascii="Times New Roman" w:hAnsi="Times New Roman" w:eastAsia="楷体_GB2312" w:cs="Times New Roman"/>
          <w:b/>
          <w:sz w:val="32"/>
          <w:szCs w:val="32"/>
        </w:rPr>
        <w:t>（二）“三公”经费财政拨款支出决算具体情况说明</w:t>
      </w:r>
      <w:bookmarkEnd w:id="44"/>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2024年度“三公”经费财政拨款支出决算中，因公出国（境）费支出决算</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%；公务用车购置及运行维护费支出决算49.21万元，占</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%；公务接待费支出决算</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%。具体情况如下：</w:t>
      </w:r>
    </w:p>
    <w:p>
      <w:pPr>
        <w:jc w:val="center"/>
        <w:rPr>
          <w:rFonts w:hint="default"/>
        </w:rPr>
      </w:pPr>
      <w:r>
        <w:drawing>
          <wp:inline distT="0" distB="0" distL="114300" distR="114300">
            <wp:extent cx="4563745" cy="2599055"/>
            <wp:effectExtent l="4445" t="4445" r="19050" b="17780"/>
            <wp:docPr id="22"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600" w:lineRule="exact"/>
        <w:ind w:firstLine="64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（图7：“三公”经费财政拨款支出结构）</w:t>
      </w:r>
    </w:p>
    <w:p>
      <w:pPr>
        <w:spacing w:line="600" w:lineRule="exact"/>
        <w:ind w:firstLine="64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color w:val="auto"/>
          <w:sz w:val="32"/>
          <w:szCs w:val="32"/>
          <w:highlight w:val="none"/>
        </w:rPr>
        <w:t>1.因公出国（境）经费支出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万元，完成预算</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w:t>
      </w:r>
    </w:p>
    <w:p>
      <w:pPr>
        <w:spacing w:line="600" w:lineRule="exact"/>
        <w:ind w:firstLine="640"/>
        <w:rPr>
          <w:rFonts w:ascii="仿宋" w:hAnsi="仿宋" w:eastAsia="仿宋"/>
          <w:sz w:val="32"/>
          <w:szCs w:val="32"/>
        </w:rPr>
      </w:pPr>
      <w:r>
        <w:rPr>
          <w:rFonts w:hint="default" w:ascii="Times New Roman" w:hAnsi="Times New Roman" w:eastAsia="仿宋_GB2312" w:cs="Times New Roman"/>
          <w:b/>
          <w:bCs/>
          <w:sz w:val="32"/>
          <w:szCs w:val="32"/>
        </w:rPr>
        <w:t>2.公务用车购置及运行维护费支出</w:t>
      </w:r>
      <w:r>
        <w:rPr>
          <w:rFonts w:hint="default" w:ascii="Times New Roman" w:hAnsi="Times New Roman" w:eastAsia="仿宋_GB2312" w:cs="Times New Roman"/>
          <w:sz w:val="32"/>
          <w:szCs w:val="32"/>
        </w:rPr>
        <w:t>49.21</w:t>
      </w:r>
      <w:r>
        <w:rPr>
          <w:rFonts w:hint="default" w:ascii="Times New Roman" w:hAnsi="Times New Roman" w:eastAsia="仿宋_GB2312" w:cs="Times New Roman"/>
          <w:b/>
          <w:bCs/>
          <w:sz w:val="32"/>
          <w:szCs w:val="32"/>
        </w:rPr>
        <w:t>万元，完成预算</w:t>
      </w:r>
      <w:r>
        <w:rPr>
          <w:rFonts w:hint="default" w:ascii="Times New Roman" w:hAnsi="Times New Roman" w:eastAsia="仿宋_GB2312" w:cs="Times New Roman"/>
          <w:b/>
          <w:bCs/>
          <w:sz w:val="32"/>
          <w:szCs w:val="32"/>
          <w:lang w:val="en-US" w:eastAsia="zh-CN"/>
        </w:rPr>
        <w:t>100</w:t>
      </w:r>
      <w:r>
        <w:rPr>
          <w:rFonts w:hint="eastAsia" w:eastAsia="仿宋_GB2312" w:cs="Times New Roman"/>
          <w:b/>
          <w:bCs/>
          <w:sz w:val="32"/>
          <w:szCs w:val="32"/>
          <w:lang w:val="en-US" w:eastAsia="zh-CN"/>
        </w:rPr>
        <w:t>%</w:t>
      </w:r>
      <w:r>
        <w:rPr>
          <w:rFonts w:hint="default" w:ascii="Times New Roman" w:hAnsi="Times New Roman" w:eastAsia="仿宋_GB2312" w:cs="Times New Roman"/>
          <w:b/>
          <w:bCs/>
          <w:sz w:val="32"/>
          <w:szCs w:val="32"/>
        </w:rPr>
        <w:t>。</w:t>
      </w:r>
      <w:r>
        <w:rPr>
          <w:rFonts w:hint="default" w:ascii="Times New Roman" w:hAnsi="Times New Roman" w:eastAsia="仿宋_GB2312" w:cs="Times New Roman"/>
          <w:sz w:val="32"/>
          <w:szCs w:val="32"/>
        </w:rPr>
        <w:t>公务用车购置及运行维护费支出决算比2023年度增加4.27万元，增长</w:t>
      </w:r>
      <w:r>
        <w:rPr>
          <w:rFonts w:hint="default" w:ascii="Times New Roman" w:hAnsi="Times New Roman" w:eastAsia="仿宋_GB2312" w:cs="Times New Roman"/>
          <w:sz w:val="32"/>
          <w:szCs w:val="32"/>
          <w:lang w:val="en-US" w:eastAsia="zh-CN"/>
        </w:rPr>
        <w:t>9.5</w:t>
      </w:r>
      <w:r>
        <w:rPr>
          <w:rFonts w:hint="default" w:ascii="Times New Roman" w:hAnsi="Times New Roman" w:eastAsia="仿宋_GB2312" w:cs="Times New Roman"/>
          <w:sz w:val="32"/>
          <w:szCs w:val="32"/>
        </w:rPr>
        <w:t>%。</w:t>
      </w:r>
      <w:r>
        <w:rPr>
          <w:rFonts w:hint="default" w:ascii="仿宋" w:hAnsi="仿宋" w:eastAsia="仿宋" w:cs="Times New Roman"/>
          <w:sz w:val="32"/>
          <w:szCs w:val="32"/>
        </w:rPr>
        <w:t>主要原因是</w:t>
      </w:r>
      <w:r>
        <w:rPr>
          <w:rFonts w:hint="eastAsia" w:ascii="仿宋" w:hAnsi="仿宋" w:eastAsia="仿宋" w:cs="Times New Roman"/>
          <w:sz w:val="32"/>
          <w:szCs w:val="32"/>
        </w:rPr>
        <w:t>车辆出勤增加，导致运行费用有所增长。</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其中：公务用车购置支出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万元。全年按规定更新购置公务用车</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辆。截至2024年12月31日，单位共有公务用车</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辆，其中：轿车</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辆、越野车</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辆、中型客车和大型客车</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辆</w:t>
      </w:r>
      <w:r>
        <w:rPr>
          <w:rFonts w:hint="default" w:ascii="Times New Roman" w:hAnsi="Times New Roman" w:eastAsia="仿宋_GB2312" w:cs="Times New Roman"/>
          <w:sz w:val="32"/>
          <w:szCs w:val="32"/>
          <w:lang w:eastAsia="zh-CN"/>
        </w:rPr>
        <w:t>、其他车型</w:t>
      </w:r>
      <w:r>
        <w:rPr>
          <w:rFonts w:hint="default" w:ascii="Times New Roman" w:hAnsi="Times New Roman" w:eastAsia="仿宋_GB2312" w:cs="Times New Roman"/>
          <w:sz w:val="32"/>
          <w:szCs w:val="32"/>
          <w:lang w:val="en-US" w:eastAsia="zh-CN"/>
        </w:rPr>
        <w:t>13辆</w:t>
      </w:r>
      <w:r>
        <w:rPr>
          <w:rFonts w:hint="default" w:ascii="Times New Roman" w:hAnsi="Times New Roman" w:eastAsia="仿宋_GB2312" w:cs="Times New Roman"/>
          <w:sz w:val="32"/>
          <w:szCs w:val="32"/>
        </w:rPr>
        <w:t>。</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公务用车运行维护费支出49.21万元。主要用于</w:t>
      </w:r>
      <w:r>
        <w:rPr>
          <w:rFonts w:hint="default" w:ascii="Times New Roman" w:hAnsi="Times New Roman" w:eastAsia="仿宋_GB2312" w:cs="Times New Roman"/>
          <w:sz w:val="32"/>
          <w:szCs w:val="32"/>
          <w:lang w:val="en-US" w:eastAsia="zh-CN"/>
        </w:rPr>
        <w:t>公路养护</w:t>
      </w:r>
      <w:r>
        <w:rPr>
          <w:rFonts w:hint="default" w:ascii="Times New Roman" w:hAnsi="Times New Roman" w:eastAsia="仿宋_GB2312" w:cs="Times New Roman"/>
          <w:sz w:val="32"/>
          <w:szCs w:val="32"/>
        </w:rPr>
        <w:t>等所需的公务用车燃料费、维修费、过路过桥费、保险费等支出。</w:t>
      </w:r>
    </w:p>
    <w:p>
      <w:pPr>
        <w:spacing w:line="600" w:lineRule="exact"/>
        <w:ind w:firstLine="64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color w:val="auto"/>
          <w:sz w:val="32"/>
          <w:szCs w:val="32"/>
          <w:highlight w:val="none"/>
        </w:rPr>
        <w:t>3.公务接待费支出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万元，完成预算</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%。其中：</w:t>
      </w:r>
    </w:p>
    <w:p>
      <w:pPr>
        <w:spacing w:line="600" w:lineRule="exact"/>
        <w:ind w:firstLine="640"/>
        <w:rPr>
          <w:rFonts w:hint="default" w:ascii="Times New Roman" w:hAnsi="Times New Roman" w:eastAsia="仿宋_GB2312" w:cs="Times New Roman"/>
          <w:color w:val="auto"/>
          <w:sz w:val="32"/>
          <w:szCs w:val="32"/>
          <w:highlight w:val="none"/>
        </w:rPr>
      </w:pPr>
      <w:bookmarkStart w:id="45" w:name="_Toc15377218"/>
      <w:bookmarkStart w:id="46" w:name="_Toc15396610"/>
      <w:r>
        <w:rPr>
          <w:rFonts w:hint="default" w:ascii="Times New Roman" w:hAnsi="Times New Roman" w:eastAsia="仿宋" w:cs="Times New Roman"/>
          <w:b/>
          <w:color w:val="auto"/>
          <w:sz w:val="32"/>
          <w:szCs w:val="32"/>
          <w:highlight w:val="none"/>
        </w:rPr>
        <w:t>国内公务接待支出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万元。国内公务接待</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批次，</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人次（不包括陪同人员），共计支出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p>
    <w:p>
      <w:pPr>
        <w:spacing w:line="600" w:lineRule="exact"/>
        <w:ind w:firstLine="643"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 w:cs="Times New Roman"/>
          <w:b/>
          <w:color w:val="auto"/>
          <w:sz w:val="32"/>
          <w:szCs w:val="32"/>
          <w:highlight w:val="none"/>
        </w:rPr>
        <w:t>外事接待支出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外事接待</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批次，</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人</w:t>
      </w:r>
      <w:r>
        <w:rPr>
          <w:rFonts w:hint="default" w:ascii="Times New Roman" w:hAnsi="Times New Roman" w:eastAsia="仿宋_GB2312" w:cs="Times New Roman"/>
          <w:sz w:val="32"/>
          <w:szCs w:val="32"/>
          <w:lang w:eastAsia="zh-CN"/>
        </w:rPr>
        <w:t>次（不包括陪同人员）</w:t>
      </w:r>
      <w:r>
        <w:rPr>
          <w:rFonts w:hint="default" w:ascii="Times New Roman" w:hAnsi="Times New Roman" w:eastAsia="仿宋_GB2312" w:cs="Times New Roman"/>
          <w:sz w:val="32"/>
          <w:szCs w:val="32"/>
        </w:rPr>
        <w:t>，共计支出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p>
    <w:p>
      <w:pPr>
        <w:spacing w:line="600" w:lineRule="exact"/>
        <w:ind w:firstLine="640"/>
        <w:outlineLvl w:val="1"/>
        <w:rPr>
          <w:rStyle w:val="29"/>
          <w:rFonts w:hint="default" w:ascii="Times New Roman" w:hAnsi="Times New Roman" w:eastAsia="黑体" w:cs="Times New Roman"/>
        </w:rPr>
      </w:pPr>
      <w:bookmarkStart w:id="47" w:name="_Toc10975"/>
      <w:r>
        <w:rPr>
          <w:rFonts w:hint="default" w:ascii="Times New Roman" w:hAnsi="Times New Roman" w:eastAsia="黑体" w:cs="Times New Roman"/>
          <w:sz w:val="32"/>
          <w:szCs w:val="32"/>
        </w:rPr>
        <w:t>八、</w:t>
      </w:r>
      <w:r>
        <w:rPr>
          <w:rStyle w:val="29"/>
          <w:rFonts w:hint="default" w:ascii="Times New Roman" w:hAnsi="Times New Roman" w:eastAsia="黑体" w:cs="Times New Roman"/>
          <w:b w:val="0"/>
        </w:rPr>
        <w:t>政府性基金预算支出决算情况说明</w:t>
      </w:r>
      <w:bookmarkEnd w:id="45"/>
      <w:bookmarkEnd w:id="46"/>
      <w:bookmarkEnd w:id="47"/>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eastAsia="zh-CN"/>
        </w:rPr>
        <w:t>度</w:t>
      </w:r>
      <w:r>
        <w:rPr>
          <w:rFonts w:hint="default" w:ascii="Times New Roman" w:hAnsi="Times New Roman" w:eastAsia="仿宋_GB2312" w:cs="Times New Roman"/>
          <w:sz w:val="32"/>
          <w:szCs w:val="32"/>
        </w:rPr>
        <w:t>政府性基金预算</w:t>
      </w:r>
      <w:r>
        <w:rPr>
          <w:rFonts w:hint="default" w:ascii="Times New Roman" w:hAnsi="Times New Roman" w:eastAsia="仿宋_GB2312" w:cs="Times New Roman"/>
          <w:sz w:val="32"/>
          <w:szCs w:val="32"/>
          <w:lang w:eastAsia="zh-CN"/>
        </w:rPr>
        <w:t>财政</w:t>
      </w:r>
      <w:r>
        <w:rPr>
          <w:rFonts w:hint="default" w:ascii="Times New Roman" w:hAnsi="Times New Roman" w:eastAsia="仿宋_GB2312" w:cs="Times New Roman"/>
          <w:sz w:val="32"/>
          <w:szCs w:val="32"/>
        </w:rPr>
        <w:t>拨款支出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p>
    <w:p>
      <w:pPr>
        <w:spacing w:line="600" w:lineRule="exact"/>
        <w:ind w:left="630"/>
        <w:outlineLvl w:val="1"/>
        <w:rPr>
          <w:rStyle w:val="29"/>
          <w:rFonts w:hint="default" w:ascii="Times New Roman" w:hAnsi="Times New Roman" w:eastAsia="黑体" w:cs="Times New Roman"/>
          <w:b w:val="0"/>
        </w:rPr>
      </w:pPr>
      <w:bookmarkStart w:id="48" w:name="_Toc15377219"/>
      <w:bookmarkStart w:id="49" w:name="_Toc25759"/>
      <w:bookmarkStart w:id="50" w:name="_Toc15396611"/>
      <w:r>
        <w:rPr>
          <w:rStyle w:val="29"/>
          <w:rFonts w:hint="default" w:ascii="Times New Roman" w:hAnsi="Times New Roman" w:eastAsia="黑体" w:cs="Times New Roman"/>
          <w:b w:val="0"/>
        </w:rPr>
        <w:t>九、国有资本经营预算支出决算情况说明</w:t>
      </w:r>
      <w:bookmarkEnd w:id="48"/>
      <w:bookmarkEnd w:id="49"/>
      <w:bookmarkEnd w:id="50"/>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eastAsia="zh-CN"/>
        </w:rPr>
        <w:t>度</w:t>
      </w:r>
      <w:r>
        <w:rPr>
          <w:rFonts w:hint="default" w:ascii="Times New Roman" w:hAnsi="Times New Roman" w:eastAsia="仿宋_GB2312" w:cs="Times New Roman"/>
          <w:sz w:val="32"/>
          <w:szCs w:val="32"/>
        </w:rPr>
        <w:t>国有资本经营预算</w:t>
      </w:r>
      <w:r>
        <w:rPr>
          <w:rFonts w:hint="default" w:ascii="Times New Roman" w:hAnsi="Times New Roman" w:eastAsia="仿宋_GB2312" w:cs="Times New Roman"/>
          <w:sz w:val="32"/>
          <w:szCs w:val="32"/>
          <w:lang w:eastAsia="zh-CN"/>
        </w:rPr>
        <w:t>财政</w:t>
      </w:r>
      <w:r>
        <w:rPr>
          <w:rFonts w:hint="default" w:ascii="Times New Roman" w:hAnsi="Times New Roman" w:eastAsia="仿宋_GB2312" w:cs="Times New Roman"/>
          <w:sz w:val="32"/>
          <w:szCs w:val="32"/>
        </w:rPr>
        <w:t>拨款支出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p>
    <w:p>
      <w:pPr>
        <w:spacing w:line="600" w:lineRule="exact"/>
        <w:ind w:left="630"/>
        <w:outlineLvl w:val="1"/>
        <w:rPr>
          <w:rStyle w:val="29"/>
          <w:rFonts w:hint="default" w:ascii="Times New Roman" w:hAnsi="Times New Roman" w:eastAsia="黑体" w:cs="Times New Roman"/>
          <w:b w:val="0"/>
        </w:rPr>
      </w:pPr>
      <w:bookmarkStart w:id="51" w:name="_Toc15266"/>
      <w:bookmarkStart w:id="52" w:name="_Toc15396612"/>
      <w:bookmarkStart w:id="53" w:name="_Toc15377221"/>
      <w:r>
        <w:rPr>
          <w:rStyle w:val="29"/>
          <w:rFonts w:hint="default" w:ascii="Times New Roman" w:hAnsi="Times New Roman" w:eastAsia="黑体" w:cs="Times New Roman"/>
          <w:b w:val="0"/>
        </w:rPr>
        <w:t>十、其他重要事项的情况说明</w:t>
      </w:r>
      <w:bookmarkEnd w:id="51"/>
      <w:bookmarkEnd w:id="52"/>
      <w:bookmarkEnd w:id="53"/>
    </w:p>
    <w:p>
      <w:pPr>
        <w:spacing w:line="600" w:lineRule="exact"/>
        <w:ind w:firstLine="643" w:firstLineChars="200"/>
        <w:outlineLvl w:val="2"/>
        <w:rPr>
          <w:rFonts w:hint="default" w:ascii="Times New Roman" w:hAnsi="Times New Roman" w:eastAsia="楷体_GB2312" w:cs="Times New Roman"/>
          <w:b/>
          <w:sz w:val="32"/>
          <w:szCs w:val="32"/>
        </w:rPr>
      </w:pPr>
      <w:bookmarkStart w:id="54" w:name="_Toc15377222"/>
      <w:r>
        <w:rPr>
          <w:rFonts w:hint="default" w:ascii="Times New Roman" w:hAnsi="Times New Roman" w:eastAsia="楷体_GB2312" w:cs="Times New Roman"/>
          <w:b/>
          <w:sz w:val="32"/>
          <w:szCs w:val="32"/>
        </w:rPr>
        <w:t>（一）机关运行经费支出情况</w:t>
      </w:r>
      <w:bookmarkEnd w:id="54"/>
    </w:p>
    <w:p>
      <w:pPr>
        <w:spacing w:line="600" w:lineRule="exact"/>
        <w:ind w:firstLine="64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eastAsia="zh-CN"/>
        </w:rPr>
        <w:t>度</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本单位</w:t>
      </w:r>
      <w:r>
        <w:rPr>
          <w:rFonts w:hint="default" w:ascii="Times New Roman" w:hAnsi="Times New Roman" w:eastAsia="仿宋_GB2312" w:cs="Times New Roman"/>
          <w:sz w:val="32"/>
          <w:szCs w:val="32"/>
        </w:rPr>
        <w:t>机关运行经费支出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w:t>
      </w:r>
    </w:p>
    <w:p>
      <w:pPr>
        <w:spacing w:line="600" w:lineRule="exact"/>
        <w:ind w:firstLine="643" w:firstLineChars="200"/>
        <w:outlineLvl w:val="2"/>
        <w:rPr>
          <w:rFonts w:hint="default" w:ascii="Times New Roman" w:hAnsi="Times New Roman" w:eastAsia="楷体_GB2312" w:cs="Times New Roman"/>
          <w:b/>
          <w:sz w:val="32"/>
          <w:szCs w:val="32"/>
        </w:rPr>
      </w:pPr>
      <w:bookmarkStart w:id="55" w:name="_Toc15377223"/>
      <w:r>
        <w:rPr>
          <w:rFonts w:hint="default" w:ascii="Times New Roman" w:hAnsi="Times New Roman" w:eastAsia="楷体_GB2312" w:cs="Times New Roman"/>
          <w:b/>
          <w:sz w:val="32"/>
          <w:szCs w:val="32"/>
        </w:rPr>
        <w:t>（二）政府采购支出情况</w:t>
      </w:r>
      <w:bookmarkEnd w:id="55"/>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2024年度，</w:t>
      </w:r>
      <w:r>
        <w:rPr>
          <w:rFonts w:hint="default" w:ascii="Times New Roman" w:hAnsi="Times New Roman" w:eastAsia="仿宋_GB2312" w:cs="Times New Roman"/>
          <w:sz w:val="32"/>
          <w:szCs w:val="32"/>
          <w:lang w:val="en-US" w:eastAsia="zh-CN"/>
        </w:rPr>
        <w:t>本单位</w:t>
      </w:r>
      <w:r>
        <w:rPr>
          <w:rFonts w:hint="default" w:ascii="Times New Roman" w:hAnsi="Times New Roman" w:eastAsia="仿宋_GB2312" w:cs="Times New Roman"/>
          <w:sz w:val="32"/>
          <w:szCs w:val="32"/>
        </w:rPr>
        <w:t>采购支出总额317.84万元，其中：政府采购货物支出0.64万元、政府采购工程支出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万元、政府采购服务支出317.20万元。主要用于</w:t>
      </w:r>
      <w:r>
        <w:rPr>
          <w:rFonts w:hint="eastAsia" w:ascii="Times New Roman" w:hAnsi="Times New Roman" w:eastAsia="仿宋_GB2312" w:cs="Times New Roman"/>
          <w:sz w:val="32"/>
          <w:szCs w:val="32"/>
          <w:lang w:val="en-US" w:eastAsia="zh-CN"/>
        </w:rPr>
        <w:t>单位项目支出中的采购</w:t>
      </w:r>
      <w:r>
        <w:rPr>
          <w:rFonts w:hint="default" w:ascii="Times New Roman" w:hAnsi="Times New Roman" w:eastAsia="仿宋_GB2312" w:cs="Times New Roman"/>
          <w:sz w:val="32"/>
          <w:szCs w:val="32"/>
        </w:rPr>
        <w:t>。授予中小企业合同金额</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万元，占政府采购支出总额的</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%，其中：授予小微企业合同金额</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万元，占政府采购支出总额的</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w:t>
      </w:r>
    </w:p>
    <w:p>
      <w:pPr>
        <w:spacing w:line="600" w:lineRule="exact"/>
        <w:ind w:firstLine="643" w:firstLineChars="200"/>
        <w:outlineLvl w:val="2"/>
        <w:rPr>
          <w:rFonts w:hint="default" w:ascii="Times New Roman" w:hAnsi="Times New Roman" w:eastAsia="楷体_GB2312" w:cs="Times New Roman"/>
          <w:b/>
          <w:sz w:val="32"/>
          <w:szCs w:val="32"/>
        </w:rPr>
      </w:pPr>
      <w:bookmarkStart w:id="56" w:name="_Toc15377224"/>
      <w:r>
        <w:rPr>
          <w:rFonts w:hint="default" w:ascii="Times New Roman" w:hAnsi="Times New Roman" w:eastAsia="楷体_GB2312" w:cs="Times New Roman"/>
          <w:b/>
          <w:sz w:val="32"/>
          <w:szCs w:val="32"/>
        </w:rPr>
        <w:t>（三）国有资产占有使用情况</w:t>
      </w:r>
      <w:bookmarkEnd w:id="56"/>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截至</w:t>
      </w:r>
      <w:r>
        <w:rPr>
          <w:rFonts w:hint="default" w:ascii="Times New Roman" w:hAnsi="Times New Roman" w:eastAsia="仿宋_GB2312" w:cs="Times New Roman"/>
          <w:sz w:val="32"/>
          <w:szCs w:val="32"/>
          <w:lang w:eastAsia="zh-CN"/>
        </w:rPr>
        <w:t>2023</w:t>
      </w:r>
      <w:r>
        <w:rPr>
          <w:rFonts w:hint="default" w:ascii="Times New Roman" w:hAnsi="Times New Roman" w:eastAsia="仿宋_GB2312" w:cs="Times New Roman"/>
          <w:sz w:val="32"/>
          <w:szCs w:val="32"/>
        </w:rPr>
        <w:t>年12月31日，</w:t>
      </w:r>
      <w:r>
        <w:rPr>
          <w:rFonts w:hint="default" w:ascii="Times New Roman" w:hAnsi="Times New Roman" w:eastAsia="仿宋_GB2312" w:cs="Times New Roman"/>
          <w:sz w:val="32"/>
          <w:szCs w:val="32"/>
          <w:lang w:val="en-US" w:eastAsia="zh-CN"/>
        </w:rPr>
        <w:t>本单位</w:t>
      </w:r>
      <w:r>
        <w:rPr>
          <w:rFonts w:hint="default" w:ascii="Times New Roman" w:hAnsi="Times New Roman" w:eastAsia="仿宋_GB2312" w:cs="Times New Roman"/>
          <w:sz w:val="32"/>
          <w:szCs w:val="32"/>
        </w:rPr>
        <w:t>共有车辆</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辆，其中：应急保障用车</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辆、其他用车</w:t>
      </w:r>
      <w:r>
        <w:rPr>
          <w:rFonts w:hint="default"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rPr>
        <w:t>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其他用车主要是用于</w:t>
      </w:r>
      <w:r>
        <w:rPr>
          <w:rFonts w:hint="default" w:ascii="Times New Roman" w:hAnsi="Times New Roman" w:eastAsia="仿宋_GB2312" w:cs="Times New Roman"/>
          <w:sz w:val="32"/>
          <w:szCs w:val="32"/>
          <w:lang w:val="en-US" w:eastAsia="zh-CN"/>
        </w:rPr>
        <w:t>公路养护</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单价50万元以上通用设备</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台（套），单价100万元以上专用设备</w:t>
      </w:r>
      <w:r>
        <w:rPr>
          <w:rFonts w:hint="default" w:ascii="Times New Roman" w:hAnsi="Times New Roman" w:eastAsia="仿宋_GB2312" w:cs="Times New Roman"/>
          <w:sz w:val="32"/>
          <w:szCs w:val="32"/>
          <w:lang w:eastAsia="zh-CN"/>
        </w:rPr>
        <w:t>（不含车辆）</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台（套）。</w:t>
      </w:r>
    </w:p>
    <w:p>
      <w:pPr>
        <w:spacing w:line="600" w:lineRule="exact"/>
        <w:ind w:firstLine="643" w:firstLineChars="200"/>
        <w:outlineLvl w:val="2"/>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（四）预算绩效管理情况</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根据预算绩效管理要求，</w:t>
      </w:r>
      <w:r>
        <w:rPr>
          <w:rFonts w:hint="eastAsia" w:eastAsia="仿宋_GB2312" w:cs="Times New Roman"/>
          <w:sz w:val="32"/>
          <w:szCs w:val="32"/>
          <w:lang w:val="en-US" w:eastAsia="zh-CN"/>
        </w:rPr>
        <w:t>本单位</w:t>
      </w:r>
      <w:r>
        <w:rPr>
          <w:rFonts w:hint="default" w:ascii="Times New Roman" w:hAnsi="Times New Roman" w:eastAsia="仿宋_GB2312" w:cs="Times New Roman"/>
          <w:sz w:val="32"/>
          <w:szCs w:val="32"/>
        </w:rPr>
        <w:t>在2024年度预算编制阶段，组织对鹧鸪山和海子山隧道视频恢复及接入省厅系统</w:t>
      </w:r>
      <w:r>
        <w:rPr>
          <w:rFonts w:hint="eastAsia" w:eastAsia="仿宋_GB2312" w:cs="Times New Roman"/>
          <w:sz w:val="32"/>
          <w:szCs w:val="32"/>
          <w:lang w:eastAsia="zh-CN"/>
        </w:rPr>
        <w:t>、阿坝州公路隧道管理处退休人员春节慰问费</w:t>
      </w:r>
      <w:r>
        <w:rPr>
          <w:rFonts w:hint="default" w:ascii="Times New Roman" w:hAnsi="Times New Roman" w:eastAsia="仿宋_GB2312" w:cs="Times New Roman"/>
          <w:sz w:val="32"/>
          <w:szCs w:val="32"/>
        </w:rPr>
        <w:t>等</w:t>
      </w:r>
      <w:r>
        <w:rPr>
          <w:rFonts w:hint="eastAsia" w:eastAsia="仿宋_GB2312" w:cs="Times New Roman"/>
          <w:sz w:val="32"/>
          <w:szCs w:val="32"/>
          <w:lang w:val="en-US" w:eastAsia="zh-CN"/>
        </w:rPr>
        <w:t>7</w:t>
      </w:r>
      <w:r>
        <w:rPr>
          <w:rFonts w:hint="default" w:ascii="Times New Roman" w:hAnsi="Times New Roman" w:eastAsia="仿宋_GB2312" w:cs="Times New Roman"/>
          <w:sz w:val="32"/>
          <w:szCs w:val="32"/>
        </w:rPr>
        <w:t>个项目开展了预算事前绩效评估，对</w:t>
      </w:r>
      <w:r>
        <w:rPr>
          <w:rFonts w:hint="eastAsia" w:eastAsia="仿宋_GB2312" w:cs="Times New Roman"/>
          <w:sz w:val="32"/>
          <w:szCs w:val="32"/>
          <w:lang w:val="en-US" w:eastAsia="zh-CN"/>
        </w:rPr>
        <w:t>7</w:t>
      </w:r>
      <w:r>
        <w:rPr>
          <w:rFonts w:hint="default" w:ascii="Times New Roman" w:hAnsi="Times New Roman" w:eastAsia="仿宋_GB2312" w:cs="Times New Roman"/>
          <w:sz w:val="32"/>
          <w:szCs w:val="32"/>
        </w:rPr>
        <w:t>个项目编制了绩效目标，预算执行过程中，选取</w:t>
      </w:r>
      <w:r>
        <w:rPr>
          <w:rFonts w:hint="eastAsia" w:eastAsia="仿宋_GB2312" w:cs="Times New Roman"/>
          <w:sz w:val="32"/>
          <w:szCs w:val="32"/>
          <w:lang w:val="en-US" w:eastAsia="zh-CN"/>
        </w:rPr>
        <w:t>7</w:t>
      </w:r>
      <w:r>
        <w:rPr>
          <w:rFonts w:hint="default" w:ascii="Times New Roman" w:hAnsi="Times New Roman" w:eastAsia="仿宋_GB2312" w:cs="Times New Roman"/>
          <w:sz w:val="32"/>
          <w:szCs w:val="32"/>
        </w:rPr>
        <w:t>个项目开展绩效监控。绩效自评表详见第四部分附件。</w:t>
      </w:r>
    </w:p>
    <w:p>
      <w:pP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pPr>
        <w:spacing w:line="600" w:lineRule="exact"/>
        <w:ind w:firstLine="640"/>
        <w:rPr>
          <w:rFonts w:hint="default" w:ascii="Times New Roman" w:hAnsi="Times New Roman" w:eastAsia="仿宋_GB2312" w:cs="Times New Roman"/>
          <w:sz w:val="32"/>
          <w:szCs w:val="32"/>
        </w:rPr>
      </w:pPr>
    </w:p>
    <w:p>
      <w:pPr>
        <w:pStyle w:val="3"/>
        <w:jc w:val="center"/>
        <w:rPr>
          <w:rFonts w:hint="default" w:ascii="Times New Roman" w:hAnsi="Times New Roman" w:eastAsia="方正小标宋简体" w:cs="Times New Roman"/>
          <w:b w:val="0"/>
        </w:rPr>
      </w:pPr>
      <w:bookmarkStart w:id="57" w:name="_Toc15396613"/>
      <w:bookmarkStart w:id="58" w:name="_Toc15377225"/>
      <w:bookmarkStart w:id="59" w:name="_Toc27460"/>
      <w:r>
        <w:rPr>
          <w:rFonts w:hint="default" w:ascii="Times New Roman" w:hAnsi="Times New Roman" w:eastAsia="方正小标宋简体" w:cs="Times New Roman"/>
          <w:b w:val="0"/>
        </w:rPr>
        <w:t>第三部分  名词解释</w:t>
      </w:r>
      <w:bookmarkEnd w:id="57"/>
      <w:bookmarkEnd w:id="58"/>
      <w:bookmarkEnd w:id="59"/>
    </w:p>
    <w:p>
      <w:pPr>
        <w:ind w:firstLine="640" w:firstLineChars="200"/>
        <w:rPr>
          <w:rFonts w:hint="default" w:ascii="Times New Roman" w:hAnsi="Times New Roman" w:eastAsia="仿宋_GB2312" w:cs="Times New Roman"/>
          <w:color w:val="auto"/>
          <w:kern w:val="2"/>
          <w:sz w:val="32"/>
          <w:szCs w:val="32"/>
          <w:lang w:val="en-US" w:eastAsia="zh-CN" w:bidi="ar-SA"/>
        </w:rPr>
      </w:pPr>
      <w:bookmarkStart w:id="60" w:name="_Toc14338"/>
      <w:bookmarkStart w:id="61" w:name="_Toc15377226"/>
      <w:r>
        <w:rPr>
          <w:rFonts w:hint="default" w:ascii="Times New Roman" w:hAnsi="Times New Roman" w:eastAsia="仿宋_GB2312" w:cs="Times New Roman"/>
          <w:color w:val="auto"/>
          <w:kern w:val="2"/>
          <w:sz w:val="32"/>
          <w:szCs w:val="32"/>
          <w:lang w:val="en-US" w:eastAsia="zh-CN" w:bidi="ar-SA"/>
        </w:rPr>
        <w:t>1.财政拨款收入：指单位从同级财政单位取得的财政预算资金。</w:t>
      </w:r>
      <w:bookmarkEnd w:id="60"/>
    </w:p>
    <w:p>
      <w:pPr>
        <w:ind w:firstLine="640" w:firstLineChars="20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2.社会保障和就业支出（类）行政事业单位养老支出（款）机关事业单位基本养老保险缴费支出（项）： 指反映机关事业单位实施养老保险制度由单位缴纳的基本养老保险费支出。</w:t>
      </w:r>
    </w:p>
    <w:p>
      <w:pPr>
        <w:ind w:firstLine="640" w:firstLineChars="20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3.社会保障和就业支出（类）行政事业单位养老支出（款）机关事业单位职业年金缴费支出（项）： 指反映机关事业单位实施养老保险制度由单位实际缴纳的职业年金支出。</w:t>
      </w:r>
    </w:p>
    <w:p>
      <w:pPr>
        <w:ind w:firstLine="640" w:firstLineChars="20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4.卫生健康支出（类）行政事业单位医疗（款）事业单位医疗（项）： 指反映财政部门安排的事业单位基本医疗保险缴费经费，未参加医疗保险的事业单位的公费医疗经费，按国家规定享受离休人员待遇的医疗经费。</w:t>
      </w:r>
    </w:p>
    <w:p>
      <w:pPr>
        <w:ind w:firstLine="640" w:firstLineChars="20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5.卫生健康支出（类）行政事业单位医疗（款）其他行政事业单位医疗支出（项）：指反映除上述项目以外的其他用于行政事业单位医疗方面的支出。</w:t>
      </w:r>
    </w:p>
    <w:p>
      <w:pPr>
        <w:ind w:firstLine="640" w:firstLineChars="20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6.交通运输支出（类）公路水路运输（款）公路养护（项）：指反映公路养护支出。</w:t>
      </w:r>
    </w:p>
    <w:p>
      <w:pPr>
        <w:ind w:firstLine="640" w:firstLineChars="20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7.住房保障支出（类）住房改革支出（款）住房公积金（项）：指反映行政事业单位按人力资源和社会保障部、财政部规定的基本工资和津贴补贴以及规定比例为职工缴纳的住房公积金。</w:t>
      </w:r>
    </w:p>
    <w:p>
      <w:pPr>
        <w:ind w:firstLine="640" w:firstLineChars="20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8.住房保障支出（类）住房改革支出（款）购房补贴（项）：指反映按房改政策规定，行政事业单位向符合条件职工（含离 退休人员）、军队（含武警）向转役复员离退休人员发放的用于购买住房的补贴。</w:t>
      </w:r>
    </w:p>
    <w:p>
      <w:pPr>
        <w:ind w:firstLine="640" w:firstLineChars="20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9.基本支出：指为保障机构正常运转、完成日常工作任务而发生的人员支出和公用支出。</w:t>
      </w:r>
    </w:p>
    <w:p>
      <w:pPr>
        <w:ind w:firstLine="640" w:firstLineChars="20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 xml:space="preserve">10.项目支出：指在基本支出之外为完成特定行政任务和事业发展目标所发生的支出。 </w:t>
      </w:r>
    </w:p>
    <w:p>
      <w:pPr>
        <w:pStyle w:val="26"/>
        <w:spacing w:line="560" w:lineRule="exact"/>
        <w:ind w:firstLine="640" w:firstLineChars="20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11.“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3"/>
        <w:jc w:val="center"/>
        <w:rPr>
          <w:rStyle w:val="28"/>
          <w:rFonts w:hint="default" w:ascii="Times New Roman" w:hAnsi="Times New Roman" w:eastAsia="黑体" w:cs="Times New Roman"/>
          <w:b w:val="0"/>
          <w:bCs/>
        </w:rPr>
      </w:pPr>
      <w:r>
        <w:rPr>
          <w:rFonts w:hint="default" w:ascii="Times New Roman" w:hAnsi="Times New Roman" w:eastAsia="仿宋_GB2312" w:cs="Times New Roman"/>
          <w:color w:val="auto"/>
          <w:kern w:val="2"/>
          <w:sz w:val="32"/>
          <w:szCs w:val="32"/>
          <w:lang w:val="en-US" w:eastAsia="zh-CN" w:bidi="ar-SA"/>
        </w:rPr>
        <w:br w:type="page"/>
      </w:r>
      <w:bookmarkStart w:id="62" w:name="_Toc15396614"/>
      <w:bookmarkStart w:id="63" w:name="_Toc14860"/>
      <w:r>
        <w:rPr>
          <w:rFonts w:hint="default" w:ascii="Times New Roman" w:hAnsi="Times New Roman" w:eastAsia="方正小标宋简体" w:cs="Times New Roman"/>
          <w:b w:val="0"/>
        </w:rPr>
        <w:t>第四部分  附件</w:t>
      </w:r>
      <w:bookmarkEnd w:id="62"/>
      <w:bookmarkEnd w:id="63"/>
    </w:p>
    <w:p>
      <w:r>
        <w:drawing>
          <wp:inline distT="0" distB="0" distL="114300" distR="114300">
            <wp:extent cx="5271135" cy="6826250"/>
            <wp:effectExtent l="0" t="0" r="1905" b="127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6"/>
                    <a:stretch>
                      <a:fillRect/>
                    </a:stretch>
                  </pic:blipFill>
                  <pic:spPr>
                    <a:xfrm>
                      <a:off x="0" y="0"/>
                      <a:ext cx="5271135" cy="6826250"/>
                    </a:xfrm>
                    <a:prstGeom prst="rect">
                      <a:avLst/>
                    </a:prstGeom>
                    <a:noFill/>
                    <a:ln>
                      <a:noFill/>
                    </a:ln>
                  </pic:spPr>
                </pic:pic>
              </a:graphicData>
            </a:graphic>
          </wp:inline>
        </w:drawing>
      </w:r>
    </w:p>
    <w:p>
      <w:pPr>
        <w:pStyle w:val="2"/>
        <w:rPr>
          <w:rFonts w:hint="default"/>
        </w:rPr>
      </w:pPr>
    </w:p>
    <w:p>
      <w:pPr>
        <w:spacing w:line="578" w:lineRule="exact"/>
        <w:ind w:firstLine="640"/>
        <w:rPr>
          <w:rFonts w:hint="default" w:ascii="Times New Roman" w:hAnsi="Times New Roman" w:eastAsia="仿宋_GB2312" w:cs="Times New Roman"/>
          <w:kern w:val="0"/>
          <w:sz w:val="32"/>
          <w:szCs w:val="32"/>
        </w:rPr>
      </w:pPr>
      <w:bookmarkStart w:id="64" w:name="_Toc15396618"/>
      <w:r>
        <w:rPr>
          <w:rFonts w:hint="default" w:ascii="Times New Roman" w:hAnsi="Times New Roman" w:eastAsia="仿宋_GB2312" w:cs="Times New Roman"/>
          <w:kern w:val="0"/>
          <w:sz w:val="32"/>
          <w:szCs w:val="32"/>
        </w:rPr>
        <w:br w:type="page"/>
      </w:r>
    </w:p>
    <w:p>
      <w:r>
        <w:drawing>
          <wp:inline distT="0" distB="0" distL="114300" distR="114300">
            <wp:extent cx="5271135" cy="6681470"/>
            <wp:effectExtent l="0" t="0" r="1905" b="889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17"/>
                    <a:stretch>
                      <a:fillRect/>
                    </a:stretch>
                  </pic:blipFill>
                  <pic:spPr>
                    <a:xfrm>
                      <a:off x="0" y="0"/>
                      <a:ext cx="5271135" cy="6681470"/>
                    </a:xfrm>
                    <a:prstGeom prst="rect">
                      <a:avLst/>
                    </a:prstGeom>
                    <a:noFill/>
                    <a:ln>
                      <a:noFill/>
                    </a:ln>
                  </pic:spPr>
                </pic:pic>
              </a:graphicData>
            </a:graphic>
          </wp:inline>
        </w:drawing>
      </w:r>
    </w:p>
    <w:p>
      <w:pPr>
        <w:pStyle w:val="2"/>
      </w:pPr>
      <w:r>
        <w:drawing>
          <wp:inline distT="0" distB="0" distL="114300" distR="114300">
            <wp:extent cx="5271135" cy="7345045"/>
            <wp:effectExtent l="0" t="0" r="1905" b="635"/>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1"/>
                    <pic:cNvPicPr>
                      <a:picLocks noChangeAspect="1"/>
                    </pic:cNvPicPr>
                  </pic:nvPicPr>
                  <pic:blipFill>
                    <a:blip r:embed="rId18"/>
                    <a:stretch>
                      <a:fillRect/>
                    </a:stretch>
                  </pic:blipFill>
                  <pic:spPr>
                    <a:xfrm>
                      <a:off x="0" y="0"/>
                      <a:ext cx="5271135" cy="7345045"/>
                    </a:xfrm>
                    <a:prstGeom prst="rect">
                      <a:avLst/>
                    </a:prstGeom>
                    <a:noFill/>
                    <a:ln>
                      <a:noFill/>
                    </a:ln>
                  </pic:spPr>
                </pic:pic>
              </a:graphicData>
            </a:graphic>
          </wp:inline>
        </w:drawing>
      </w:r>
    </w:p>
    <w:p>
      <w:r>
        <w:drawing>
          <wp:inline distT="0" distB="0" distL="114300" distR="114300">
            <wp:extent cx="5271135" cy="6705600"/>
            <wp:effectExtent l="0" t="0" r="1905" b="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19"/>
                    <a:stretch>
                      <a:fillRect/>
                    </a:stretch>
                  </pic:blipFill>
                  <pic:spPr>
                    <a:xfrm>
                      <a:off x="0" y="0"/>
                      <a:ext cx="5271135" cy="6705600"/>
                    </a:xfrm>
                    <a:prstGeom prst="rect">
                      <a:avLst/>
                    </a:prstGeom>
                    <a:noFill/>
                    <a:ln>
                      <a:noFill/>
                    </a:ln>
                  </pic:spPr>
                </pic:pic>
              </a:graphicData>
            </a:graphic>
          </wp:inline>
        </w:drawing>
      </w:r>
    </w:p>
    <w:p>
      <w:pPr>
        <w:pStyle w:val="2"/>
      </w:pPr>
    </w:p>
    <w:p>
      <w:r>
        <w:drawing>
          <wp:inline distT="0" distB="0" distL="114300" distR="114300">
            <wp:extent cx="5271135" cy="7166610"/>
            <wp:effectExtent l="0" t="0" r="1905" b="1143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20"/>
                    <a:stretch>
                      <a:fillRect/>
                    </a:stretch>
                  </pic:blipFill>
                  <pic:spPr>
                    <a:xfrm>
                      <a:off x="0" y="0"/>
                      <a:ext cx="5271135" cy="7166610"/>
                    </a:xfrm>
                    <a:prstGeom prst="rect">
                      <a:avLst/>
                    </a:prstGeom>
                    <a:noFill/>
                    <a:ln>
                      <a:noFill/>
                    </a:ln>
                  </pic:spPr>
                </pic:pic>
              </a:graphicData>
            </a:graphic>
          </wp:inline>
        </w:drawing>
      </w:r>
    </w:p>
    <w:p>
      <w:pPr>
        <w:pStyle w:val="2"/>
      </w:pPr>
      <w:r>
        <w:drawing>
          <wp:inline distT="0" distB="0" distL="114300" distR="114300">
            <wp:extent cx="5271135" cy="6320790"/>
            <wp:effectExtent l="0" t="0" r="1905" b="3810"/>
            <wp:docPr id="1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
                    <pic:cNvPicPr>
                      <a:picLocks noChangeAspect="1"/>
                    </pic:cNvPicPr>
                  </pic:nvPicPr>
                  <pic:blipFill>
                    <a:blip r:embed="rId21"/>
                    <a:stretch>
                      <a:fillRect/>
                    </a:stretch>
                  </pic:blipFill>
                  <pic:spPr>
                    <a:xfrm>
                      <a:off x="0" y="0"/>
                      <a:ext cx="5271135" cy="6320790"/>
                    </a:xfrm>
                    <a:prstGeom prst="rect">
                      <a:avLst/>
                    </a:prstGeom>
                    <a:noFill/>
                    <a:ln>
                      <a:noFill/>
                    </a:ln>
                  </pic:spPr>
                </pic:pic>
              </a:graphicData>
            </a:graphic>
          </wp:inline>
        </w:drawing>
      </w:r>
    </w:p>
    <w:p/>
    <w:p>
      <w:pPr>
        <w:pStyle w:val="2"/>
      </w:pPr>
      <w:r>
        <w:drawing>
          <wp:inline distT="0" distB="0" distL="114300" distR="114300">
            <wp:extent cx="5271135" cy="6261100"/>
            <wp:effectExtent l="0" t="0" r="1905" b="2540"/>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
                    <pic:cNvPicPr>
                      <a:picLocks noChangeAspect="1"/>
                    </pic:cNvPicPr>
                  </pic:nvPicPr>
                  <pic:blipFill>
                    <a:blip r:embed="rId22"/>
                    <a:stretch>
                      <a:fillRect/>
                    </a:stretch>
                  </pic:blipFill>
                  <pic:spPr>
                    <a:xfrm>
                      <a:off x="0" y="0"/>
                      <a:ext cx="5271135" cy="6261100"/>
                    </a:xfrm>
                    <a:prstGeom prst="rect">
                      <a:avLst/>
                    </a:prstGeom>
                    <a:noFill/>
                    <a:ln>
                      <a:noFill/>
                    </a:ln>
                  </pic:spPr>
                </pic:pic>
              </a:graphicData>
            </a:graphic>
          </wp:inline>
        </w:drawing>
      </w:r>
    </w:p>
    <w:p/>
    <w:p>
      <w:pPr>
        <w:pStyle w:val="2"/>
        <w:rPr>
          <w:rFonts w:hint="default"/>
        </w:rPr>
      </w:pPr>
    </w:p>
    <w:p>
      <w:pPr>
        <w:pStyle w:val="2"/>
        <w:rPr>
          <w:rFonts w:hint="default"/>
        </w:rPr>
      </w:pPr>
    </w:p>
    <w:p>
      <w:pPr>
        <w:rPr>
          <w:rFonts w:hint="default" w:ascii="Times New Roman" w:hAnsi="Times New Roman" w:eastAsia="黑体" w:cs="Times New Roman"/>
          <w:sz w:val="44"/>
          <w:szCs w:val="44"/>
        </w:rPr>
      </w:pPr>
      <w:r>
        <w:rPr>
          <w:rFonts w:hint="default" w:ascii="Times New Roman" w:hAnsi="Times New Roman" w:eastAsia="黑体" w:cs="Times New Roman"/>
          <w:sz w:val="44"/>
          <w:szCs w:val="44"/>
        </w:rPr>
        <w:br w:type="page"/>
      </w:r>
    </w:p>
    <w:p>
      <w:pPr>
        <w:pStyle w:val="3"/>
        <w:jc w:val="center"/>
        <w:rPr>
          <w:rFonts w:hint="default" w:ascii="Times New Roman" w:hAnsi="Times New Roman" w:eastAsia="方正小标宋简体" w:cs="Times New Roman"/>
          <w:b w:val="0"/>
        </w:rPr>
      </w:pPr>
      <w:bookmarkStart w:id="65" w:name="_Toc409"/>
      <w:r>
        <w:rPr>
          <w:rFonts w:hint="default" w:ascii="Times New Roman" w:hAnsi="Times New Roman" w:eastAsia="方正小标宋简体" w:cs="Times New Roman"/>
          <w:b w:val="0"/>
        </w:rPr>
        <w:t>第五部分 附表</w:t>
      </w:r>
      <w:bookmarkEnd w:id="61"/>
      <w:bookmarkEnd w:id="64"/>
      <w:bookmarkEnd w:id="65"/>
      <w:bookmarkStart w:id="66" w:name="_Toc15396619"/>
    </w:p>
    <w:p>
      <w:pPr>
        <w:pStyle w:val="4"/>
        <w:rPr>
          <w:rFonts w:hint="default" w:ascii="仿宋" w:hAnsi="仿宋" w:eastAsia="仿宋"/>
          <w:b w:val="0"/>
          <w:color w:val="auto"/>
          <w:highlight w:val="none"/>
        </w:rPr>
      </w:pPr>
      <w:bookmarkStart w:id="67" w:name="_Toc26740"/>
      <w:r>
        <w:rPr>
          <w:rFonts w:hint="default" w:ascii="仿宋" w:hAnsi="仿宋" w:eastAsia="仿宋"/>
          <w:b w:val="0"/>
          <w:color w:val="auto"/>
          <w:highlight w:val="none"/>
        </w:rPr>
        <w:t>一、收入支出决算总表</w:t>
      </w:r>
      <w:bookmarkEnd w:id="66"/>
      <w:bookmarkEnd w:id="67"/>
    </w:p>
    <w:p>
      <w:pPr>
        <w:pStyle w:val="4"/>
        <w:rPr>
          <w:rFonts w:hint="default" w:ascii="仿宋" w:hAnsi="仿宋" w:eastAsia="仿宋"/>
          <w:b w:val="0"/>
          <w:color w:val="auto"/>
          <w:highlight w:val="none"/>
        </w:rPr>
      </w:pPr>
      <w:bookmarkStart w:id="68" w:name="_Toc12238"/>
      <w:bookmarkStart w:id="69" w:name="_Toc15396620"/>
      <w:r>
        <w:rPr>
          <w:rFonts w:hint="default" w:ascii="仿宋" w:hAnsi="仿宋" w:eastAsia="仿宋"/>
          <w:b w:val="0"/>
          <w:color w:val="auto"/>
          <w:highlight w:val="none"/>
        </w:rPr>
        <w:t>二、收入决算表</w:t>
      </w:r>
      <w:bookmarkEnd w:id="68"/>
      <w:bookmarkEnd w:id="69"/>
    </w:p>
    <w:p>
      <w:pPr>
        <w:pStyle w:val="4"/>
        <w:rPr>
          <w:rFonts w:hint="default" w:ascii="仿宋" w:hAnsi="仿宋" w:eastAsia="仿宋"/>
          <w:b w:val="0"/>
          <w:color w:val="auto"/>
          <w:highlight w:val="none"/>
        </w:rPr>
      </w:pPr>
      <w:bookmarkStart w:id="70" w:name="_Toc2228"/>
      <w:bookmarkStart w:id="71" w:name="_Toc15396621"/>
      <w:r>
        <w:rPr>
          <w:rFonts w:hint="default" w:ascii="仿宋" w:hAnsi="仿宋" w:eastAsia="仿宋"/>
          <w:b w:val="0"/>
          <w:color w:val="auto"/>
          <w:highlight w:val="none"/>
        </w:rPr>
        <w:t>三、支出决算表</w:t>
      </w:r>
      <w:bookmarkEnd w:id="70"/>
      <w:bookmarkEnd w:id="71"/>
    </w:p>
    <w:p>
      <w:pPr>
        <w:pStyle w:val="4"/>
        <w:rPr>
          <w:rFonts w:hint="default" w:ascii="仿宋" w:hAnsi="仿宋" w:eastAsia="仿宋"/>
          <w:b w:val="0"/>
          <w:color w:val="auto"/>
          <w:highlight w:val="none"/>
        </w:rPr>
      </w:pPr>
      <w:bookmarkStart w:id="72" w:name="_Toc18706"/>
      <w:bookmarkStart w:id="73" w:name="_Toc15396622"/>
      <w:r>
        <w:rPr>
          <w:rFonts w:hint="default" w:ascii="仿宋" w:hAnsi="仿宋" w:eastAsia="仿宋"/>
          <w:b w:val="0"/>
          <w:color w:val="auto"/>
          <w:highlight w:val="none"/>
        </w:rPr>
        <w:t>四、财政拨款收入支出决算总表</w:t>
      </w:r>
      <w:bookmarkEnd w:id="72"/>
      <w:bookmarkEnd w:id="73"/>
    </w:p>
    <w:p>
      <w:pPr>
        <w:pStyle w:val="4"/>
        <w:rPr>
          <w:rFonts w:hint="default" w:ascii="仿宋" w:hAnsi="仿宋" w:eastAsia="仿宋"/>
          <w:b w:val="0"/>
          <w:color w:val="auto"/>
          <w:highlight w:val="none"/>
        </w:rPr>
      </w:pPr>
      <w:bookmarkStart w:id="74" w:name="_Toc24311"/>
      <w:bookmarkStart w:id="75" w:name="_Toc15396623"/>
      <w:r>
        <w:rPr>
          <w:rFonts w:hint="default" w:ascii="仿宋" w:hAnsi="仿宋" w:eastAsia="仿宋"/>
          <w:b w:val="0"/>
          <w:color w:val="auto"/>
          <w:highlight w:val="none"/>
        </w:rPr>
        <w:t>五、财政拨款支出决算明细表</w:t>
      </w:r>
      <w:bookmarkEnd w:id="74"/>
      <w:bookmarkEnd w:id="75"/>
      <w:bookmarkStart w:id="76" w:name="_Toc15396624"/>
    </w:p>
    <w:p>
      <w:pPr>
        <w:pStyle w:val="4"/>
        <w:rPr>
          <w:rFonts w:hint="default" w:ascii="仿宋" w:hAnsi="仿宋" w:eastAsia="仿宋"/>
          <w:b w:val="0"/>
          <w:color w:val="auto"/>
          <w:highlight w:val="none"/>
        </w:rPr>
      </w:pPr>
      <w:bookmarkStart w:id="77" w:name="_Toc12219"/>
      <w:r>
        <w:rPr>
          <w:rFonts w:hint="default" w:ascii="仿宋" w:hAnsi="仿宋" w:eastAsia="仿宋"/>
          <w:b w:val="0"/>
          <w:color w:val="auto"/>
          <w:highlight w:val="none"/>
        </w:rPr>
        <w:t>六、一般公共预算财政拨款支出决算表</w:t>
      </w:r>
      <w:bookmarkEnd w:id="76"/>
      <w:bookmarkEnd w:id="77"/>
    </w:p>
    <w:p>
      <w:pPr>
        <w:pStyle w:val="4"/>
        <w:rPr>
          <w:rFonts w:hint="default" w:ascii="仿宋" w:hAnsi="仿宋" w:eastAsia="仿宋"/>
          <w:b w:val="0"/>
          <w:color w:val="auto"/>
          <w:highlight w:val="none"/>
        </w:rPr>
      </w:pPr>
      <w:bookmarkStart w:id="78" w:name="_Toc15396625"/>
      <w:bookmarkStart w:id="79" w:name="_Toc32710"/>
      <w:r>
        <w:rPr>
          <w:rFonts w:hint="default" w:ascii="仿宋" w:hAnsi="仿宋" w:eastAsia="仿宋"/>
          <w:b w:val="0"/>
          <w:color w:val="auto"/>
          <w:highlight w:val="none"/>
        </w:rPr>
        <w:t>七、一般公共预算财政拨款支出决算明细表</w:t>
      </w:r>
      <w:bookmarkEnd w:id="78"/>
      <w:bookmarkEnd w:id="79"/>
    </w:p>
    <w:p>
      <w:pPr>
        <w:pStyle w:val="4"/>
        <w:rPr>
          <w:rFonts w:hint="default" w:ascii="仿宋" w:hAnsi="仿宋" w:eastAsia="仿宋"/>
          <w:b w:val="0"/>
          <w:color w:val="auto"/>
          <w:highlight w:val="none"/>
        </w:rPr>
      </w:pPr>
      <w:bookmarkStart w:id="80" w:name="_Toc15396626"/>
      <w:bookmarkStart w:id="81" w:name="_Toc7054"/>
      <w:r>
        <w:rPr>
          <w:rFonts w:hint="default" w:ascii="仿宋" w:hAnsi="仿宋" w:eastAsia="仿宋"/>
          <w:b w:val="0"/>
          <w:color w:val="auto"/>
          <w:highlight w:val="none"/>
        </w:rPr>
        <w:t>八、一般公共预算财政拨款基本支出决算表</w:t>
      </w:r>
      <w:bookmarkEnd w:id="80"/>
      <w:bookmarkEnd w:id="81"/>
    </w:p>
    <w:p>
      <w:pPr>
        <w:pStyle w:val="4"/>
        <w:rPr>
          <w:rFonts w:hint="default" w:ascii="仿宋" w:hAnsi="仿宋" w:eastAsia="仿宋"/>
          <w:b w:val="0"/>
          <w:color w:val="auto"/>
          <w:highlight w:val="none"/>
        </w:rPr>
      </w:pPr>
      <w:bookmarkStart w:id="82" w:name="_Toc15396627"/>
      <w:bookmarkStart w:id="83" w:name="_Toc27567"/>
      <w:r>
        <w:rPr>
          <w:rFonts w:hint="default" w:ascii="仿宋" w:hAnsi="仿宋" w:eastAsia="仿宋"/>
          <w:b w:val="0"/>
          <w:color w:val="auto"/>
          <w:highlight w:val="none"/>
        </w:rPr>
        <w:t>九、一般公共预算财政拨款项目支出决算表</w:t>
      </w:r>
      <w:bookmarkEnd w:id="82"/>
      <w:bookmarkEnd w:id="83"/>
    </w:p>
    <w:p>
      <w:pPr>
        <w:pStyle w:val="4"/>
        <w:rPr>
          <w:rFonts w:hint="default" w:ascii="仿宋" w:hAnsi="仿宋" w:eastAsia="仿宋"/>
          <w:b w:val="0"/>
          <w:color w:val="auto"/>
          <w:highlight w:val="none"/>
        </w:rPr>
      </w:pPr>
      <w:bookmarkStart w:id="84" w:name="_Toc15396628"/>
      <w:bookmarkStart w:id="85" w:name="_Toc31571"/>
      <w:r>
        <w:rPr>
          <w:rFonts w:hint="default" w:ascii="仿宋" w:hAnsi="仿宋" w:eastAsia="仿宋"/>
          <w:b w:val="0"/>
          <w:color w:val="auto"/>
          <w:highlight w:val="none"/>
        </w:rPr>
        <w:t>十、</w:t>
      </w:r>
      <w:bookmarkEnd w:id="84"/>
      <w:r>
        <w:rPr>
          <w:rFonts w:hint="default" w:ascii="仿宋" w:hAnsi="仿宋" w:eastAsia="仿宋"/>
          <w:b w:val="0"/>
          <w:color w:val="auto"/>
          <w:highlight w:val="none"/>
        </w:rPr>
        <w:t>政府性基金预算财政拨款收入支出决算表</w:t>
      </w:r>
      <w:bookmarkEnd w:id="85"/>
    </w:p>
    <w:p>
      <w:pPr>
        <w:pStyle w:val="4"/>
        <w:rPr>
          <w:rFonts w:hint="default" w:ascii="仿宋" w:hAnsi="仿宋" w:eastAsia="仿宋"/>
          <w:b w:val="0"/>
          <w:color w:val="auto"/>
          <w:highlight w:val="none"/>
        </w:rPr>
      </w:pPr>
      <w:bookmarkStart w:id="86" w:name="_Toc15396629"/>
      <w:bookmarkStart w:id="87" w:name="_Toc19711"/>
      <w:r>
        <w:rPr>
          <w:rFonts w:hint="default" w:ascii="仿宋" w:hAnsi="仿宋" w:eastAsia="仿宋"/>
          <w:b w:val="0"/>
          <w:color w:val="auto"/>
          <w:highlight w:val="none"/>
        </w:rPr>
        <w:t>十一、</w:t>
      </w:r>
      <w:bookmarkEnd w:id="86"/>
      <w:r>
        <w:rPr>
          <w:rFonts w:hint="default" w:ascii="仿宋" w:hAnsi="仿宋" w:eastAsia="仿宋"/>
          <w:b w:val="0"/>
          <w:color w:val="auto"/>
          <w:highlight w:val="none"/>
        </w:rPr>
        <w:t>国有资本经营预算财政拨款收入支出决算表</w:t>
      </w:r>
      <w:bookmarkEnd w:id="87"/>
    </w:p>
    <w:p>
      <w:pPr>
        <w:pStyle w:val="4"/>
        <w:rPr>
          <w:rFonts w:hint="default" w:ascii="仿宋" w:hAnsi="仿宋" w:eastAsia="仿宋"/>
          <w:b w:val="0"/>
          <w:color w:val="auto"/>
          <w:highlight w:val="none"/>
        </w:rPr>
      </w:pPr>
      <w:bookmarkStart w:id="88" w:name="_Toc15396630"/>
      <w:bookmarkStart w:id="89" w:name="_Toc5157"/>
      <w:r>
        <w:rPr>
          <w:rFonts w:hint="default" w:ascii="仿宋" w:hAnsi="仿宋" w:eastAsia="仿宋"/>
          <w:b w:val="0"/>
          <w:color w:val="auto"/>
          <w:highlight w:val="none"/>
        </w:rPr>
        <w:t>十二、</w:t>
      </w:r>
      <w:bookmarkEnd w:id="88"/>
      <w:r>
        <w:rPr>
          <w:rFonts w:hint="default" w:ascii="仿宋" w:hAnsi="仿宋" w:eastAsia="仿宋"/>
          <w:b w:val="0"/>
          <w:color w:val="auto"/>
          <w:highlight w:val="none"/>
        </w:rPr>
        <w:t>国有资本经营预算财政拨款支出决算表</w:t>
      </w:r>
      <w:bookmarkEnd w:id="89"/>
    </w:p>
    <w:p>
      <w:pPr>
        <w:pStyle w:val="4"/>
        <w:rPr>
          <w:rFonts w:hint="default" w:ascii="仿宋" w:hAnsi="仿宋" w:eastAsia="仿宋"/>
          <w:b w:val="0"/>
          <w:color w:val="auto"/>
          <w:highlight w:val="none"/>
        </w:rPr>
      </w:pPr>
      <w:bookmarkStart w:id="90" w:name="_Toc15396631"/>
      <w:bookmarkStart w:id="91" w:name="_Toc4192"/>
      <w:r>
        <w:rPr>
          <w:rFonts w:hint="default" w:ascii="仿宋" w:hAnsi="仿宋" w:eastAsia="仿宋"/>
          <w:b w:val="0"/>
          <w:color w:val="auto"/>
          <w:highlight w:val="none"/>
        </w:rPr>
        <w:t>十三、</w:t>
      </w:r>
      <w:bookmarkEnd w:id="90"/>
      <w:r>
        <w:rPr>
          <w:rFonts w:hint="default" w:ascii="仿宋" w:hAnsi="仿宋" w:eastAsia="仿宋"/>
          <w:b w:val="0"/>
          <w:color w:val="auto"/>
          <w:highlight w:val="none"/>
        </w:rPr>
        <w:t>财政拨款“三公”经费支出决算表</w:t>
      </w:r>
      <w:bookmarkEnd w:id="91"/>
    </w:p>
    <w:p>
      <w:pPr>
        <w:rPr>
          <w:rFonts w:hint="default" w:ascii="Times New Roman" w:hAnsi="Times New Roman" w:cs="Times New Roman"/>
        </w:rPr>
      </w:pPr>
    </w:p>
    <w:sectPr>
      <w:footerReference r:id="rId7" w:type="first"/>
      <w:footerReference r:id="rId6" w:type="default"/>
      <w:pgSz w:w="11906" w:h="16838"/>
      <w:pgMar w:top="1440" w:right="1800" w:bottom="1440" w:left="1800" w:header="851" w:footer="992"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- 1 -</w:t>
                          </w:r>
                          <w:r>
                            <w:rPr>
                              <w:rFonts w:hint="eastAsia" w:asciiTheme="minorEastAsia" w:hAnsiTheme="minorEastAsia" w:eastAsiaTheme="minorEastAsia" w:cstheme="minorEastAsia"/>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1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- 1 -</w:t>
                    </w:r>
                    <w:r>
                      <w:rPr>
                        <w:rFonts w:hint="eastAsia" w:asciiTheme="minorEastAsia" w:hAnsiTheme="minorEastAsia" w:eastAsiaTheme="minorEastAsia" w:cstheme="minorEastAsia"/>
                        <w:sz w:val="24"/>
                        <w:szCs w:val="24"/>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- 2 -</w:t>
                          </w:r>
                          <w:r>
                            <w:rPr>
                              <w:rFonts w:hint="eastAsia" w:asciiTheme="minorEastAsia" w:hAnsiTheme="minorEastAsia" w:eastAsiaTheme="minorEastAsia" w:cstheme="minorEastAsia"/>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1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- 2 -</w:t>
                    </w:r>
                    <w:r>
                      <w:rPr>
                        <w:rFonts w:hint="eastAsia" w:asciiTheme="minorEastAsia" w:hAnsiTheme="minorEastAsia" w:eastAsiaTheme="minorEastAsia" w:cstheme="minorEastAsia"/>
                        <w:sz w:val="24"/>
                        <w:szCs w:val="24"/>
                      </w:rPr>
                      <w:fldChar w:fldCharType="end"/>
                    </w:r>
                  </w:p>
                </w:txbxContent>
              </v:textbox>
            </v:shape>
          </w:pict>
        </mc:Fallback>
      </mc:AlternateContent>
    </w:r>
  </w:p>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- 1 -</w:t>
                          </w:r>
                          <w:r>
                            <w:rPr>
                              <w:rFonts w:hint="eastAsia" w:asciiTheme="minorEastAsia" w:hAnsiTheme="minorEastAsia" w:eastAsiaTheme="minorEastAsia" w:cstheme="minorEastAsia"/>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1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- 1 -</w:t>
                    </w:r>
                    <w:r>
                      <w:rPr>
                        <w:rFonts w:hint="eastAsia" w:asciiTheme="minorEastAsia" w:hAnsiTheme="minorEastAsia" w:eastAsiaTheme="minorEastAsia" w:cstheme="minorEastAsia"/>
                        <w:sz w:val="24"/>
                        <w:szCs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532F85"/>
    <w:multiLevelType w:val="singleLevel"/>
    <w:tmpl w:val="7E532F8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07004"/>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3795B"/>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22A3"/>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02FE1"/>
    <w:rsid w:val="00D114F0"/>
    <w:rsid w:val="00D20620"/>
    <w:rsid w:val="00D254F7"/>
    <w:rsid w:val="00D26091"/>
    <w:rsid w:val="00D2685C"/>
    <w:rsid w:val="00D34E7C"/>
    <w:rsid w:val="00D35489"/>
    <w:rsid w:val="00D36AFE"/>
    <w:rsid w:val="00D51276"/>
    <w:rsid w:val="00D5444D"/>
    <w:rsid w:val="00D7035F"/>
    <w:rsid w:val="00DA634F"/>
    <w:rsid w:val="00DA65AC"/>
    <w:rsid w:val="00DB1913"/>
    <w:rsid w:val="00DC2C99"/>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6E0107"/>
    <w:rsid w:val="06874187"/>
    <w:rsid w:val="07996F6E"/>
    <w:rsid w:val="07DFD8BA"/>
    <w:rsid w:val="09867E8F"/>
    <w:rsid w:val="0A2032A3"/>
    <w:rsid w:val="0B862293"/>
    <w:rsid w:val="0CA8290A"/>
    <w:rsid w:val="0D35B1ED"/>
    <w:rsid w:val="0E254B6B"/>
    <w:rsid w:val="0F98263C"/>
    <w:rsid w:val="0FA61B22"/>
    <w:rsid w:val="101860EC"/>
    <w:rsid w:val="101F47CC"/>
    <w:rsid w:val="10C055FF"/>
    <w:rsid w:val="11694EBD"/>
    <w:rsid w:val="11772AA4"/>
    <w:rsid w:val="118107EC"/>
    <w:rsid w:val="12E24EE2"/>
    <w:rsid w:val="13D50BC4"/>
    <w:rsid w:val="14B17F78"/>
    <w:rsid w:val="165E0673"/>
    <w:rsid w:val="166C09D6"/>
    <w:rsid w:val="16B831D5"/>
    <w:rsid w:val="16BB723D"/>
    <w:rsid w:val="17E50567"/>
    <w:rsid w:val="186504BB"/>
    <w:rsid w:val="19A445FC"/>
    <w:rsid w:val="1BE8440E"/>
    <w:rsid w:val="1CC6347C"/>
    <w:rsid w:val="1D155CEE"/>
    <w:rsid w:val="1D1638FE"/>
    <w:rsid w:val="1E312DEB"/>
    <w:rsid w:val="1E740ACF"/>
    <w:rsid w:val="1FF35744"/>
    <w:rsid w:val="1FF6BC77"/>
    <w:rsid w:val="2186353C"/>
    <w:rsid w:val="23860B96"/>
    <w:rsid w:val="240371BF"/>
    <w:rsid w:val="244F3473"/>
    <w:rsid w:val="24C97D99"/>
    <w:rsid w:val="25A718F0"/>
    <w:rsid w:val="25BB59F6"/>
    <w:rsid w:val="260F557C"/>
    <w:rsid w:val="26970054"/>
    <w:rsid w:val="281408E2"/>
    <w:rsid w:val="29FD04D3"/>
    <w:rsid w:val="2AEB355F"/>
    <w:rsid w:val="2BDA2E28"/>
    <w:rsid w:val="2BFF7BC6"/>
    <w:rsid w:val="2C8A61B5"/>
    <w:rsid w:val="2DF04E50"/>
    <w:rsid w:val="2E586DFA"/>
    <w:rsid w:val="2ECD7470"/>
    <w:rsid w:val="2F040D46"/>
    <w:rsid w:val="2F6B035B"/>
    <w:rsid w:val="2FAE5751"/>
    <w:rsid w:val="2FB1A395"/>
    <w:rsid w:val="2FD9A7D8"/>
    <w:rsid w:val="2FDBF714"/>
    <w:rsid w:val="30AB6865"/>
    <w:rsid w:val="319F7F4E"/>
    <w:rsid w:val="32BD1EF1"/>
    <w:rsid w:val="3304709D"/>
    <w:rsid w:val="33A773CB"/>
    <w:rsid w:val="349D6851"/>
    <w:rsid w:val="35E6413B"/>
    <w:rsid w:val="36AA5135"/>
    <w:rsid w:val="36BE0DA7"/>
    <w:rsid w:val="376B6AA6"/>
    <w:rsid w:val="376D39B2"/>
    <w:rsid w:val="37E16F03"/>
    <w:rsid w:val="37F53A3B"/>
    <w:rsid w:val="389B6C89"/>
    <w:rsid w:val="38D469F0"/>
    <w:rsid w:val="39627CCD"/>
    <w:rsid w:val="397BAF1F"/>
    <w:rsid w:val="3A4B5DD1"/>
    <w:rsid w:val="3AB79AF3"/>
    <w:rsid w:val="3AE834C0"/>
    <w:rsid w:val="3B7EF35A"/>
    <w:rsid w:val="3B9FDB6C"/>
    <w:rsid w:val="3BF5BC2F"/>
    <w:rsid w:val="3CEBA265"/>
    <w:rsid w:val="3D98207C"/>
    <w:rsid w:val="3DB9041B"/>
    <w:rsid w:val="3DEE7CF3"/>
    <w:rsid w:val="3E740A63"/>
    <w:rsid w:val="3E78745D"/>
    <w:rsid w:val="3EE17838"/>
    <w:rsid w:val="3F166C62"/>
    <w:rsid w:val="3F55381A"/>
    <w:rsid w:val="3F7F7599"/>
    <w:rsid w:val="3FF4CAE0"/>
    <w:rsid w:val="3FF7B227"/>
    <w:rsid w:val="4262727B"/>
    <w:rsid w:val="432A199B"/>
    <w:rsid w:val="44E268DA"/>
    <w:rsid w:val="450D13D7"/>
    <w:rsid w:val="45506656"/>
    <w:rsid w:val="4851124C"/>
    <w:rsid w:val="486A6C7A"/>
    <w:rsid w:val="4A627F82"/>
    <w:rsid w:val="4B0E749A"/>
    <w:rsid w:val="4B2477C4"/>
    <w:rsid w:val="4B4F25DA"/>
    <w:rsid w:val="4BE068DB"/>
    <w:rsid w:val="4D577224"/>
    <w:rsid w:val="4DBF1CEB"/>
    <w:rsid w:val="4DF0007C"/>
    <w:rsid w:val="4EAB630A"/>
    <w:rsid w:val="4EC51E80"/>
    <w:rsid w:val="4ECE2238"/>
    <w:rsid w:val="4F833267"/>
    <w:rsid w:val="4FE9BD67"/>
    <w:rsid w:val="4FFB052F"/>
    <w:rsid w:val="537E6D0A"/>
    <w:rsid w:val="53E04DBD"/>
    <w:rsid w:val="53F74C96"/>
    <w:rsid w:val="549518D3"/>
    <w:rsid w:val="55170BA8"/>
    <w:rsid w:val="553218C9"/>
    <w:rsid w:val="567E1AA5"/>
    <w:rsid w:val="56E47B74"/>
    <w:rsid w:val="57175D52"/>
    <w:rsid w:val="57BD3DD4"/>
    <w:rsid w:val="5AF92295"/>
    <w:rsid w:val="5B250254"/>
    <w:rsid w:val="5BC85F49"/>
    <w:rsid w:val="5BDD79E6"/>
    <w:rsid w:val="5BF561CA"/>
    <w:rsid w:val="5BFF5DFC"/>
    <w:rsid w:val="5CD71FC4"/>
    <w:rsid w:val="5D1F11B5"/>
    <w:rsid w:val="5D695134"/>
    <w:rsid w:val="5D702B08"/>
    <w:rsid w:val="5DAE1B18"/>
    <w:rsid w:val="5DE7D9E5"/>
    <w:rsid w:val="5ECEC941"/>
    <w:rsid w:val="5FBF9FF3"/>
    <w:rsid w:val="5FCD4E2C"/>
    <w:rsid w:val="5FEF394A"/>
    <w:rsid w:val="5FF67715"/>
    <w:rsid w:val="62BF3928"/>
    <w:rsid w:val="6329409D"/>
    <w:rsid w:val="63B3701E"/>
    <w:rsid w:val="647F5392"/>
    <w:rsid w:val="65E66580"/>
    <w:rsid w:val="664B1D71"/>
    <w:rsid w:val="664B4E8E"/>
    <w:rsid w:val="67277B67"/>
    <w:rsid w:val="67AA3209"/>
    <w:rsid w:val="698D0931"/>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0279DB"/>
    <w:rsid w:val="70484440"/>
    <w:rsid w:val="712A28F1"/>
    <w:rsid w:val="715C0E4B"/>
    <w:rsid w:val="71992E7C"/>
    <w:rsid w:val="72233669"/>
    <w:rsid w:val="72734D90"/>
    <w:rsid w:val="73160E6D"/>
    <w:rsid w:val="7332FE48"/>
    <w:rsid w:val="73AB61DA"/>
    <w:rsid w:val="73AD73D5"/>
    <w:rsid w:val="73B6EB34"/>
    <w:rsid w:val="73FA497D"/>
    <w:rsid w:val="744731E5"/>
    <w:rsid w:val="74BBD01D"/>
    <w:rsid w:val="74EB6AD9"/>
    <w:rsid w:val="74ED5379"/>
    <w:rsid w:val="75DEEEC2"/>
    <w:rsid w:val="75E32345"/>
    <w:rsid w:val="76E3355F"/>
    <w:rsid w:val="76FF5125"/>
    <w:rsid w:val="776F6FFA"/>
    <w:rsid w:val="778769C8"/>
    <w:rsid w:val="77A75DCA"/>
    <w:rsid w:val="77DC22F5"/>
    <w:rsid w:val="77EC0DED"/>
    <w:rsid w:val="783E271A"/>
    <w:rsid w:val="78616DE9"/>
    <w:rsid w:val="78E875D7"/>
    <w:rsid w:val="79086DAD"/>
    <w:rsid w:val="795E5298"/>
    <w:rsid w:val="79D7FD79"/>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03120"/>
    <w:rsid w:val="7F1D62E7"/>
    <w:rsid w:val="7F3F679B"/>
    <w:rsid w:val="7F4FC4EF"/>
    <w:rsid w:val="7F5E4D54"/>
    <w:rsid w:val="7F6E0135"/>
    <w:rsid w:val="7F79F205"/>
    <w:rsid w:val="7FA2692E"/>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2">
    <w:name w:val="Body Text"/>
    <w:basedOn w:val="1"/>
    <w:next w:val="1"/>
    <w:link w:val="25"/>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200"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7"/>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字符"/>
    <w:link w:val="11"/>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字符"/>
    <w:link w:val="10"/>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字符"/>
    <w:link w:val="2"/>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6"/>
    <w:link w:val="3"/>
    <w:qFormat/>
    <w:uiPriority w:val="9"/>
    <w:rPr>
      <w:rFonts w:ascii="Times New Roman" w:hAnsi="Times New Roman"/>
      <w:b/>
      <w:bCs/>
      <w:kern w:val="44"/>
      <w:sz w:val="44"/>
      <w:szCs w:val="44"/>
    </w:rPr>
  </w:style>
  <w:style w:type="character" w:customStyle="1" w:styleId="29">
    <w:name w:val="标题 2 字符"/>
    <w:basedOn w:val="16"/>
    <w:link w:val="4"/>
    <w:qFormat/>
    <w:uiPriority w:val="9"/>
    <w:rPr>
      <w:rFonts w:asciiTheme="majorHAnsi" w:hAnsiTheme="majorHAnsi" w:eastAsiaTheme="majorEastAsia" w:cstheme="majorBidi"/>
      <w:b/>
      <w:bCs/>
      <w:kern w:val="2"/>
      <w:sz w:val="32"/>
      <w:szCs w:val="32"/>
    </w:r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6"/>
    <w:link w:val="9"/>
    <w:semiHidden/>
    <w:qFormat/>
    <w:uiPriority w:val="99"/>
    <w:rPr>
      <w:rFonts w:ascii="Times New Roman" w:hAnsi="Times New Roman"/>
      <w:kern w:val="2"/>
      <w:sz w:val="18"/>
      <w:szCs w:val="18"/>
    </w:rPr>
  </w:style>
  <w:style w:type="character" w:customStyle="1" w:styleId="32">
    <w:name w:val="标题 3 字符"/>
    <w:basedOn w:val="16"/>
    <w:link w:val="5"/>
    <w:qFormat/>
    <w:uiPriority w:val="9"/>
    <w:rPr>
      <w:rFonts w:ascii="Times New Roman" w:hAnsi="Times New Roman"/>
      <w:b/>
      <w:bCs/>
      <w:kern w:val="2"/>
      <w:sz w:val="32"/>
      <w:szCs w:val="32"/>
    </w:rPr>
  </w:style>
  <w:style w:type="paragraph" w:customStyle="1" w:styleId="33">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color w:val="000000"/>
      <w:kern w:val="0"/>
      <w:sz w:val="28"/>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7.emf"/><Relationship Id="rId21" Type="http://schemas.openxmlformats.org/officeDocument/2006/relationships/image" Target="media/image6.emf"/><Relationship Id="rId20" Type="http://schemas.openxmlformats.org/officeDocument/2006/relationships/image" Target="media/image5.emf"/><Relationship Id="rId2" Type="http://schemas.openxmlformats.org/officeDocument/2006/relationships/settings" Target="settings.xml"/><Relationship Id="rId19" Type="http://schemas.openxmlformats.org/officeDocument/2006/relationships/image" Target="media/image4.emf"/><Relationship Id="rId18" Type="http://schemas.openxmlformats.org/officeDocument/2006/relationships/image" Target="media/image3.emf"/><Relationship Id="rId17" Type="http://schemas.openxmlformats.org/officeDocument/2006/relationships/image" Target="media/image2.emf"/><Relationship Id="rId16" Type="http://schemas.openxmlformats.org/officeDocument/2006/relationships/image" Target="media/image1.emf"/><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360MoveData\Users\&#27754;\Documents\WeChat%20Files\wxid_ibvovbvnnxcv21\FileStorage\File\2024-10\3-&#22270;&#34920;&#29983;&#25104;.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360MoveData\Users\&#27754;\Documents\WeChat%20Files\wxid_ibvovbvnnxcv21\FileStorage\File\2024-10\3-&#22270;&#34920;&#29983;&#25104;.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D:\360MoveData\Users\&#27754;\Documents\WeChat%20Files\wxid_ibvovbvnnxcv21\FileStorage\File\2024-10\3-&#22270;&#34920;&#29983;&#25104;.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D:\360MoveData\Users\&#27754;\Documents\WeChat%20Files\wxid_ibvovbvnnxcv21\FileStorage\File\2024-10\3-&#22270;&#34920;&#29983;&#25104;.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D:\360MoveData\Users\&#27754;\Documents\WeChat%20Files\wxid_ibvovbvnnxcv21\FileStorage\File\2024-10\3-&#22270;&#34920;&#29983;&#25104;.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D:\360MoveData\Users\&#27754;\Documents\WeChat%20Files\wxid_ibvovbvnnxcv21\FileStorage\File\2024-10\3-&#22270;&#34920;&#29983;&#25104;.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D:\360MoveData\Users\&#27754;\Documents\WeChat%20Files\wxid_ibvovbvnnxcv21\FileStorage\File\2024-10\3-&#22270;&#34920;&#29983;&#2510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cap="all" spc="50" baseline="0">
                <a:solidFill>
                  <a:schemeClr val="tx1">
                    <a:lumMod val="65000"/>
                    <a:lumOff val="3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spPr>
            <a:gradFill flip="none" rotWithShape="1">
              <a:gsLst>
                <a:gs pos="0">
                  <a:schemeClr val="accent1"/>
                </a:gs>
                <a:gs pos="75000">
                  <a:schemeClr val="accent1">
                    <a:lumMod val="60000"/>
                    <a:lumOff val="40000"/>
                  </a:schemeClr>
                </a:gs>
                <a:gs pos="51000">
                  <a:schemeClr val="accent1">
                    <a:alpha val="75000"/>
                  </a:schemeClr>
                </a:gs>
                <a:gs pos="100000">
                  <a:schemeClr val="accent1">
                    <a:lumMod val="20000"/>
                    <a:lumOff val="80000"/>
                    <a:alpha val="15000"/>
                  </a:schemeClr>
                </a:gs>
              </a:gsLst>
              <a:lin ang="5400000" scaled="0"/>
            </a:gradFill>
            <a:ln>
              <a:noFill/>
            </a:ln>
            <a:effectLst/>
          </c:spPr>
          <c:invertIfNegative val="0"/>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1704.7</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2070.7</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'[3-图表生成.xlsx]Sheet1'!$A$3:$A$4</c:f>
              <c:strCache>
                <c:ptCount val="2"/>
                <c:pt idx="0">
                  <c:v>2023年（万元）</c:v>
                </c:pt>
                <c:pt idx="1">
                  <c:v>2024年（万元）</c:v>
                </c:pt>
              </c:strCache>
            </c:strRef>
          </c:cat>
          <c:val>
            <c:numRef>
              <c:f>'[3-图表生成.xlsx]Sheet1'!$B$3:$B$4</c:f>
              <c:numCache>
                <c:formatCode>#,##0.00</c:formatCode>
                <c:ptCount val="2"/>
                <c:pt idx="0">
                  <c:v>1704.7</c:v>
                </c:pt>
                <c:pt idx="1">
                  <c:v>2070.7</c:v>
                </c:pt>
              </c:numCache>
            </c:numRef>
          </c:val>
        </c:ser>
        <c:dLbls>
          <c:showLegendKey val="0"/>
          <c:showVal val="1"/>
          <c:showCatName val="0"/>
          <c:showSerName val="0"/>
          <c:showPercent val="0"/>
          <c:showBubbleSize val="0"/>
        </c:dLbls>
        <c:gapWidth val="355"/>
        <c:overlap val="-70"/>
        <c:axId val="658193259"/>
        <c:axId val="330015726"/>
      </c:barChart>
      <c:catAx>
        <c:axId val="658193259"/>
        <c:scaling>
          <c:orientation val="minMax"/>
        </c:scaling>
        <c:delete val="0"/>
        <c:axPos val="b"/>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30015726"/>
        <c:crosses val="autoZero"/>
        <c:auto val="1"/>
        <c:lblAlgn val="ctr"/>
        <c:lblOffset val="100"/>
        <c:noMultiLvlLbl val="0"/>
      </c:catAx>
      <c:valAx>
        <c:axId val="330015726"/>
        <c:scaling>
          <c:orientation val="minMax"/>
        </c:scaling>
        <c:delete val="0"/>
        <c:axPos val="l"/>
        <c:majorGridlines>
          <c:spPr>
            <a:ln w="9525" cap="flat" cmpd="sng" algn="ctr">
              <a:gradFill>
                <a:gsLst>
                  <a:gs pos="100000">
                    <a:schemeClr val="tx1">
                      <a:lumMod val="5000"/>
                      <a:lumOff val="95000"/>
                    </a:schemeClr>
                  </a:gs>
                  <a:gs pos="0">
                    <a:schemeClr val="tx1">
                      <a:lumMod val="25000"/>
                      <a:lumOff val="75000"/>
                    </a:schemeClr>
                  </a:gs>
                </a:gsLst>
                <a:lin ang="5400000" scaled="0"/>
              </a:gradFill>
              <a:round/>
            </a:ln>
            <a:effectLst/>
          </c:spPr>
        </c:majorGridlines>
        <c:numFmt formatCode="#,##0.00" sourceLinked="1"/>
        <c:majorTickMark val="out"/>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5819325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'[3-图表生成.xlsx]Sheet1'!$I$3</c:f>
              <c:strCache>
                <c:ptCount val="1"/>
                <c:pt idx="0">
                  <c:v>一般公共预算财政拨款收入</c:v>
                </c:pt>
              </c:strCache>
            </c:strRef>
          </c:cat>
          <c:val>
            <c:numRef>
              <c:f>'[3-图表生成.xlsx]Sheet1'!$J$3</c:f>
              <c:numCache>
                <c:formatCode>General</c:formatCode>
                <c:ptCount val="1"/>
                <c:pt idx="0">
                  <c:v>2070.7</c:v>
                </c:pt>
              </c:numCache>
            </c:numRef>
          </c:val>
        </c:ser>
        <c:dLbls>
          <c:showLegendKey val="0"/>
          <c:showVal val="0"/>
          <c:showCatName val="0"/>
          <c:showSerName val="0"/>
          <c:showPercent val="1"/>
          <c:showBubbleSize val="0"/>
          <c:showLeaderLines val="0"/>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支出决算结构图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43%</a:t>
                    </a:r>
                  </a:p>
                </c:rich>
              </c:tx>
              <c:dLblPos val="inEnd"/>
              <c:showLegendKey val="0"/>
              <c:showVal val="0"/>
              <c:showCatName val="0"/>
              <c:showSerName val="0"/>
              <c:showPercent val="1"/>
              <c:showBubbleSize val="0"/>
              <c:extLst>
                <c:ext xmlns:c15="http://schemas.microsoft.com/office/drawing/2012/chart" uri="{CE6537A1-D6FC-4f65-9D91-7224C49458BB}"/>
              </c:extLst>
            </c:dLbl>
            <c:dLbl>
              <c:idx val="1"/>
              <c:layout>
                <c:manualLayout>
                  <c:x val="0.108372981064183"/>
                  <c:y val="-0.0207910914258252"/>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5</a:t>
                    </a:r>
                    <a:r>
                      <a:rPr lang="en-US" altLang="zh-CN"/>
                      <a:t>7</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'[3-图表生成.xlsx]Sheet1'!$O$3:$O$4</c:f>
              <c:strCache>
                <c:ptCount val="2"/>
                <c:pt idx="0">
                  <c:v>基本支出</c:v>
                </c:pt>
                <c:pt idx="1">
                  <c:v>项目支出</c:v>
                </c:pt>
              </c:strCache>
            </c:strRef>
          </c:cat>
          <c:val>
            <c:numRef>
              <c:f>'[3-图表生成.xlsx]Sheet1'!$P$3:$P$4</c:f>
              <c:numCache>
                <c:formatCode>General</c:formatCode>
                <c:ptCount val="2"/>
                <c:pt idx="0">
                  <c:v>891.48</c:v>
                </c:pt>
                <c:pt idx="1" c:formatCode="#,##0.00">
                  <c:v>1179.22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dLbl>
              <c:idx val="1"/>
              <c:layout>
                <c:manualLayout>
                  <c:x val="-0.00166666666666667"/>
                  <c:y val="-0.00555555555555556"/>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1704.7</a:t>
                    </a:r>
                  </a:p>
                </c:rich>
              </c:tx>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'[3-图表生成.xlsx]Sheet1'!$A$25:$A$26</c:f>
              <c:strCache>
                <c:ptCount val="2"/>
                <c:pt idx="0">
                  <c:v>2024年（万元）</c:v>
                </c:pt>
                <c:pt idx="1">
                  <c:v>2023年（万元）</c:v>
                </c:pt>
              </c:strCache>
            </c:strRef>
          </c:cat>
          <c:val>
            <c:numRef>
              <c:f>'[3-图表生成.xlsx]Sheet1'!$B$25:$B$26</c:f>
              <c:numCache>
                <c:formatCode>General</c:formatCode>
                <c:ptCount val="2"/>
                <c:pt idx="0">
                  <c:v>2070.7</c:v>
                </c:pt>
                <c:pt idx="1" c:formatCode="#,##0.00">
                  <c:v>1704.7</c:v>
                </c:pt>
              </c:numCache>
            </c:numRef>
          </c:val>
        </c:ser>
        <c:dLbls>
          <c:showLegendKey val="0"/>
          <c:showVal val="1"/>
          <c:showCatName val="0"/>
          <c:showSerName val="0"/>
          <c:showPercent val="0"/>
          <c:showBubbleSize val="0"/>
        </c:dLbls>
        <c:gapWidth val="150"/>
        <c:overlap val="0"/>
        <c:axId val="987151365"/>
        <c:axId val="911815620"/>
      </c:barChart>
      <c:catAx>
        <c:axId val="987151365"/>
        <c:scaling>
          <c:orientation val="minMax"/>
        </c:scaling>
        <c:delete val="0"/>
        <c:axPos val="b"/>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11815620"/>
        <c:crosses val="autoZero"/>
        <c:auto val="1"/>
        <c:lblAlgn val="ctr"/>
        <c:lblOffset val="100"/>
        <c:noMultiLvlLbl val="0"/>
      </c:catAx>
      <c:valAx>
        <c:axId val="9118156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715136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一般公共预算财政拨款支出决算变动情况</a:t>
            </a: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dLbl>
              <c:idx val="1"/>
              <c:layout>
                <c:manualLayout>
                  <c:x val="-0.00202303143479614"/>
                  <c:y val="0"/>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1704.7</a:t>
                    </a:r>
                  </a:p>
                </c:rich>
              </c:tx>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'[3-图表生成.xlsx]Sheet1'!$A$46:$A$47</c:f>
              <c:strCache>
                <c:ptCount val="2"/>
                <c:pt idx="0">
                  <c:v>2024年（万元）</c:v>
                </c:pt>
                <c:pt idx="1">
                  <c:v>2023年（万元）</c:v>
                </c:pt>
              </c:strCache>
            </c:strRef>
          </c:cat>
          <c:val>
            <c:numRef>
              <c:f>'[3-图表生成.xlsx]Sheet1'!$B$46:$B$47</c:f>
              <c:numCache>
                <c:formatCode>General</c:formatCode>
                <c:ptCount val="2"/>
                <c:pt idx="0">
                  <c:v>2070.7</c:v>
                </c:pt>
                <c:pt idx="1" c:formatCode="#,##0.0">
                  <c:v>1704.7</c:v>
                </c:pt>
              </c:numCache>
            </c:numRef>
          </c:val>
        </c:ser>
        <c:dLbls>
          <c:showLegendKey val="0"/>
          <c:showVal val="1"/>
          <c:showCatName val="0"/>
          <c:showSerName val="0"/>
          <c:showPercent val="0"/>
          <c:showBubbleSize val="0"/>
        </c:dLbls>
        <c:gapWidth val="219"/>
        <c:overlap val="-27"/>
        <c:axId val="928854141"/>
        <c:axId val="188393366"/>
      </c:barChart>
      <c:catAx>
        <c:axId val="928854141"/>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88393366"/>
        <c:crosses val="autoZero"/>
        <c:auto val="1"/>
        <c:lblAlgn val="ctr"/>
        <c:lblOffset val="100"/>
        <c:noMultiLvlLbl val="0"/>
      </c:catAx>
      <c:valAx>
        <c:axId val="18839336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28854141"/>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a:t>
            </a:r>
          </a:p>
          <a:p>
            <a:pPr defTabSz="914400">
              <a:defRPr lang="zh-CN" sz="1400" b="0" i="0" u="none" strike="noStrike" kern="1200" spc="0" baseline="0">
                <a:solidFill>
                  <a:schemeClr val="tx1">
                    <a:lumMod val="65000"/>
                    <a:lumOff val="35000"/>
                  </a:schemeClr>
                </a:solidFill>
                <a:latin typeface="+mn-lt"/>
                <a:ea typeface="+mn-ea"/>
                <a:cs typeface="+mn-cs"/>
              </a:defRPr>
            </a:pPr>
            <a:r>
              <a:t>支出决算结构</a:t>
            </a:r>
          </a:p>
        </c:rich>
      </c:tx>
      <c:layout>
        <c:manualLayout>
          <c:xMode val="edge"/>
          <c:yMode val="edge"/>
          <c:x val="0.0108333333333333"/>
          <c:y val="0.0402777777777778"/>
        </c:manualLayout>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0"/>
              <c:layout>
                <c:manualLayout>
                  <c:x val="0.193088797412526"/>
                  <c:y val="-0.00555555555555559"/>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8</a:t>
                    </a:r>
                    <a:r>
                      <a:rPr lang="en-US" altLang="zh-CN"/>
                      <a:t>8</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6.4</a:t>
                    </a:r>
                  </a:p>
                </c:rich>
              </c:tx>
              <c:dLblPos val="outEnd"/>
              <c:showLegendKey val="0"/>
              <c:showVal val="0"/>
              <c:showCatName val="0"/>
              <c:showSerName val="0"/>
              <c:showPercent val="1"/>
              <c:showBubbleSize val="0"/>
              <c:extLst>
                <c:ext xmlns:c15="http://schemas.microsoft.com/office/drawing/2012/chart" uri="{CE6537A1-D6FC-4f65-9D91-7224C49458BB}"/>
              </c:extLst>
            </c:dLbl>
            <c:dLbl>
              <c:idx val="2"/>
              <c:layout>
                <c:manualLayout>
                  <c:x val="-0.118333333333333"/>
                  <c:y val="0.122222222222222"/>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2.2%</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3"/>
              <c:layout>
                <c:manualLayout>
                  <c:x val="0.0947581401581133"/>
                  <c:y val="-0.0555555555555555"/>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3.4</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'[3-图表生成.xlsx]Sheet1'!$I$28:$I$31</c:f>
              <c:strCache>
                <c:ptCount val="4"/>
                <c:pt idx="0">
                  <c:v>交通运输支出（类）</c:v>
                </c:pt>
                <c:pt idx="1">
                  <c:v>社会保障和就业（类）</c:v>
                </c:pt>
                <c:pt idx="2">
                  <c:v>卫生健康支出</c:v>
                </c:pt>
                <c:pt idx="3">
                  <c:v>住房保障</c:v>
                </c:pt>
              </c:strCache>
            </c:strRef>
          </c:cat>
          <c:val>
            <c:numRef>
              <c:f>'[3-图表生成.xlsx]Sheet1'!$J$28:$J$31</c:f>
              <c:numCache>
                <c:formatCode>0.00_ </c:formatCode>
                <c:ptCount val="4"/>
                <c:pt idx="0">
                  <c:v>1819.66</c:v>
                </c:pt>
                <c:pt idx="1">
                  <c:v>133.43</c:v>
                </c:pt>
                <c:pt idx="2">
                  <c:v>46.29</c:v>
                </c:pt>
                <c:pt idx="3">
                  <c:v>71.32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l"/>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a:t>
            </a:r>
            <a:r>
              <a:rPr altLang="en-US"/>
              <a:t>三公</a:t>
            </a:r>
            <a:r>
              <a:rPr lang="en-US" altLang="zh-CN"/>
              <a:t>”</a:t>
            </a:r>
            <a:r>
              <a:rPr altLang="en-US"/>
              <a:t>经费财政拨款支出结构</a:t>
            </a:r>
            <a:endParaRPr altLang="en-US"/>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'[3-图表生成.xlsx]Sheet1'!$I$44</c:f>
              <c:strCache>
                <c:ptCount val="1"/>
                <c:pt idx="0">
                  <c:v>公务用车购置及运行维护费支出</c:v>
                </c:pt>
              </c:strCache>
            </c:strRef>
          </c:cat>
          <c:val>
            <c:numRef>
              <c:f>'[3-图表生成.xlsx]Sheet1'!$J$44</c:f>
              <c:numCache>
                <c:formatCode>General</c:formatCode>
                <c:ptCount val="1"/>
                <c:pt idx="0">
                  <c:v>49.21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0">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22</Pages>
  <Words>1920</Words>
  <Characters>2177</Characters>
  <Lines>60</Lines>
  <Paragraphs>17</Paragraphs>
  <TotalTime>3</TotalTime>
  <ScaleCrop>false</ScaleCrop>
  <LinksUpToDate>false</LinksUpToDate>
  <CharactersWithSpaces>2348</CharactersWithSpaces>
  <Application>WPS Office_11.8.2.11473_F1E327BC-269C-435d-A152-05C5408002CA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Dell</cp:lastModifiedBy>
  <cp:lastPrinted>2025-08-06T17:34:00Z</cp:lastPrinted>
  <dcterms:modified xsi:type="dcterms:W3CDTF">2025-09-18T07:43:04Z</dcterms:modified>
  <dc:title>四川省***</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EEEE1BF2B62C43EF8ABA4A08E687E3E2</vt:lpwstr>
  </property>
  <property fmtid="{D5CDD505-2E9C-101B-9397-08002B2CF9AE}" pid="4" name="KSOTemplateDocerSaveRecord">
    <vt:lpwstr>eyJoZGlkIjoiOTQ4YzFiYmUzZmUzYmRjYzJiZDIzODgyMTcxYTJiNGMiLCJ1c2VySWQiOiIzMTg5Nzk4OTQifQ==</vt:lpwstr>
  </property>
</Properties>
</file>