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
        <w:spacing w:before="93"/>
        <w:rPr>
          <w:rFonts w:ascii="Times New Roman" w:eastAsia="方正小标宋简体"/>
          <w:kern w:val="2"/>
          <w:sz w:val="72"/>
          <w:szCs w:val="72"/>
        </w:rPr>
      </w:pPr>
      <w:bookmarkStart w:id="0" w:name="_Toc15396597"/>
      <w:bookmarkStart w:id="1" w:name="_Toc15396475"/>
      <w:bookmarkStart w:id="2" w:name="_Toc15377425"/>
      <w:bookmarkStart w:id="3" w:name="_Toc15377193"/>
      <w:bookmarkStart w:id="4" w:name="_Toc15306267"/>
      <w:bookmarkStart w:id="5" w:name="_Toc15378441"/>
    </w:p>
    <w:p>
      <w:pPr>
        <w:pStyle w:val="8"/>
        <w:spacing w:before="93"/>
        <w:rPr>
          <w:rFonts w:ascii="Times New Roman" w:eastAsia="方正小标宋简体"/>
          <w:kern w:val="2"/>
          <w:sz w:val="72"/>
          <w:szCs w:val="72"/>
        </w:rPr>
      </w:pPr>
    </w:p>
    <w:p>
      <w:pPr>
        <w:pStyle w:val="8"/>
        <w:spacing w:before="93"/>
        <w:rPr>
          <w:rFonts w:ascii="Times New Roman" w:eastAsia="方正小标宋简体"/>
          <w:kern w:val="2"/>
          <w:sz w:val="72"/>
          <w:szCs w:val="72"/>
        </w:rPr>
      </w:pPr>
    </w:p>
    <w:p>
      <w:pPr>
        <w:pStyle w:val="8"/>
        <w:spacing w:before="93"/>
        <w:jc w:val="center"/>
        <w:rPr>
          <w:rFonts w:hint="eastAsia" w:ascii="Times New Roman" w:eastAsia="方正小标宋简体"/>
          <w:kern w:val="2"/>
          <w:sz w:val="44"/>
          <w:szCs w:val="44"/>
          <w:lang w:val="en-US" w:eastAsia="zh-CN"/>
        </w:rPr>
      </w:pPr>
      <w:r>
        <w:rPr>
          <w:rFonts w:hint="eastAsia" w:ascii="方正小标宋简体" w:hAnsi="方正小标宋简体" w:eastAsia="方正小标宋简体" w:cs="方正小标宋简体"/>
          <w:kern w:val="2"/>
          <w:sz w:val="44"/>
          <w:szCs w:val="44"/>
        </w:rPr>
        <w:t>2024</w:t>
      </w:r>
      <w:r>
        <w:rPr>
          <w:rFonts w:hint="eastAsia" w:ascii="Times New Roman" w:eastAsia="方正小标宋简体"/>
          <w:kern w:val="2"/>
          <w:sz w:val="44"/>
          <w:szCs w:val="44"/>
        </w:rPr>
        <w:t>年度</w:t>
      </w:r>
      <w:r>
        <w:rPr>
          <w:rFonts w:hint="eastAsia" w:ascii="Times New Roman" w:eastAsia="方正小标宋简体"/>
          <w:kern w:val="2"/>
          <w:sz w:val="44"/>
          <w:szCs w:val="44"/>
          <w:lang w:eastAsia="zh-CN"/>
        </w:rPr>
        <w:t>阿坝藏族羌</w:t>
      </w:r>
      <w:bookmarkStart w:id="91" w:name="_GoBack"/>
      <w:bookmarkEnd w:id="91"/>
      <w:r>
        <w:rPr>
          <w:rFonts w:hint="eastAsia" w:ascii="Times New Roman" w:eastAsia="方正小标宋简体"/>
          <w:kern w:val="2"/>
          <w:sz w:val="44"/>
          <w:szCs w:val="44"/>
          <w:lang w:eastAsia="zh-CN"/>
        </w:rPr>
        <w:t>族自治</w:t>
      </w:r>
      <w:r>
        <w:rPr>
          <w:rFonts w:hint="eastAsia" w:ascii="Times New Roman" w:eastAsia="方正小标宋简体"/>
          <w:kern w:val="2"/>
          <w:sz w:val="44"/>
          <w:szCs w:val="44"/>
        </w:rPr>
        <w:t>州公路管理局（本级）</w:t>
      </w:r>
      <w:r>
        <w:rPr>
          <w:rFonts w:hint="eastAsia" w:ascii="Times New Roman" w:eastAsia="方正小标宋简体"/>
          <w:kern w:val="2"/>
          <w:sz w:val="44"/>
          <w:szCs w:val="44"/>
          <w:lang w:val="en-US" w:eastAsia="zh-CN"/>
        </w:rPr>
        <w:t>决算公开</w:t>
      </w:r>
    </w:p>
    <w:p>
      <w:pPr>
        <w:pStyle w:val="19"/>
        <w:rPr>
          <w:rFonts w:ascii="Times New Roman" w:hAnsi="Times New Roman"/>
        </w:rPr>
        <w:sectPr>
          <w:footerReference r:id="rId5" w:type="first"/>
          <w:headerReference r:id="rId3" w:type="default"/>
          <w:footerReference r:id="rId4" w:type="default"/>
          <w:pgSz w:w="11906" w:h="16838"/>
          <w:pgMar w:top="1440" w:right="1800" w:bottom="1440" w:left="1800" w:header="851" w:footer="992" w:gutter="0"/>
          <w:pgNumType w:fmt="decimal" w:start="1"/>
          <w:cols w:space="425" w:num="1"/>
          <w:titlePg/>
          <w:docGrid w:type="lines" w:linePitch="312" w:charSpace="0"/>
        </w:sectPr>
      </w:pPr>
    </w:p>
    <w:bookmarkEnd w:id="0"/>
    <w:bookmarkEnd w:id="1"/>
    <w:bookmarkEnd w:id="2"/>
    <w:bookmarkEnd w:id="3"/>
    <w:bookmarkEnd w:id="4"/>
    <w:bookmarkEnd w:id="5"/>
    <w:p>
      <w:pPr>
        <w:widowControl/>
        <w:jc w:val="center"/>
        <w:rPr>
          <w:rFonts w:eastAsia="黑体"/>
          <w:b/>
          <w:bCs/>
          <w:sz w:val="48"/>
          <w:szCs w:val="48"/>
        </w:rPr>
      </w:pPr>
      <w:r>
        <w:rPr>
          <w:rFonts w:hint="eastAsia" w:eastAsia="黑体"/>
          <w:b/>
          <w:bCs/>
          <w:sz w:val="48"/>
          <w:szCs w:val="48"/>
        </w:rPr>
        <w:t>目录</w:t>
      </w:r>
    </w:p>
    <w:p>
      <w:pPr>
        <w:widowControl/>
        <w:jc w:val="center"/>
        <w:rPr>
          <w:rFonts w:eastAsia="黑体" w:cstheme="minorBidi"/>
          <w:sz w:val="28"/>
          <w:szCs w:val="28"/>
        </w:rPr>
      </w:pPr>
    </w:p>
    <w:p>
      <w:pPr>
        <w:pStyle w:val="13"/>
        <w:rPr>
          <w:rFonts w:ascii="Times New Roman" w:hAnsi="Times New Roman" w:eastAsia="仿宋_GB2312" w:cs="仿宋_GB2312"/>
          <w:sz w:val="32"/>
          <w:szCs w:val="32"/>
        </w:rPr>
      </w:pPr>
      <w:r>
        <w:rPr>
          <w:rFonts w:hint="eastAsia" w:ascii="Times New Roman" w:hAnsi="Times New Roman" w:eastAsia="仿宋_GB2312" w:cs="仿宋_GB2312"/>
          <w:sz w:val="32"/>
          <w:szCs w:val="32"/>
        </w:rPr>
        <w:t>公开时间：202</w:t>
      </w:r>
      <w:r>
        <w:rPr>
          <w:rFonts w:hint="eastAsia" w:ascii="Times New Roman" w:hAnsi="Times New Roman" w:eastAsia="仿宋_GB2312" w:cs="仿宋_GB2312"/>
          <w:sz w:val="32"/>
          <w:szCs w:val="32"/>
          <w:lang w:val="en-US" w:eastAsia="zh-CN"/>
        </w:rPr>
        <w:t>5</w:t>
      </w:r>
      <w:r>
        <w:rPr>
          <w:rFonts w:hint="eastAsia" w:ascii="Times New Roman" w:hAnsi="Times New Roman" w:eastAsia="仿宋_GB2312" w:cs="仿宋_GB2312"/>
          <w:sz w:val="32"/>
          <w:szCs w:val="32"/>
        </w:rPr>
        <w:t>年</w:t>
      </w:r>
      <w:r>
        <w:rPr>
          <w:rFonts w:hint="eastAsia" w:ascii="Times New Roman" w:hAnsi="Times New Roman" w:eastAsia="仿宋_GB2312" w:cs="仿宋_GB2312"/>
          <w:sz w:val="32"/>
          <w:szCs w:val="32"/>
          <w:lang w:val="en-US" w:eastAsia="zh-CN"/>
        </w:rPr>
        <w:t>9</w:t>
      </w:r>
      <w:r>
        <w:rPr>
          <w:rFonts w:hint="eastAsia" w:ascii="Times New Roman" w:hAnsi="Times New Roman" w:eastAsia="仿宋_GB2312" w:cs="仿宋_GB2312"/>
          <w:sz w:val="32"/>
          <w:szCs w:val="32"/>
        </w:rPr>
        <w:t>月</w:t>
      </w:r>
      <w:r>
        <w:rPr>
          <w:rFonts w:hint="eastAsia" w:ascii="Times New Roman" w:hAnsi="Times New Roman" w:eastAsia="仿宋_GB2312" w:cs="仿宋_GB2312"/>
          <w:sz w:val="32"/>
          <w:szCs w:val="32"/>
          <w:lang w:val="en-US" w:eastAsia="zh-CN"/>
        </w:rPr>
        <w:t>21</w:t>
      </w:r>
      <w:r>
        <w:rPr>
          <w:rFonts w:hint="eastAsia" w:ascii="Times New Roman" w:hAnsi="Times New Roman" w:eastAsia="仿宋_GB2312" w:cs="仿宋_GB2312"/>
          <w:sz w:val="32"/>
          <w:szCs w:val="32"/>
        </w:rPr>
        <w:t>日</w:t>
      </w:r>
    </w:p>
    <w:sdt>
      <w:sdtPr>
        <w:rPr>
          <w:rFonts w:ascii="宋体" w:hAnsi="宋体" w:eastAsia="宋体" w:cs="Times New Roman"/>
          <w:kern w:val="2"/>
          <w:sz w:val="21"/>
          <w:szCs w:val="24"/>
          <w:lang w:val="en-US" w:eastAsia="zh-CN" w:bidi="ar-SA"/>
        </w:rPr>
        <w:id w:val="147453700"/>
        <w15:color w:val="DBDBDB"/>
        <w:docPartObj>
          <w:docPartGallery w:val="Table of Contents"/>
          <w:docPartUnique/>
        </w:docPartObj>
      </w:sdtPr>
      <w:sdtEndPr>
        <w:rPr>
          <w:rFonts w:ascii="宋体" w:hAnsi="宋体" w:eastAsia="宋体" w:cs="Times New Roman"/>
          <w:kern w:val="2"/>
          <w:sz w:val="21"/>
          <w:szCs w:val="24"/>
          <w:lang w:val="en-US" w:eastAsia="zh-CN" w:bidi="ar-SA"/>
        </w:rPr>
      </w:sdtEndPr>
      <w:sdtContent>
        <w:p>
          <w:pPr>
            <w:spacing w:before="0" w:beforeLines="0" w:after="0" w:afterLines="0" w:line="240" w:lineRule="auto"/>
            <w:ind w:left="0" w:leftChars="0" w:right="0" w:rightChars="0" w:firstLine="0" w:firstLineChars="0"/>
            <w:jc w:val="center"/>
          </w:pPr>
          <w:bookmarkStart w:id="6" w:name="_Toc15377196"/>
          <w:bookmarkStart w:id="7" w:name="_Toc15396599"/>
        </w:p>
        <w:p>
          <w:pPr>
            <w:pStyle w:val="13"/>
            <w:tabs>
              <w:tab w:val="right" w:leader="dot" w:pos="8306"/>
              <w:tab w:val="clear" w:pos="8296"/>
            </w:tabs>
          </w:pPr>
          <w:r>
            <w:fldChar w:fldCharType="begin"/>
          </w:r>
          <w:r>
            <w:instrText xml:space="preserve">TOC \o "1-2" \h \u </w:instrText>
          </w:r>
          <w:r>
            <w:fldChar w:fldCharType="separate"/>
          </w:r>
          <w:r>
            <w:fldChar w:fldCharType="begin"/>
          </w:r>
          <w:r>
            <w:instrText xml:space="preserve"> HYPERLINK \l _Toc1111 </w:instrText>
          </w:r>
          <w:r>
            <w:fldChar w:fldCharType="separate"/>
          </w:r>
          <w:r>
            <w:rPr>
              <w:rFonts w:hint="eastAsia" w:eastAsia="方正小标宋简体" w:cs="方正小标宋简体"/>
            </w:rPr>
            <w:t xml:space="preserve">第一部分  </w:t>
          </w:r>
          <w:r>
            <w:rPr>
              <w:rFonts w:hint="eastAsia" w:eastAsia="方正小标宋简体" w:cs="方正小标宋简体"/>
              <w:lang w:val="en-US" w:eastAsia="zh-CN"/>
            </w:rPr>
            <w:t>单位</w:t>
          </w:r>
          <w:r>
            <w:rPr>
              <w:rFonts w:hint="eastAsia" w:eastAsia="方正小标宋简体" w:cs="方正小标宋简体"/>
              <w:bCs w:val="0"/>
            </w:rPr>
            <w:t>概况</w:t>
          </w:r>
          <w:r>
            <w:tab/>
          </w:r>
          <w:r>
            <w:fldChar w:fldCharType="begin"/>
          </w:r>
          <w:r>
            <w:instrText xml:space="preserve"> PAGEREF _Toc1111 \h </w:instrText>
          </w:r>
          <w:r>
            <w:fldChar w:fldCharType="separate"/>
          </w:r>
          <w:r>
            <w:t>4</w:t>
          </w:r>
          <w:r>
            <w:fldChar w:fldCharType="end"/>
          </w:r>
          <w: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_Toc15635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lang w:val="en-US" w:eastAsia="zh-CN"/>
            </w:rPr>
            <w:t>一、主要</w:t>
          </w:r>
          <w:r>
            <w:rPr>
              <w:rFonts w:hint="eastAsia" w:ascii="仿宋_GB2312" w:hAnsi="仿宋_GB2312" w:eastAsia="仿宋_GB2312" w:cs="仿宋_GB2312"/>
              <w:sz w:val="28"/>
              <w:szCs w:val="28"/>
            </w:rPr>
            <w:t>职责</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_Toc15635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_Toc1484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二、机</w:t>
          </w:r>
          <w:r>
            <w:rPr>
              <w:rFonts w:hint="eastAsia" w:ascii="仿宋_GB2312" w:hAnsi="仿宋_GB2312" w:eastAsia="仿宋_GB2312" w:cs="仿宋_GB2312"/>
              <w:bCs w:val="0"/>
              <w:sz w:val="28"/>
              <w:szCs w:val="28"/>
            </w:rPr>
            <w:t>构设置</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_Toc1484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3"/>
            <w:tabs>
              <w:tab w:val="right" w:leader="dot" w:pos="8306"/>
              <w:tab w:val="clear" w:pos="8296"/>
            </w:tabs>
          </w:pPr>
          <w:r>
            <w:fldChar w:fldCharType="begin"/>
          </w:r>
          <w:r>
            <w:instrText xml:space="preserve"> HYPERLINK \l _Toc19467 </w:instrText>
          </w:r>
          <w:r>
            <w:fldChar w:fldCharType="separate"/>
          </w:r>
          <w:r>
            <w:rPr>
              <w:rFonts w:hint="eastAsia" w:eastAsia="方正小标宋简体" w:cs="方正小标宋简体"/>
            </w:rPr>
            <w:t xml:space="preserve">第二部分  </w:t>
          </w:r>
          <w:r>
            <w:rPr>
              <w:rFonts w:hint="eastAsia" w:ascii="方正小标宋简体" w:hAnsi="方正小标宋简体" w:eastAsia="方正小标宋简体" w:cs="方正小标宋简体"/>
            </w:rPr>
            <w:t>2024</w:t>
          </w:r>
          <w:r>
            <w:rPr>
              <w:rFonts w:hint="eastAsia" w:eastAsia="方正小标宋简体" w:cs="方正小标宋简体"/>
            </w:rPr>
            <w:t>年度部门决算情况说明</w:t>
          </w:r>
          <w:r>
            <w:tab/>
          </w:r>
          <w:r>
            <w:fldChar w:fldCharType="begin"/>
          </w:r>
          <w:r>
            <w:instrText xml:space="preserve"> PAGEREF _Toc19467 \h </w:instrText>
          </w:r>
          <w:r>
            <w:fldChar w:fldCharType="separate"/>
          </w:r>
          <w:r>
            <w:t>5</w:t>
          </w:r>
          <w:r>
            <w:fldChar w:fldCharType="end"/>
          </w:r>
          <w: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_Toc27774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一、收入支出决算总体情况说明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_Toc27774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5</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_Toc29763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二、收入决算情况说明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_Toc29763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5</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_Toc6540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三、支出决算情况说明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_Toc6540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6</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_Toc19478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四、财政拨款收入支出决算总体情况说明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_Toc19478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7</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_Toc1204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五、一般公共预算财政拨款支出决算情况说明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_Toc1204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7</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_Toc986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六、一般公共预算财政拨款基本支出决算情况说明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_Toc986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10</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_Toc32343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七、财政拨款“三公”经费支出决算情况说明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_Toc32343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10</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_Toc3648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八、政府性基金预算支出决算情况说明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_Toc3648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12</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_Toc27352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九、国有资本经营预算支出决算情况说明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_Toc27352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13</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_Toc20686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十、其他重要事项的情况说明</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_Toc20686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13</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3"/>
            <w:tabs>
              <w:tab w:val="right" w:leader="dot" w:pos="8306"/>
              <w:tab w:val="clear" w:pos="8296"/>
            </w:tabs>
          </w:pPr>
          <w:r>
            <w:fldChar w:fldCharType="begin"/>
          </w:r>
          <w:r>
            <w:instrText xml:space="preserve"> HYPERLINK \l _Toc2462 </w:instrText>
          </w:r>
          <w:r>
            <w:fldChar w:fldCharType="separate"/>
          </w:r>
          <w:r>
            <w:rPr>
              <w:rFonts w:hint="eastAsia" w:ascii="Times New Roman" w:hAnsi="Times New Roman" w:eastAsia="方正小标宋简体" w:cs="方正小标宋简体"/>
              <w:bCs/>
              <w:kern w:val="44"/>
              <w:szCs w:val="44"/>
              <w:lang w:val="en-US" w:eastAsia="zh-CN" w:bidi="ar-SA"/>
            </w:rPr>
            <w:t>第三部分  名词解释</w:t>
          </w:r>
          <w:r>
            <w:tab/>
          </w:r>
          <w:r>
            <w:fldChar w:fldCharType="begin"/>
          </w:r>
          <w:r>
            <w:instrText xml:space="preserve"> PAGEREF _Toc2462 \h </w:instrText>
          </w:r>
          <w:r>
            <w:fldChar w:fldCharType="separate"/>
          </w:r>
          <w:r>
            <w:t>15</w:t>
          </w:r>
          <w:r>
            <w:fldChar w:fldCharType="end"/>
          </w:r>
          <w:r>
            <w:fldChar w:fldCharType="end"/>
          </w:r>
        </w:p>
        <w:p>
          <w:pPr>
            <w:pStyle w:val="13"/>
            <w:tabs>
              <w:tab w:val="right" w:leader="dot" w:pos="8306"/>
              <w:tab w:val="clear" w:pos="8296"/>
            </w:tabs>
          </w:pPr>
          <w:r>
            <w:fldChar w:fldCharType="begin"/>
          </w:r>
          <w:r>
            <w:instrText xml:space="preserve"> HYPERLINK \l _Toc17731 </w:instrText>
          </w:r>
          <w:r>
            <w:fldChar w:fldCharType="separate"/>
          </w:r>
          <w:r>
            <w:rPr>
              <w:rFonts w:hint="eastAsia" w:ascii="Times New Roman" w:hAnsi="Times New Roman" w:eastAsia="方正小标宋简体" w:cs="方正小标宋简体"/>
              <w:bCs/>
              <w:kern w:val="44"/>
              <w:szCs w:val="44"/>
              <w:lang w:val="en-US" w:eastAsia="zh-CN" w:bidi="ar-SA"/>
            </w:rPr>
            <w:t>第四部分  附件</w:t>
          </w:r>
          <w:r>
            <w:tab/>
          </w:r>
          <w:r>
            <w:fldChar w:fldCharType="begin"/>
          </w:r>
          <w:r>
            <w:instrText xml:space="preserve"> PAGEREF _Toc17731 \h </w:instrText>
          </w:r>
          <w:r>
            <w:fldChar w:fldCharType="separate"/>
          </w:r>
          <w:r>
            <w:t>18</w:t>
          </w:r>
          <w:r>
            <w:fldChar w:fldCharType="end"/>
          </w:r>
          <w:r>
            <w:fldChar w:fldCharType="end"/>
          </w:r>
        </w:p>
        <w:p>
          <w:pPr>
            <w:pStyle w:val="13"/>
            <w:tabs>
              <w:tab w:val="right" w:leader="dot" w:pos="8306"/>
              <w:tab w:val="clear" w:pos="8296"/>
            </w:tabs>
          </w:pPr>
          <w:r>
            <w:fldChar w:fldCharType="begin"/>
          </w:r>
          <w:r>
            <w:instrText xml:space="preserve"> HYPERLINK \l _Toc11654 </w:instrText>
          </w:r>
          <w:r>
            <w:fldChar w:fldCharType="separate"/>
          </w:r>
          <w:r>
            <w:rPr>
              <w:rFonts w:hint="eastAsia" w:ascii="Times New Roman" w:hAnsi="Times New Roman" w:eastAsia="方正小标宋简体" w:cs="方正小标宋简体"/>
              <w:bCs/>
              <w:kern w:val="44"/>
              <w:szCs w:val="44"/>
              <w:lang w:val="en-US" w:eastAsia="zh-CN" w:bidi="ar-SA"/>
            </w:rPr>
            <w:t>第五部分 附表</w:t>
          </w:r>
          <w:r>
            <w:tab/>
          </w:r>
          <w:r>
            <w:fldChar w:fldCharType="begin"/>
          </w:r>
          <w:r>
            <w:instrText xml:space="preserve"> PAGEREF _Toc11654 \h </w:instrText>
          </w:r>
          <w:r>
            <w:fldChar w:fldCharType="separate"/>
          </w:r>
          <w:r>
            <w:t>34</w:t>
          </w:r>
          <w:r>
            <w:fldChar w:fldCharType="end"/>
          </w:r>
          <w:r>
            <w:fldChar w:fldCharType="end"/>
          </w:r>
        </w:p>
        <w:p>
          <w:pPr>
            <w:pStyle w:val="14"/>
            <w:tabs>
              <w:tab w:val="right" w:leader="dot" w:pos="8306"/>
              <w:tab w:val="clear" w:pos="8296"/>
            </w:tabs>
            <w:rPr>
              <w:rFonts w:hint="eastAsia" w:ascii="仿宋_GB2312" w:hAnsi="仿宋_GB2312" w:eastAsia="仿宋_GB2312" w:cs="仿宋_GB2312"/>
              <w:sz w:val="28"/>
              <w:szCs w:val="28"/>
            </w:rPr>
          </w:pP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_Toc31446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一、收入支出决算总表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_Toc31446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34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_Toc14731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二、收入决算表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_Toc14731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34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_Toc7856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三、支出决算表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_Toc7856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34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_Toc3041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四、财政拨款收入支出决算总表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_Toc3041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34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_Toc11550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五、财政拨款支出决算明细表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_Toc11550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34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_Toc4839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六、一般公共预算财政拨款支出决算表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_Toc4839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34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_Toc14655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七、一般公共预算财政拨款支出决算明细表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_Toc14655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34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_Toc25232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八、一般公共预算财政拨款基本支出决算表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_Toc25232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34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_Toc26431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九、一般公共预算财政拨款项目支出决算表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_Toc26431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34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_Toc5690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十、政府性基金预算财政拨款收入支出决算表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_Toc5690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34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_Toc21859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十一、国有资本经营预算财政拨款收入支出决算表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_Toc21859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34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_Toc27143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十二、国有资本经营预算财政拨款支出决算表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_Toc27143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34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pStyle w:val="14"/>
            <w:tabs>
              <w:tab w:val="right" w:leader="dot" w:pos="8306"/>
              <w:tab w:val="clear" w:pos="8296"/>
            </w:tabs>
          </w:pP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\l _Toc21102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bCs w:val="0"/>
              <w:sz w:val="28"/>
              <w:szCs w:val="28"/>
            </w:rPr>
            <w:t>十三、财政拨款“三公”经费支出决算表</w:t>
          </w:r>
          <w:r>
            <w:rPr>
              <w:rFonts w:hint="eastAsia" w:ascii="仿宋_GB2312" w:hAnsi="仿宋_GB2312" w:eastAsia="仿宋_GB2312" w:cs="仿宋_GB2312"/>
              <w:sz w:val="28"/>
              <w:szCs w:val="28"/>
            </w:rPr>
            <w:tab/>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PAGEREF _Toc21102 \h </w:instrText>
          </w:r>
          <w:r>
            <w:rPr>
              <w:rFonts w:hint="eastAsia" w:ascii="仿宋_GB2312" w:hAnsi="仿宋_GB2312" w:eastAsia="仿宋_GB2312" w:cs="仿宋_GB2312"/>
              <w:sz w:val="28"/>
              <w:szCs w:val="28"/>
            </w:rPr>
            <w:fldChar w:fldCharType="separate"/>
          </w:r>
          <w:r>
            <w:rPr>
              <w:rFonts w:hint="eastAsia" w:ascii="仿宋_GB2312" w:hAnsi="仿宋_GB2312" w:eastAsia="仿宋_GB2312" w:cs="仿宋_GB2312"/>
              <w:sz w:val="28"/>
              <w:szCs w:val="28"/>
            </w:rPr>
            <w:t>34</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fldChar w:fldCharType="end"/>
          </w:r>
        </w:p>
        <w:p>
          <w:pPr>
            <w:rPr>
              <w:rFonts w:eastAsia="仿宋_GB2312" w:cs="仿宋_GB2312"/>
              <w:bCs/>
              <w:kern w:val="44"/>
              <w:sz w:val="32"/>
              <w:szCs w:val="32"/>
            </w:rPr>
          </w:pPr>
          <w:r>
            <w:fldChar w:fldCharType="end"/>
          </w:r>
        </w:p>
      </w:sdtContent>
    </w:sdt>
    <w:p>
      <w:pPr>
        <w:bidi w:val="0"/>
        <w:rPr>
          <w:rFonts w:hint="eastAsia"/>
        </w:rPr>
      </w:pPr>
    </w:p>
    <w:p>
      <w:pPr>
        <w:bidi w:val="0"/>
        <w:rPr>
          <w:rFonts w:hint="eastAsia"/>
        </w:rPr>
      </w:pPr>
    </w:p>
    <w:p>
      <w:pPr>
        <w:bidi w:val="0"/>
        <w:rPr>
          <w:rFonts w:hint="eastAsia"/>
        </w:rPr>
      </w:pPr>
    </w:p>
    <w:p>
      <w:pPr>
        <w:pStyle w:val="8"/>
        <w:bidi w:val="0"/>
        <w:rPr>
          <w:rFonts w:hint="eastAsia"/>
          <w:lang w:eastAsia="zh-CN"/>
        </w:rPr>
      </w:pPr>
    </w:p>
    <w:p>
      <w:pPr>
        <w:pStyle w:val="8"/>
        <w:bidi w:val="0"/>
        <w:rPr>
          <w:rFonts w:hint="eastAsia"/>
        </w:rPr>
      </w:pPr>
    </w:p>
    <w:p>
      <w:pPr>
        <w:pStyle w:val="8"/>
        <w:bidi w:val="0"/>
        <w:rPr>
          <w:rFonts w:hint="eastAsia"/>
        </w:rPr>
      </w:pPr>
    </w:p>
    <w:p>
      <w:pPr>
        <w:pStyle w:val="8"/>
        <w:bidi w:val="0"/>
        <w:rPr>
          <w:rFonts w:hint="eastAsia"/>
        </w:rPr>
      </w:pPr>
    </w:p>
    <w:p>
      <w:pPr>
        <w:pStyle w:val="8"/>
        <w:bidi w:val="0"/>
        <w:rPr>
          <w:rFonts w:hint="eastAsia"/>
        </w:rPr>
      </w:pPr>
    </w:p>
    <w:p>
      <w:pPr>
        <w:pStyle w:val="5"/>
        <w:jc w:val="center"/>
        <w:rPr>
          <w:rStyle w:val="28"/>
          <w:rFonts w:eastAsia="方正小标宋简体" w:cs="方正小标宋简体"/>
          <w:b/>
          <w:bCs w:val="0"/>
        </w:rPr>
      </w:pPr>
      <w:bookmarkStart w:id="8" w:name="_Toc1111"/>
      <w:r>
        <w:rPr>
          <w:rFonts w:hint="eastAsia" w:eastAsia="方正小标宋简体" w:cs="方正小标宋简体"/>
          <w:b w:val="0"/>
        </w:rPr>
        <w:t xml:space="preserve">第一部分  </w:t>
      </w:r>
      <w:r>
        <w:rPr>
          <w:rFonts w:hint="eastAsia" w:eastAsia="方正小标宋简体" w:cs="方正小标宋简体"/>
          <w:b w:val="0"/>
          <w:lang w:val="en-US" w:eastAsia="zh-CN"/>
        </w:rPr>
        <w:t>单位</w:t>
      </w:r>
      <w:r>
        <w:rPr>
          <w:rStyle w:val="28"/>
          <w:rFonts w:hint="eastAsia" w:eastAsia="方正小标宋简体" w:cs="方正小标宋简体"/>
          <w:b w:val="0"/>
          <w:bCs w:val="0"/>
        </w:rPr>
        <w:t>概况</w:t>
      </w:r>
      <w:bookmarkEnd w:id="6"/>
      <w:bookmarkEnd w:id="7"/>
      <w:bookmarkEnd w:id="8"/>
    </w:p>
    <w:p>
      <w:pPr>
        <w:widowControl/>
        <w:jc w:val="left"/>
        <w:rPr>
          <w:rFonts w:eastAsia="黑体"/>
          <w:sz w:val="32"/>
          <w:szCs w:val="32"/>
        </w:rPr>
      </w:pPr>
    </w:p>
    <w:p>
      <w:pPr>
        <w:pStyle w:val="6"/>
        <w:numPr>
          <w:ilvl w:val="0"/>
          <w:numId w:val="0"/>
        </w:numPr>
        <w:rPr>
          <w:rFonts w:hint="eastAsia" w:ascii="Times New Roman" w:hAnsi="Times New Roman" w:eastAsia="黑体"/>
          <w:b w:val="0"/>
        </w:rPr>
      </w:pPr>
      <w:bookmarkStart w:id="9" w:name="_Toc15635"/>
      <w:r>
        <w:rPr>
          <w:rFonts w:hint="eastAsia" w:ascii="Times New Roman" w:hAnsi="Times New Roman" w:eastAsia="黑体"/>
          <w:b w:val="0"/>
          <w:lang w:val="en-US" w:eastAsia="zh-CN"/>
        </w:rPr>
        <w:t>一、主要</w:t>
      </w:r>
      <w:r>
        <w:rPr>
          <w:rFonts w:hint="eastAsia" w:ascii="Times New Roman" w:hAnsi="Times New Roman" w:eastAsia="黑体"/>
          <w:b w:val="0"/>
        </w:rPr>
        <w:t>职责</w:t>
      </w:r>
      <w:bookmarkEnd w:id="9"/>
    </w:p>
    <w:p>
      <w:pPr>
        <w:ind w:firstLine="800" w:firstLineChars="250"/>
        <w:rPr>
          <w:rFonts w:hint="eastAsia" w:eastAsia="仿宋_GB2312" w:cs="仿宋_GB2312"/>
          <w:sz w:val="32"/>
          <w:szCs w:val="32"/>
        </w:rPr>
      </w:pPr>
      <w:r>
        <w:rPr>
          <w:rFonts w:hint="eastAsia" w:eastAsia="仿宋_GB2312" w:cs="仿宋_GB2312"/>
          <w:sz w:val="32"/>
          <w:szCs w:val="32"/>
        </w:rPr>
        <w:t>根据阿坝州编委阿编发[1994]02号文批准成立阿坝州公路管理局，其性质为事业性的生产单位和具有一定行政管理职能的经济技术实体；主要职能职责是：在州交通局的领导下，管理全州国省干线公路，统筹国、省干线公路养护管理，按照上级下达的经费和要求，编制年度实施计划；组织实施公路遭受自然灾害的抢修恢复；指导各公路管理分局的养护管理工作；完成州交通局交办的其他任务。</w:t>
      </w:r>
    </w:p>
    <w:p>
      <w:pPr>
        <w:pStyle w:val="6"/>
        <w:rPr>
          <w:rStyle w:val="29"/>
          <w:rFonts w:ascii="Times New Roman" w:hAnsi="Times New Roman"/>
          <w:b w:val="0"/>
          <w:bCs w:val="0"/>
        </w:rPr>
      </w:pPr>
      <w:bookmarkStart w:id="10" w:name="_Toc1484"/>
      <w:bookmarkStart w:id="11" w:name="_Toc15396601"/>
      <w:bookmarkStart w:id="12" w:name="_Toc15377200"/>
      <w:r>
        <w:rPr>
          <w:rFonts w:hint="eastAsia" w:ascii="Times New Roman" w:hAnsi="Times New Roman" w:eastAsia="黑体"/>
          <w:b w:val="0"/>
        </w:rPr>
        <w:t>二、机</w:t>
      </w:r>
      <w:r>
        <w:rPr>
          <w:rStyle w:val="29"/>
          <w:rFonts w:hint="eastAsia" w:ascii="Times New Roman" w:hAnsi="Times New Roman" w:eastAsia="黑体"/>
          <w:b w:val="0"/>
          <w:bCs w:val="0"/>
        </w:rPr>
        <w:t>构设置</w:t>
      </w:r>
      <w:bookmarkEnd w:id="10"/>
      <w:bookmarkEnd w:id="11"/>
      <w:bookmarkEnd w:id="12"/>
    </w:p>
    <w:p>
      <w:pPr>
        <w:widowControl/>
        <w:ind w:firstLine="640" w:firstLineChars="200"/>
        <w:jc w:val="left"/>
        <w:rPr>
          <w:rFonts w:eastAsia="仿宋"/>
          <w:kern w:val="0"/>
          <w:sz w:val="32"/>
          <w:szCs w:val="32"/>
        </w:rPr>
      </w:pPr>
      <w:r>
        <w:rPr>
          <w:rFonts w:hint="eastAsia" w:eastAsia="仿宋_GB2312" w:cs="仿宋_GB2312"/>
          <w:sz w:val="32"/>
          <w:szCs w:val="32"/>
          <w:lang w:val="en-US" w:eastAsia="zh-CN"/>
        </w:rPr>
        <w:t>本单位</w:t>
      </w:r>
      <w:r>
        <w:rPr>
          <w:rFonts w:hint="eastAsia" w:eastAsia="仿宋_GB2312" w:cs="仿宋_GB2312"/>
          <w:sz w:val="32"/>
          <w:szCs w:val="32"/>
        </w:rPr>
        <w:t>下设党委办公室、行政办公室、工会办公室、总工办公室、劳动人事科、监察审计科、工程科、财务科、机料科、安全科等1</w:t>
      </w:r>
      <w:r>
        <w:rPr>
          <w:rFonts w:hint="eastAsia" w:eastAsia="仿宋_GB2312" w:cs="仿宋_GB2312"/>
          <w:sz w:val="32"/>
          <w:szCs w:val="32"/>
          <w:lang w:val="en-US" w:eastAsia="zh-CN"/>
        </w:rPr>
        <w:t>2</w:t>
      </w:r>
      <w:r>
        <w:rPr>
          <w:rFonts w:hint="eastAsia" w:eastAsia="仿宋_GB2312" w:cs="仿宋_GB2312"/>
          <w:sz w:val="32"/>
          <w:szCs w:val="32"/>
        </w:rPr>
        <w:t>个科室。</w:t>
      </w:r>
      <w:r>
        <w:rPr>
          <w:rFonts w:eastAsia="仿宋"/>
          <w:sz w:val="32"/>
          <w:szCs w:val="32"/>
        </w:rPr>
        <w:br w:type="page"/>
      </w:r>
    </w:p>
    <w:p>
      <w:pPr>
        <w:pStyle w:val="5"/>
        <w:jc w:val="center"/>
        <w:rPr>
          <w:rFonts w:eastAsia="方正小标宋简体" w:cs="方正小标宋简体"/>
          <w:b w:val="0"/>
        </w:rPr>
      </w:pPr>
      <w:bookmarkStart w:id="13" w:name="_Toc15396602"/>
      <w:bookmarkStart w:id="14" w:name="_Toc15377204"/>
      <w:bookmarkStart w:id="15" w:name="_Toc19467"/>
      <w:r>
        <w:rPr>
          <w:rFonts w:hint="eastAsia" w:eastAsia="方正小标宋简体" w:cs="方正小标宋简体"/>
          <w:b w:val="0"/>
        </w:rPr>
        <w:t xml:space="preserve">第二部分  </w:t>
      </w:r>
      <w:r>
        <w:rPr>
          <w:rFonts w:hint="eastAsia" w:ascii="方正小标宋简体" w:hAnsi="方正小标宋简体" w:eastAsia="方正小标宋简体" w:cs="方正小标宋简体"/>
          <w:b w:val="0"/>
        </w:rPr>
        <w:t>2024</w:t>
      </w:r>
      <w:r>
        <w:rPr>
          <w:rFonts w:hint="eastAsia" w:eastAsia="方正小标宋简体" w:cs="方正小标宋简体"/>
          <w:b w:val="0"/>
        </w:rPr>
        <w:t>年度部门决算情况说明</w:t>
      </w:r>
      <w:bookmarkEnd w:id="13"/>
      <w:bookmarkEnd w:id="14"/>
      <w:bookmarkEnd w:id="15"/>
    </w:p>
    <w:p/>
    <w:p>
      <w:pPr>
        <w:pStyle w:val="27"/>
        <w:spacing w:line="600" w:lineRule="exact"/>
        <w:ind w:firstLine="640"/>
        <w:outlineLvl w:val="1"/>
        <w:rPr>
          <w:rStyle w:val="29"/>
          <w:rFonts w:ascii="Times New Roman" w:hAnsi="Times New Roman" w:eastAsia="黑体"/>
          <w:b w:val="0"/>
        </w:rPr>
      </w:pPr>
      <w:bookmarkStart w:id="16" w:name="_Toc15377205"/>
      <w:bookmarkStart w:id="17" w:name="_Toc15396603"/>
      <w:bookmarkStart w:id="18" w:name="_Toc27774"/>
      <w:r>
        <w:rPr>
          <w:rFonts w:hint="eastAsia" w:eastAsia="黑体"/>
          <w:sz w:val="32"/>
          <w:szCs w:val="32"/>
        </w:rPr>
        <w:t>一、收</w:t>
      </w:r>
      <w:r>
        <w:rPr>
          <w:rStyle w:val="29"/>
          <w:rFonts w:hint="eastAsia" w:ascii="Times New Roman" w:hAnsi="Times New Roman" w:eastAsia="黑体"/>
          <w:b w:val="0"/>
        </w:rPr>
        <w:t>入支出决算总体情况说明</w:t>
      </w:r>
      <w:bookmarkEnd w:id="16"/>
      <w:bookmarkEnd w:id="17"/>
      <w:bookmarkEnd w:id="18"/>
    </w:p>
    <w:p>
      <w:pPr>
        <w:ind w:firstLine="640" w:firstLineChars="200"/>
        <w:rPr>
          <w:rFonts w:hint="eastAsia" w:eastAsia="仿宋_GB2312" w:cs="仿宋_GB2312"/>
          <w:sz w:val="32"/>
          <w:szCs w:val="32"/>
        </w:rPr>
      </w:pPr>
      <w:r>
        <w:rPr>
          <w:rFonts w:hint="eastAsia" w:eastAsia="仿宋_GB2312" w:cs="仿宋_GB2312"/>
          <w:sz w:val="32"/>
          <w:szCs w:val="32"/>
        </w:rPr>
        <w:t>2024年度收入、支出总计均为41,149.27万元。与2023年度相比，收入、支出总计各增加1,879.08万元，增长4.</w:t>
      </w:r>
      <w:r>
        <w:rPr>
          <w:rFonts w:hint="eastAsia" w:eastAsia="仿宋_GB2312" w:cs="仿宋_GB2312"/>
          <w:sz w:val="32"/>
          <w:szCs w:val="32"/>
          <w:lang w:val="en-US" w:eastAsia="zh-CN"/>
        </w:rPr>
        <w:t>8</w:t>
      </w:r>
      <w:r>
        <w:rPr>
          <w:rFonts w:hint="eastAsia" w:eastAsia="仿宋_GB2312" w:cs="仿宋_GB2312"/>
          <w:sz w:val="32"/>
          <w:szCs w:val="32"/>
        </w:rPr>
        <w:t>%。主要变动原因是申请公务车购置经费，导致公用经费变动比率大；单位人员工资调增等原因。</w:t>
      </w:r>
    </w:p>
    <w:p>
      <w:pPr>
        <w:pStyle w:val="3"/>
        <w:rPr>
          <w:rFonts w:hint="eastAsia" w:eastAsia="仿宋_GB2312" w:cs="仿宋_GB2312"/>
          <w:sz w:val="32"/>
          <w:szCs w:val="32"/>
        </w:rPr>
      </w:pPr>
      <w:r>
        <w:drawing>
          <wp:inline distT="0" distB="0" distL="114300" distR="114300">
            <wp:extent cx="4613910" cy="3088640"/>
            <wp:effectExtent l="4445" t="4445" r="10795" b="12065"/>
            <wp:docPr id="25148"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pPr>
        <w:ind w:firstLine="640" w:firstLineChars="200"/>
        <w:jc w:val="center"/>
        <w:rPr>
          <w:rFonts w:eastAsia="仿宋_GB2312" w:cs="仿宋_GB2312"/>
          <w:sz w:val="32"/>
          <w:szCs w:val="32"/>
        </w:rPr>
      </w:pPr>
      <w:r>
        <w:rPr>
          <w:rFonts w:hint="eastAsia" w:eastAsia="仿宋_GB2312" w:cs="仿宋_GB2312"/>
          <w:sz w:val="32"/>
          <w:szCs w:val="32"/>
        </w:rPr>
        <w:t>（图1：收入、支出决算总计变动情况图）</w:t>
      </w:r>
    </w:p>
    <w:p>
      <w:pPr>
        <w:pStyle w:val="27"/>
        <w:spacing w:line="600" w:lineRule="exact"/>
        <w:ind w:firstLine="640"/>
        <w:outlineLvl w:val="1"/>
        <w:rPr>
          <w:rFonts w:eastAsia="黑体"/>
          <w:sz w:val="32"/>
          <w:szCs w:val="32"/>
        </w:rPr>
      </w:pPr>
      <w:bookmarkStart w:id="19" w:name="_Toc15396604"/>
      <w:bookmarkStart w:id="20" w:name="_Toc29763"/>
      <w:bookmarkStart w:id="21" w:name="_Toc15377206"/>
      <w:r>
        <w:rPr>
          <w:rFonts w:hint="eastAsia" w:eastAsia="黑体"/>
          <w:sz w:val="32"/>
          <w:szCs w:val="32"/>
        </w:rPr>
        <w:t>二、收入决算情况说明</w:t>
      </w:r>
      <w:bookmarkEnd w:id="19"/>
      <w:bookmarkEnd w:id="20"/>
      <w:bookmarkEnd w:id="21"/>
    </w:p>
    <w:p>
      <w:pPr>
        <w:ind w:firstLine="640" w:firstLineChars="200"/>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lang w:val="en-US" w:eastAsia="zh-CN"/>
        </w:rPr>
        <w:t>2024</w:t>
      </w:r>
      <w:r>
        <w:rPr>
          <w:rFonts w:hint="eastAsia" w:ascii="Times New Roman" w:hAnsi="Times New Roman" w:eastAsia="仿宋_GB2312" w:cs="仿宋_GB2312"/>
          <w:sz w:val="32"/>
          <w:szCs w:val="32"/>
        </w:rPr>
        <w:t>年度本年收入合计41,149.27万元，其中：一般公共预算财政拨款收入41,149.27万元，占</w:t>
      </w:r>
      <w:r>
        <w:rPr>
          <w:rFonts w:hint="eastAsia" w:ascii="Times New Roman" w:hAnsi="Times New Roman" w:eastAsia="仿宋_GB2312" w:cs="仿宋_GB2312"/>
          <w:sz w:val="32"/>
          <w:szCs w:val="32"/>
          <w:lang w:val="en-US" w:eastAsia="zh-CN"/>
        </w:rPr>
        <w:t>100</w:t>
      </w:r>
      <w:r>
        <w:rPr>
          <w:rFonts w:hint="eastAsia" w:ascii="Times New Roman" w:hAnsi="Times New Roman" w:eastAsia="仿宋_GB2312" w:cs="仿宋_GB2312"/>
          <w:sz w:val="32"/>
          <w:szCs w:val="32"/>
        </w:rPr>
        <w:t>%。</w:t>
      </w:r>
    </w:p>
    <w:p>
      <w:pPr>
        <w:pStyle w:val="8"/>
        <w:bidi w:val="0"/>
        <w:rPr>
          <w:rFonts w:hint="eastAsia"/>
        </w:rPr>
      </w:pPr>
    </w:p>
    <w:p>
      <w:pPr>
        <w:ind w:firstLine="800" w:firstLineChars="250"/>
        <w:rPr>
          <w:rFonts w:hint="eastAsia" w:eastAsia="仿宋_GB2312" w:cs="仿宋_GB2312"/>
          <w:sz w:val="32"/>
          <w:szCs w:val="32"/>
        </w:rPr>
      </w:pPr>
    </w:p>
    <w:p>
      <w:pPr>
        <w:rPr>
          <w:rFonts w:hint="eastAsia" w:eastAsia="仿宋_GB2312" w:cs="仿宋_GB2312"/>
          <w:sz w:val="32"/>
          <w:szCs w:val="32"/>
        </w:rPr>
      </w:pPr>
    </w:p>
    <w:p>
      <w:pPr>
        <w:ind w:firstLine="525" w:firstLineChars="250"/>
        <w:rPr>
          <w:rFonts w:hint="eastAsia" w:eastAsia="仿宋_GB2312" w:cs="仿宋_GB2312"/>
          <w:sz w:val="32"/>
          <w:szCs w:val="32"/>
        </w:rPr>
      </w:pPr>
      <w:r>
        <w:drawing>
          <wp:inline distT="0" distB="0" distL="114300" distR="114300">
            <wp:extent cx="4707255" cy="3154680"/>
            <wp:effectExtent l="4445" t="4445" r="12700" b="22225"/>
            <wp:docPr id="25152"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pPr>
        <w:ind w:firstLine="800" w:firstLineChars="250"/>
        <w:jc w:val="center"/>
        <w:rPr>
          <w:rFonts w:eastAsia="仿宋_GB2312" w:cs="仿宋_GB2312"/>
          <w:sz w:val="32"/>
          <w:szCs w:val="32"/>
        </w:rPr>
      </w:pPr>
      <w:r>
        <w:rPr>
          <w:rFonts w:hint="eastAsia" w:eastAsia="仿宋_GB2312" w:cs="仿宋_GB2312"/>
          <w:sz w:val="32"/>
          <w:szCs w:val="32"/>
        </w:rPr>
        <w:t>（图2：收入决算结构图）</w:t>
      </w:r>
    </w:p>
    <w:p>
      <w:pPr>
        <w:pStyle w:val="27"/>
        <w:spacing w:line="600" w:lineRule="exact"/>
        <w:ind w:firstLine="640"/>
        <w:outlineLvl w:val="1"/>
        <w:rPr>
          <w:rStyle w:val="29"/>
          <w:rFonts w:ascii="Times New Roman" w:hAnsi="Times New Roman" w:eastAsia="黑体"/>
          <w:b w:val="0"/>
        </w:rPr>
      </w:pPr>
      <w:bookmarkStart w:id="22" w:name="_Toc15396605"/>
      <w:bookmarkStart w:id="23" w:name="_Toc6540"/>
      <w:bookmarkStart w:id="24" w:name="_Toc15377207"/>
      <w:r>
        <w:rPr>
          <w:rFonts w:hint="eastAsia" w:eastAsia="黑体"/>
          <w:sz w:val="32"/>
          <w:szCs w:val="32"/>
        </w:rPr>
        <w:t>三、支</w:t>
      </w:r>
      <w:r>
        <w:rPr>
          <w:rStyle w:val="29"/>
          <w:rFonts w:hint="eastAsia" w:ascii="Times New Roman" w:hAnsi="Times New Roman" w:eastAsia="黑体"/>
          <w:b w:val="0"/>
        </w:rPr>
        <w:t>出决算情况说明</w:t>
      </w:r>
      <w:bookmarkEnd w:id="22"/>
      <w:bookmarkEnd w:id="23"/>
      <w:bookmarkEnd w:id="24"/>
    </w:p>
    <w:p>
      <w:pPr>
        <w:ind w:firstLine="640" w:firstLineChars="20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2024年度本年支出合计41,149.27万元，其中：基本支出2,931.6万元，占7.1%；项目支出38,217.68万元，占92.9%。</w:t>
      </w:r>
    </w:p>
    <w:p>
      <w:pPr>
        <w:pStyle w:val="8"/>
        <w:bidi w:val="0"/>
        <w:rPr>
          <w:rFonts w:hint="eastAsia"/>
        </w:rPr>
      </w:pPr>
      <w:r>
        <w:drawing>
          <wp:anchor distT="0" distB="0" distL="114300" distR="114300" simplePos="0" relativeHeight="251659264" behindDoc="0" locked="0" layoutInCell="1" allowOverlap="1">
            <wp:simplePos x="0" y="0"/>
            <wp:positionH relativeFrom="column">
              <wp:posOffset>156845</wp:posOffset>
            </wp:positionH>
            <wp:positionV relativeFrom="paragraph">
              <wp:posOffset>42545</wp:posOffset>
            </wp:positionV>
            <wp:extent cx="4948555" cy="2943860"/>
            <wp:effectExtent l="4445" t="4445" r="19050" b="23495"/>
            <wp:wrapNone/>
            <wp:docPr id="2515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p>
    <w:p>
      <w:pPr>
        <w:pStyle w:val="8"/>
        <w:bidi w:val="0"/>
        <w:rPr>
          <w:rFonts w:hint="eastAsia"/>
        </w:rPr>
      </w:pPr>
    </w:p>
    <w:p>
      <w:pPr>
        <w:pStyle w:val="8"/>
        <w:bidi w:val="0"/>
        <w:rPr>
          <w:rFonts w:hint="eastAsia"/>
        </w:rPr>
      </w:pPr>
    </w:p>
    <w:p>
      <w:pPr>
        <w:pStyle w:val="8"/>
        <w:bidi w:val="0"/>
        <w:rPr>
          <w:rFonts w:hint="eastAsia"/>
        </w:rPr>
      </w:pPr>
    </w:p>
    <w:p>
      <w:pPr>
        <w:pStyle w:val="8"/>
        <w:bidi w:val="0"/>
        <w:rPr>
          <w:rFonts w:hint="eastAsia"/>
        </w:rPr>
      </w:pPr>
    </w:p>
    <w:p>
      <w:pPr>
        <w:pStyle w:val="8"/>
        <w:bidi w:val="0"/>
        <w:rPr>
          <w:rFonts w:hint="eastAsia"/>
        </w:rPr>
      </w:pPr>
    </w:p>
    <w:p>
      <w:pPr>
        <w:rPr>
          <w:rFonts w:hint="eastAsia" w:eastAsia="仿宋_GB2312" w:cs="仿宋_GB2312"/>
          <w:sz w:val="32"/>
          <w:szCs w:val="32"/>
        </w:rPr>
      </w:pPr>
    </w:p>
    <w:p>
      <w:pPr>
        <w:ind w:firstLine="800" w:firstLineChars="250"/>
        <w:jc w:val="center"/>
        <w:rPr>
          <w:rFonts w:eastAsia="仿宋_GB2312" w:cs="仿宋_GB2312"/>
          <w:sz w:val="32"/>
          <w:szCs w:val="32"/>
        </w:rPr>
      </w:pPr>
      <w:r>
        <w:rPr>
          <w:rFonts w:hint="eastAsia" w:eastAsia="仿宋_GB2312" w:cs="仿宋_GB2312"/>
          <w:sz w:val="32"/>
          <w:szCs w:val="32"/>
        </w:rPr>
        <w:t>（图3：支出决算结构图）</w:t>
      </w:r>
    </w:p>
    <w:p>
      <w:pPr>
        <w:spacing w:line="600" w:lineRule="exact"/>
        <w:ind w:firstLine="640" w:firstLineChars="200"/>
        <w:outlineLvl w:val="1"/>
        <w:rPr>
          <w:rStyle w:val="29"/>
          <w:rFonts w:ascii="Times New Roman" w:hAnsi="Times New Roman" w:eastAsia="黑体"/>
          <w:b w:val="0"/>
        </w:rPr>
      </w:pPr>
      <w:bookmarkStart w:id="25" w:name="_Toc15377208"/>
      <w:bookmarkStart w:id="26" w:name="_Toc15396606"/>
      <w:bookmarkStart w:id="27" w:name="_Toc19478"/>
      <w:r>
        <w:rPr>
          <w:rFonts w:hint="eastAsia" w:eastAsia="黑体"/>
          <w:sz w:val="32"/>
          <w:szCs w:val="32"/>
        </w:rPr>
        <w:t>四、财</w:t>
      </w:r>
      <w:r>
        <w:rPr>
          <w:rStyle w:val="29"/>
          <w:rFonts w:hint="eastAsia" w:ascii="Times New Roman" w:hAnsi="Times New Roman" w:eastAsia="黑体"/>
          <w:b w:val="0"/>
        </w:rPr>
        <w:t>政拨款收入支出决算总体情况说明</w:t>
      </w:r>
      <w:bookmarkEnd w:id="25"/>
      <w:bookmarkEnd w:id="26"/>
      <w:bookmarkEnd w:id="27"/>
    </w:p>
    <w:p>
      <w:pPr>
        <w:spacing w:line="600" w:lineRule="exact"/>
        <w:ind w:firstLine="640"/>
        <w:rPr>
          <w:rFonts w:hint="eastAsia" w:eastAsia="仿宋_GB2312" w:cs="仿宋_GB2312"/>
          <w:sz w:val="32"/>
          <w:szCs w:val="32"/>
          <w:lang w:eastAsia="zh-CN"/>
        </w:rPr>
      </w:pPr>
      <w:r>
        <w:rPr>
          <w:rFonts w:hint="eastAsia" w:eastAsia="仿宋_GB2312" w:cs="仿宋_GB2312"/>
          <w:sz w:val="32"/>
          <w:szCs w:val="32"/>
        </w:rPr>
        <w:t>2024年度财政拨款收入、支出总计均为41,149.27万元。与2023年度相比，财政拨款收入总计、支出总计各增加1,879.08万元，增长4.8%。主要变动原因是申请公务车购置经费，导致公用经费变动比率大；单位人员工资调增等原因</w:t>
      </w:r>
      <w:r>
        <w:rPr>
          <w:rFonts w:hint="eastAsia" w:eastAsia="仿宋_GB2312" w:cs="仿宋_GB2312"/>
          <w:sz w:val="32"/>
          <w:szCs w:val="32"/>
          <w:lang w:eastAsia="zh-CN"/>
        </w:rPr>
        <w:t>。</w:t>
      </w:r>
    </w:p>
    <w:p>
      <w:pPr>
        <w:pStyle w:val="3"/>
        <w:rPr>
          <w:rFonts w:hint="eastAsia" w:eastAsia="仿宋_GB2312" w:cs="仿宋_GB2312"/>
          <w:sz w:val="32"/>
          <w:szCs w:val="32"/>
          <w:lang w:eastAsia="zh-CN"/>
        </w:rPr>
      </w:pPr>
      <w:r>
        <w:drawing>
          <wp:inline distT="0" distB="0" distL="114300" distR="114300">
            <wp:extent cx="4793615" cy="3208655"/>
            <wp:effectExtent l="0" t="0" r="6985" b="10795"/>
            <wp:docPr id="25157"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pPr>
        <w:spacing w:line="240" w:lineRule="auto"/>
        <w:ind w:firstLine="0" w:firstLineChars="0"/>
        <w:jc w:val="center"/>
        <w:rPr>
          <w:rFonts w:eastAsia="仿宋_GB2312" w:cs="仿宋_GB2312"/>
          <w:sz w:val="32"/>
          <w:szCs w:val="32"/>
        </w:rPr>
      </w:pPr>
      <w:r>
        <w:rPr>
          <w:rFonts w:hint="eastAsia" w:eastAsia="仿宋_GB2312" w:cs="仿宋_GB2312"/>
          <w:sz w:val="32"/>
          <w:szCs w:val="32"/>
        </w:rPr>
        <w:t>（图4：财政拨款收、支决算总计变动情况）</w:t>
      </w:r>
    </w:p>
    <w:p>
      <w:pPr>
        <w:spacing w:line="600" w:lineRule="exact"/>
        <w:ind w:firstLine="640" w:firstLineChars="200"/>
        <w:outlineLvl w:val="1"/>
        <w:rPr>
          <w:rStyle w:val="29"/>
          <w:rFonts w:ascii="Times New Roman" w:hAnsi="Times New Roman" w:eastAsia="黑体"/>
          <w:b w:val="0"/>
        </w:rPr>
      </w:pPr>
      <w:bookmarkStart w:id="28" w:name="_Toc1204"/>
      <w:bookmarkStart w:id="29" w:name="_Toc15377209"/>
      <w:bookmarkStart w:id="30" w:name="_Toc15396607"/>
      <w:r>
        <w:rPr>
          <w:rFonts w:hint="eastAsia" w:eastAsia="黑体"/>
          <w:sz w:val="32"/>
          <w:szCs w:val="32"/>
        </w:rPr>
        <w:t>五、</w:t>
      </w:r>
      <w:r>
        <w:rPr>
          <w:rFonts w:hint="eastAsia" w:eastAsia="黑体"/>
          <w:b/>
          <w:sz w:val="32"/>
          <w:szCs w:val="32"/>
        </w:rPr>
        <w:t>一</w:t>
      </w:r>
      <w:r>
        <w:rPr>
          <w:rStyle w:val="29"/>
          <w:rFonts w:hint="eastAsia" w:ascii="Times New Roman" w:hAnsi="Times New Roman" w:eastAsia="黑体"/>
          <w:b w:val="0"/>
        </w:rPr>
        <w:t>般公共预算财政拨款支出决算情况说明</w:t>
      </w:r>
      <w:bookmarkEnd w:id="28"/>
      <w:bookmarkEnd w:id="29"/>
      <w:bookmarkEnd w:id="30"/>
    </w:p>
    <w:p>
      <w:pPr>
        <w:spacing w:line="600" w:lineRule="exact"/>
        <w:ind w:firstLine="643" w:firstLineChars="200"/>
        <w:outlineLvl w:val="2"/>
        <w:rPr>
          <w:rFonts w:eastAsia="楷体_GB2312" w:cs="楷体_GB2312"/>
          <w:b/>
          <w:sz w:val="32"/>
          <w:szCs w:val="32"/>
        </w:rPr>
      </w:pPr>
      <w:bookmarkStart w:id="31" w:name="_Toc15377210"/>
      <w:r>
        <w:rPr>
          <w:rFonts w:hint="eastAsia" w:eastAsia="楷体_GB2312" w:cs="楷体_GB2312"/>
          <w:b/>
          <w:sz w:val="32"/>
          <w:szCs w:val="32"/>
        </w:rPr>
        <w:t>（一）一般公共预算财政拨款支出决算总体情况</w:t>
      </w:r>
      <w:bookmarkEnd w:id="31"/>
    </w:p>
    <w:p>
      <w:pPr>
        <w:spacing w:line="600" w:lineRule="exact"/>
        <w:ind w:firstLine="640"/>
        <w:rPr>
          <w:rFonts w:hint="eastAsia" w:ascii="仿宋_GB2312" w:hAnsi="仿宋_GB2312" w:eastAsia="仿宋_GB2312" w:cs="仿宋_GB2312"/>
          <w:sz w:val="32"/>
          <w:szCs w:val="32"/>
        </w:rPr>
      </w:pPr>
      <w:r>
        <w:rPr>
          <w:rFonts w:hint="eastAsia" w:eastAsia="仿宋_GB2312" w:cs="仿宋_GB2312"/>
          <w:sz w:val="32"/>
          <w:szCs w:val="32"/>
          <w:lang w:val="en-US" w:eastAsia="zh-CN"/>
        </w:rPr>
        <w:t>2024</w:t>
      </w:r>
      <w:r>
        <w:rPr>
          <w:rFonts w:hint="eastAsia" w:ascii="仿宋_GB2312" w:hAnsi="仿宋_GB2312" w:eastAsia="仿宋_GB2312" w:cs="仿宋_GB2312"/>
          <w:sz w:val="32"/>
          <w:szCs w:val="32"/>
        </w:rPr>
        <w:t>年度一般公共预算财政拨款支出</w:t>
      </w:r>
      <w:r>
        <w:rPr>
          <w:rFonts w:hint="eastAsia" w:eastAsia="仿宋_GB2312" w:cs="仿宋_GB2312"/>
          <w:sz w:val="32"/>
          <w:szCs w:val="32"/>
        </w:rPr>
        <w:t>41,149.27</w:t>
      </w:r>
      <w:r>
        <w:rPr>
          <w:rFonts w:hint="eastAsia" w:ascii="仿宋_GB2312" w:hAnsi="仿宋_GB2312" w:eastAsia="仿宋_GB2312" w:cs="仿宋_GB2312"/>
          <w:sz w:val="32"/>
          <w:szCs w:val="32"/>
        </w:rPr>
        <w:t>万元，占本年支出合计的</w:t>
      </w:r>
      <w:r>
        <w:rPr>
          <w:rFonts w:hint="eastAsia" w:eastAsia="仿宋_GB2312" w:cs="仿宋_GB2312"/>
          <w:sz w:val="32"/>
          <w:szCs w:val="32"/>
          <w:lang w:val="en-US" w:eastAsia="zh-CN"/>
        </w:rPr>
        <w:t>100%</w:t>
      </w:r>
      <w:r>
        <w:rPr>
          <w:rFonts w:hint="eastAsia" w:ascii="仿宋_GB2312" w:hAnsi="仿宋_GB2312" w:eastAsia="仿宋_GB2312" w:cs="仿宋_GB2312"/>
          <w:sz w:val="32"/>
          <w:szCs w:val="32"/>
        </w:rPr>
        <w:t>。与</w:t>
      </w:r>
      <w:r>
        <w:rPr>
          <w:rFonts w:hint="eastAsia" w:eastAsia="仿宋_GB2312" w:cs="仿宋_GB2312"/>
          <w:sz w:val="32"/>
          <w:szCs w:val="32"/>
          <w:lang w:val="en-US" w:eastAsia="zh-CN"/>
        </w:rPr>
        <w:t>2023</w:t>
      </w:r>
      <w:r>
        <w:rPr>
          <w:rFonts w:hint="eastAsia" w:ascii="仿宋_GB2312" w:hAnsi="仿宋_GB2312" w:eastAsia="仿宋_GB2312" w:cs="仿宋_GB2312"/>
          <w:sz w:val="32"/>
          <w:szCs w:val="32"/>
        </w:rPr>
        <w:t>年度相比，一般公共预算财政拨款支出增加</w:t>
      </w:r>
      <w:r>
        <w:rPr>
          <w:rFonts w:hint="eastAsia" w:eastAsia="仿宋_GB2312" w:cs="仿宋_GB2312"/>
          <w:sz w:val="32"/>
          <w:szCs w:val="32"/>
        </w:rPr>
        <w:t>1,879.08</w:t>
      </w:r>
      <w:r>
        <w:rPr>
          <w:rFonts w:hint="eastAsia" w:ascii="仿宋_GB2312" w:hAnsi="仿宋_GB2312" w:eastAsia="仿宋_GB2312" w:cs="仿宋_GB2312"/>
          <w:sz w:val="32"/>
          <w:szCs w:val="32"/>
        </w:rPr>
        <w:t>万元，增长</w:t>
      </w:r>
      <w:r>
        <w:rPr>
          <w:rFonts w:hint="eastAsia" w:eastAsia="仿宋_GB2312" w:cs="仿宋_GB2312"/>
          <w:sz w:val="32"/>
          <w:szCs w:val="32"/>
        </w:rPr>
        <w:t>4.8%</w:t>
      </w:r>
      <w:r>
        <w:rPr>
          <w:rFonts w:hint="eastAsia" w:ascii="仿宋_GB2312" w:hAnsi="仿宋_GB2312" w:eastAsia="仿宋_GB2312" w:cs="仿宋_GB2312"/>
          <w:sz w:val="32"/>
          <w:szCs w:val="32"/>
        </w:rPr>
        <w:t>。主要变动原因是申请公务车购置经费，导致公用经费变动比率大；单位人员工资调增等原因。</w:t>
      </w:r>
    </w:p>
    <w:p>
      <w:pPr>
        <w:pStyle w:val="3"/>
        <w:ind w:left="0" w:leftChars="0" w:firstLine="0" w:firstLineChars="0"/>
        <w:rPr>
          <w:rFonts w:hint="eastAsia" w:ascii="仿宋_GB2312" w:hAnsi="仿宋_GB2312" w:eastAsia="仿宋_GB2312" w:cs="仿宋_GB2312"/>
          <w:sz w:val="32"/>
          <w:szCs w:val="32"/>
        </w:rPr>
      </w:pPr>
    </w:p>
    <w:p>
      <w:pPr>
        <w:pStyle w:val="3"/>
        <w:jc w:val="center"/>
        <w:rPr>
          <w:rFonts w:hint="eastAsia" w:ascii="仿宋_GB2312" w:hAnsi="仿宋_GB2312" w:eastAsia="仿宋_GB2312" w:cs="仿宋_GB2312"/>
          <w:sz w:val="32"/>
          <w:szCs w:val="32"/>
        </w:rPr>
      </w:pPr>
      <w:r>
        <w:drawing>
          <wp:inline distT="0" distB="0" distL="114300" distR="114300">
            <wp:extent cx="4761865" cy="2732405"/>
            <wp:effectExtent l="4445" t="5080" r="15240" b="5715"/>
            <wp:docPr id="25147"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pPr>
        <w:spacing w:line="600" w:lineRule="exact"/>
        <w:ind w:firstLine="640"/>
        <w:jc w:val="center"/>
        <w:rPr>
          <w:rFonts w:eastAsia="仿宋_GB2312" w:cs="仿宋_GB2312"/>
          <w:sz w:val="32"/>
          <w:szCs w:val="32"/>
        </w:rPr>
      </w:pPr>
      <w:r>
        <w:rPr>
          <w:rFonts w:hint="eastAsia" w:eastAsia="仿宋_GB2312" w:cs="仿宋_GB2312"/>
          <w:sz w:val="32"/>
          <w:szCs w:val="32"/>
        </w:rPr>
        <w:t>（图5：一般公共预算财政拨款支出决算变动情况）</w:t>
      </w:r>
    </w:p>
    <w:p>
      <w:pPr>
        <w:spacing w:line="600" w:lineRule="exact"/>
        <w:ind w:firstLine="643" w:firstLineChars="200"/>
        <w:outlineLvl w:val="2"/>
        <w:rPr>
          <w:rFonts w:eastAsia="楷体_GB2312" w:cs="楷体_GB2312"/>
          <w:b/>
          <w:sz w:val="32"/>
          <w:szCs w:val="32"/>
        </w:rPr>
      </w:pPr>
      <w:bookmarkStart w:id="32" w:name="_Toc15377211"/>
      <w:r>
        <w:rPr>
          <w:rFonts w:hint="eastAsia" w:eastAsia="楷体_GB2312" w:cs="楷体_GB2312"/>
          <w:b/>
          <w:sz w:val="32"/>
          <w:szCs w:val="32"/>
        </w:rPr>
        <w:t>（二）一般公共预算财政拨款支出决算结构情况</w:t>
      </w:r>
      <w:bookmarkEnd w:id="32"/>
    </w:p>
    <w:p>
      <w:pPr>
        <w:spacing w:line="600" w:lineRule="exact"/>
        <w:ind w:firstLine="640"/>
        <w:rPr>
          <w:rFonts w:hint="eastAsia" w:eastAsia="仿宋_GB2312" w:cs="仿宋_GB2312"/>
          <w:sz w:val="32"/>
          <w:szCs w:val="32"/>
          <w:lang w:eastAsia="zh-CN"/>
        </w:rPr>
      </w:pPr>
      <w:r>
        <w:rPr>
          <w:rFonts w:hint="eastAsia" w:eastAsia="仿宋_GB2312" w:cs="仿宋_GB2312"/>
          <w:sz w:val="32"/>
          <w:szCs w:val="32"/>
        </w:rPr>
        <w:t>2024年度一般公共预算财政拨款支出41,149.27</w:t>
      </w:r>
      <w:r>
        <w:rPr>
          <w:rFonts w:hint="eastAsia" w:ascii="仿宋_GB2312" w:hAnsi="仿宋_GB2312" w:eastAsia="仿宋_GB2312" w:cs="仿宋_GB2312"/>
          <w:sz w:val="32"/>
          <w:szCs w:val="32"/>
        </w:rPr>
        <w:t>万元</w:t>
      </w:r>
      <w:r>
        <w:rPr>
          <w:rFonts w:hint="eastAsia" w:eastAsia="仿宋_GB2312" w:cs="仿宋_GB2312"/>
          <w:sz w:val="32"/>
          <w:szCs w:val="32"/>
        </w:rPr>
        <w:t>，主要用于以下方面：社会保障和就业支出291.26万元，占</w:t>
      </w:r>
      <w:r>
        <w:rPr>
          <w:rFonts w:hint="eastAsia" w:eastAsia="仿宋_GB2312" w:cs="仿宋_GB2312"/>
          <w:sz w:val="32"/>
          <w:szCs w:val="32"/>
          <w:lang w:val="en-US" w:eastAsia="zh-CN"/>
        </w:rPr>
        <w:t>0.7</w:t>
      </w:r>
      <w:r>
        <w:rPr>
          <w:rFonts w:hint="eastAsia" w:eastAsia="仿宋_GB2312" w:cs="仿宋_GB2312"/>
          <w:sz w:val="32"/>
          <w:szCs w:val="32"/>
        </w:rPr>
        <w:t>%；卫生健康支出97.99万元，占</w:t>
      </w:r>
      <w:r>
        <w:rPr>
          <w:rFonts w:hint="eastAsia" w:eastAsia="仿宋_GB2312" w:cs="仿宋_GB2312"/>
          <w:sz w:val="32"/>
          <w:szCs w:val="32"/>
          <w:lang w:val="en-US" w:eastAsia="zh-CN"/>
        </w:rPr>
        <w:t>0.2</w:t>
      </w:r>
      <w:r>
        <w:rPr>
          <w:rFonts w:hint="eastAsia" w:eastAsia="仿宋_GB2312" w:cs="仿宋_GB2312"/>
          <w:sz w:val="32"/>
          <w:szCs w:val="32"/>
        </w:rPr>
        <w:t>%；交通运输支出40,619.53</w:t>
      </w:r>
      <w:r>
        <w:rPr>
          <w:rFonts w:hint="eastAsia" w:eastAsia="仿宋_GB2312" w:cs="仿宋_GB2312"/>
          <w:sz w:val="32"/>
          <w:szCs w:val="32"/>
          <w:lang w:val="en-US" w:eastAsia="zh-CN"/>
        </w:rPr>
        <w:t>万元，占98.7；</w:t>
      </w:r>
      <w:r>
        <w:rPr>
          <w:rFonts w:hint="eastAsia" w:eastAsia="仿宋_GB2312" w:cs="仿宋_GB2312"/>
          <w:sz w:val="32"/>
          <w:szCs w:val="32"/>
        </w:rPr>
        <w:t>住房保障支出140.49万元，占</w:t>
      </w:r>
      <w:r>
        <w:rPr>
          <w:rFonts w:hint="eastAsia" w:eastAsia="仿宋_GB2312" w:cs="仿宋_GB2312"/>
          <w:sz w:val="32"/>
          <w:szCs w:val="32"/>
          <w:lang w:val="en-US" w:eastAsia="zh-CN"/>
        </w:rPr>
        <w:t>0.3</w:t>
      </w:r>
      <w:r>
        <w:rPr>
          <w:rFonts w:hint="eastAsia" w:eastAsia="仿宋_GB2312" w:cs="仿宋_GB2312"/>
          <w:sz w:val="32"/>
          <w:szCs w:val="32"/>
        </w:rPr>
        <w:t>%</w:t>
      </w:r>
      <w:r>
        <w:rPr>
          <w:rFonts w:hint="eastAsia" w:eastAsia="仿宋_GB2312" w:cs="仿宋_GB2312"/>
          <w:sz w:val="32"/>
          <w:szCs w:val="32"/>
          <w:lang w:eastAsia="zh-CN"/>
        </w:rPr>
        <w:t>。</w:t>
      </w:r>
    </w:p>
    <w:p>
      <w:pPr>
        <w:pStyle w:val="3"/>
        <w:rPr>
          <w:rFonts w:hint="eastAsia" w:eastAsia="仿宋_GB2312" w:cs="仿宋_GB2312"/>
          <w:sz w:val="32"/>
          <w:szCs w:val="32"/>
          <w:lang w:eastAsia="zh-CN"/>
        </w:rPr>
      </w:pPr>
      <w:r>
        <w:drawing>
          <wp:inline distT="0" distB="0" distL="114300" distR="114300">
            <wp:extent cx="5026660" cy="2994025"/>
            <wp:effectExtent l="4445" t="4445" r="17145" b="11430"/>
            <wp:docPr id="25158"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pPr>
        <w:spacing w:line="600" w:lineRule="exact"/>
        <w:ind w:firstLine="640"/>
        <w:jc w:val="center"/>
      </w:pPr>
      <w:r>
        <w:rPr>
          <w:rFonts w:hint="eastAsia" w:eastAsia="仿宋_GB2312" w:cs="仿宋_GB2312"/>
          <w:sz w:val="32"/>
          <w:szCs w:val="32"/>
        </w:rPr>
        <w:t>（图6：一般公共预算财政拨款支出决算结构）</w:t>
      </w:r>
    </w:p>
    <w:p>
      <w:pPr>
        <w:spacing w:line="600" w:lineRule="exact"/>
        <w:ind w:firstLine="643" w:firstLineChars="200"/>
        <w:outlineLvl w:val="2"/>
        <w:rPr>
          <w:rFonts w:eastAsia="楷体_GB2312" w:cs="楷体_GB2312"/>
          <w:b/>
          <w:sz w:val="32"/>
          <w:szCs w:val="32"/>
        </w:rPr>
      </w:pPr>
      <w:bookmarkStart w:id="33" w:name="_Toc15377212"/>
      <w:r>
        <w:rPr>
          <w:rFonts w:hint="eastAsia" w:eastAsia="楷体_GB2312" w:cs="楷体_GB2312"/>
          <w:b/>
          <w:sz w:val="32"/>
          <w:szCs w:val="32"/>
        </w:rPr>
        <w:t>（三）一般公共预算财政拨款支出决算具体情况</w:t>
      </w:r>
      <w:bookmarkEnd w:id="33"/>
    </w:p>
    <w:p>
      <w:pPr>
        <w:spacing w:line="600" w:lineRule="exact"/>
        <w:ind w:firstLine="640"/>
        <w:rPr>
          <w:rFonts w:eastAsia="仿宋_GB2312" w:cs="仿宋_GB2312"/>
          <w:sz w:val="32"/>
          <w:szCs w:val="32"/>
        </w:rPr>
      </w:pPr>
      <w:bookmarkStart w:id="34" w:name="_Toc15378460"/>
      <w:bookmarkStart w:id="35" w:name="_Toc15377213"/>
      <w:bookmarkStart w:id="36" w:name="_Toc15377444"/>
      <w:r>
        <w:rPr>
          <w:rFonts w:hint="eastAsia" w:eastAsia="仿宋_GB2312" w:cs="仿宋_GB2312"/>
          <w:sz w:val="32"/>
          <w:szCs w:val="32"/>
        </w:rPr>
        <w:t>2024年度一般公共预算财政拨款支出决算数为41,149.27</w:t>
      </w:r>
      <w:r>
        <w:rPr>
          <w:rFonts w:hint="eastAsia" w:eastAsia="仿宋_GB2312" w:cs="仿宋_GB2312"/>
          <w:sz w:val="32"/>
          <w:szCs w:val="32"/>
          <w:lang w:val="en-US" w:eastAsia="zh-CN"/>
        </w:rPr>
        <w:t>万元</w:t>
      </w:r>
      <w:r>
        <w:rPr>
          <w:rFonts w:hint="eastAsia" w:ascii="仿宋_GB2312" w:hAnsi="仿宋_GB2312" w:eastAsia="仿宋_GB2312" w:cs="仿宋_GB2312"/>
          <w:sz w:val="32"/>
          <w:szCs w:val="32"/>
        </w:rPr>
        <w:t>，</w:t>
      </w:r>
      <w:r>
        <w:rPr>
          <w:rFonts w:hint="eastAsia" w:eastAsia="仿宋_GB2312" w:cs="仿宋_GB2312"/>
          <w:sz w:val="32"/>
          <w:szCs w:val="32"/>
        </w:rPr>
        <w:t>完成预算</w:t>
      </w:r>
      <w:r>
        <w:rPr>
          <w:rFonts w:hint="eastAsia" w:eastAsia="仿宋_GB2312" w:cs="仿宋_GB2312"/>
          <w:sz w:val="32"/>
          <w:szCs w:val="32"/>
          <w:lang w:val="en-US" w:eastAsia="zh-CN"/>
        </w:rPr>
        <w:t>100</w:t>
      </w:r>
      <w:r>
        <w:rPr>
          <w:rFonts w:hint="eastAsia" w:eastAsia="仿宋_GB2312" w:cs="仿宋_GB2312"/>
          <w:sz w:val="32"/>
          <w:szCs w:val="32"/>
        </w:rPr>
        <w:t>%。其中：</w:t>
      </w:r>
      <w:bookmarkEnd w:id="34"/>
      <w:bookmarkEnd w:id="35"/>
      <w:bookmarkEnd w:id="36"/>
    </w:p>
    <w:p>
      <w:pPr>
        <w:numPr>
          <w:ilvl w:val="0"/>
          <w:numId w:val="0"/>
        </w:numPr>
        <w:spacing w:line="600" w:lineRule="exact"/>
        <w:ind w:firstLine="640" w:firstLineChars="200"/>
        <w:rPr>
          <w:rFonts w:hint="eastAsia" w:eastAsia="仿宋_GB2312" w:cs="仿宋_GB2312"/>
          <w:sz w:val="32"/>
          <w:szCs w:val="32"/>
          <w:lang w:eastAsia="zh-CN"/>
        </w:rPr>
      </w:pPr>
      <w:r>
        <w:rPr>
          <w:rFonts w:hint="eastAsia" w:eastAsia="仿宋_GB2312" w:cs="仿宋_GB2312"/>
          <w:sz w:val="32"/>
          <w:szCs w:val="32"/>
          <w:lang w:val="en-US" w:eastAsia="zh-CN"/>
        </w:rPr>
        <w:t>1.</w:t>
      </w:r>
      <w:r>
        <w:rPr>
          <w:rFonts w:hint="eastAsia" w:eastAsia="仿宋_GB2312" w:cs="仿宋_GB2312"/>
          <w:sz w:val="32"/>
          <w:szCs w:val="32"/>
        </w:rPr>
        <w:t>社会保障和就业（类）行政事业单位养老支出（款）机关事业单位基本养老保险缴费支出（项）：支出决算为208.57万元，完成预算</w:t>
      </w:r>
      <w:r>
        <w:rPr>
          <w:rFonts w:hint="eastAsia" w:eastAsia="仿宋_GB2312" w:cs="仿宋_GB2312"/>
          <w:sz w:val="32"/>
          <w:szCs w:val="32"/>
          <w:lang w:val="en-US" w:eastAsia="zh-CN"/>
        </w:rPr>
        <w:t>100</w:t>
      </w:r>
      <w:r>
        <w:rPr>
          <w:rFonts w:hint="eastAsia" w:eastAsia="仿宋_GB2312" w:cs="仿宋_GB2312"/>
          <w:sz w:val="32"/>
          <w:szCs w:val="32"/>
        </w:rPr>
        <w:t>%，决算数等于预算数</w:t>
      </w:r>
      <w:r>
        <w:rPr>
          <w:rFonts w:hint="eastAsia" w:eastAsia="仿宋_GB2312" w:cs="仿宋_GB2312"/>
          <w:sz w:val="32"/>
          <w:szCs w:val="32"/>
          <w:lang w:eastAsia="zh-CN"/>
        </w:rPr>
        <w:t>。</w:t>
      </w:r>
    </w:p>
    <w:p>
      <w:pPr>
        <w:numPr>
          <w:ilvl w:val="0"/>
          <w:numId w:val="0"/>
        </w:numPr>
        <w:spacing w:line="600" w:lineRule="exact"/>
        <w:ind w:firstLine="640" w:firstLineChars="200"/>
        <w:rPr>
          <w:rFonts w:hint="eastAsia" w:eastAsia="仿宋_GB2312" w:cs="仿宋_GB2312"/>
          <w:sz w:val="32"/>
          <w:szCs w:val="32"/>
          <w:lang w:eastAsia="zh-CN"/>
        </w:rPr>
      </w:pPr>
      <w:r>
        <w:rPr>
          <w:rFonts w:hint="eastAsia" w:eastAsia="仿宋_GB2312" w:cs="仿宋_GB2312"/>
          <w:sz w:val="32"/>
          <w:szCs w:val="32"/>
          <w:lang w:val="en-US" w:eastAsia="zh-CN"/>
        </w:rPr>
        <w:t>2.社会保障和就业（类）行政事业单位养老支出（款）机关事业单位职业年金缴费支出（项）：支出决算为82.7万元，</w:t>
      </w:r>
      <w:r>
        <w:rPr>
          <w:rFonts w:hint="eastAsia" w:eastAsia="仿宋_GB2312" w:cs="仿宋_GB2312"/>
          <w:sz w:val="32"/>
          <w:szCs w:val="32"/>
        </w:rPr>
        <w:t>完成预算</w:t>
      </w:r>
      <w:r>
        <w:rPr>
          <w:rFonts w:hint="eastAsia" w:eastAsia="仿宋_GB2312" w:cs="仿宋_GB2312"/>
          <w:sz w:val="32"/>
          <w:szCs w:val="32"/>
          <w:lang w:val="en-US" w:eastAsia="zh-CN"/>
        </w:rPr>
        <w:t>100</w:t>
      </w:r>
      <w:r>
        <w:rPr>
          <w:rFonts w:hint="eastAsia" w:eastAsia="仿宋_GB2312" w:cs="仿宋_GB2312"/>
          <w:sz w:val="32"/>
          <w:szCs w:val="32"/>
        </w:rPr>
        <w:t>%，决算数等于预算数</w:t>
      </w:r>
      <w:r>
        <w:rPr>
          <w:rFonts w:hint="eastAsia" w:eastAsia="仿宋_GB2312" w:cs="仿宋_GB2312"/>
          <w:sz w:val="32"/>
          <w:szCs w:val="32"/>
          <w:lang w:eastAsia="zh-CN"/>
        </w:rPr>
        <w:t>。</w:t>
      </w:r>
    </w:p>
    <w:p>
      <w:pPr>
        <w:numPr>
          <w:ilvl w:val="0"/>
          <w:numId w:val="0"/>
        </w:numPr>
        <w:spacing w:line="600" w:lineRule="exact"/>
        <w:ind w:firstLine="640" w:firstLineChars="200"/>
        <w:rPr>
          <w:rFonts w:hint="eastAsia" w:eastAsia="仿宋_GB2312" w:cs="仿宋_GB2312"/>
          <w:sz w:val="32"/>
          <w:szCs w:val="32"/>
          <w:lang w:eastAsia="zh-CN"/>
        </w:rPr>
      </w:pPr>
      <w:r>
        <w:rPr>
          <w:rFonts w:hint="eastAsia" w:eastAsia="仿宋_GB2312" w:cs="仿宋_GB2312"/>
          <w:sz w:val="32"/>
          <w:szCs w:val="32"/>
          <w:lang w:val="en-US" w:eastAsia="zh-CN"/>
        </w:rPr>
        <w:t>3</w:t>
      </w:r>
      <w:r>
        <w:rPr>
          <w:rFonts w:hint="eastAsia" w:eastAsia="仿宋_GB2312" w:cs="仿宋_GB2312"/>
          <w:sz w:val="32"/>
          <w:szCs w:val="32"/>
        </w:rPr>
        <w:t>.卫生健康（类）行政事业单位医疗（款）事业单位医疗（项）：支出决算为70.9万元，完成预算</w:t>
      </w:r>
      <w:r>
        <w:rPr>
          <w:rFonts w:hint="eastAsia" w:eastAsia="仿宋_GB2312" w:cs="仿宋_GB2312"/>
          <w:sz w:val="32"/>
          <w:szCs w:val="32"/>
          <w:lang w:val="en-US" w:eastAsia="zh-CN"/>
        </w:rPr>
        <w:t>100</w:t>
      </w:r>
      <w:r>
        <w:rPr>
          <w:rFonts w:hint="eastAsia" w:eastAsia="仿宋_GB2312" w:cs="仿宋_GB2312"/>
          <w:sz w:val="32"/>
          <w:szCs w:val="32"/>
        </w:rPr>
        <w:t>%，决算数等于预算数</w:t>
      </w:r>
      <w:r>
        <w:rPr>
          <w:rFonts w:hint="eastAsia" w:eastAsia="仿宋_GB2312" w:cs="仿宋_GB2312"/>
          <w:sz w:val="32"/>
          <w:szCs w:val="32"/>
          <w:lang w:eastAsia="zh-CN"/>
        </w:rPr>
        <w:t>。</w:t>
      </w:r>
    </w:p>
    <w:p>
      <w:pPr>
        <w:numPr>
          <w:ilvl w:val="0"/>
          <w:numId w:val="0"/>
        </w:numPr>
        <w:spacing w:line="600" w:lineRule="exact"/>
        <w:ind w:firstLine="640" w:firstLineChars="200"/>
        <w:rPr>
          <w:rFonts w:hint="eastAsia" w:eastAsia="仿宋_GB2312" w:cs="仿宋_GB2312"/>
          <w:sz w:val="32"/>
          <w:szCs w:val="32"/>
          <w:lang w:val="en-US" w:eastAsia="zh-CN"/>
        </w:rPr>
      </w:pPr>
      <w:r>
        <w:rPr>
          <w:rFonts w:hint="eastAsia" w:eastAsia="仿宋_GB2312" w:cs="仿宋_GB2312"/>
          <w:sz w:val="32"/>
          <w:szCs w:val="32"/>
          <w:lang w:val="en-US" w:eastAsia="zh-CN"/>
        </w:rPr>
        <w:t>4.卫生健康（类）行政事业单位医疗（款）其他行政事业单位医疗支出（项）：支出决算为27.09万元，完成预算100%，决算数等于预算数。</w:t>
      </w:r>
    </w:p>
    <w:p>
      <w:pPr>
        <w:numPr>
          <w:ilvl w:val="0"/>
          <w:numId w:val="0"/>
        </w:numPr>
        <w:spacing w:line="600" w:lineRule="exact"/>
        <w:ind w:firstLine="640" w:firstLineChars="200"/>
        <w:rPr>
          <w:rFonts w:hint="eastAsia" w:eastAsia="仿宋_GB2312" w:cs="仿宋_GB2312"/>
          <w:sz w:val="32"/>
          <w:szCs w:val="32"/>
          <w:lang w:val="en-US" w:eastAsia="zh-CN"/>
        </w:rPr>
      </w:pPr>
      <w:r>
        <w:rPr>
          <w:rFonts w:hint="eastAsia" w:eastAsia="仿宋_GB2312" w:cs="仿宋_GB2312"/>
          <w:sz w:val="32"/>
          <w:szCs w:val="32"/>
          <w:lang w:val="en-US" w:eastAsia="zh-CN"/>
        </w:rPr>
        <w:t>5.交通运输（类）公路水路运输（款）公路建设（项）：支出决算为10,290万元，完成预算100%，决算数等于预算数。</w:t>
      </w:r>
    </w:p>
    <w:p>
      <w:pPr>
        <w:numPr>
          <w:ilvl w:val="0"/>
          <w:numId w:val="0"/>
        </w:numPr>
        <w:spacing w:line="600" w:lineRule="exact"/>
        <w:ind w:firstLine="640" w:firstLineChars="200"/>
        <w:rPr>
          <w:rFonts w:hint="eastAsia" w:eastAsia="仿宋_GB2312" w:cs="仿宋_GB2312"/>
          <w:sz w:val="32"/>
          <w:szCs w:val="32"/>
          <w:lang w:val="en-US" w:eastAsia="zh-CN"/>
        </w:rPr>
      </w:pPr>
      <w:r>
        <w:rPr>
          <w:rFonts w:hint="eastAsia" w:eastAsia="仿宋_GB2312" w:cs="仿宋_GB2312"/>
          <w:sz w:val="32"/>
          <w:szCs w:val="32"/>
          <w:lang w:val="en-US" w:eastAsia="zh-CN"/>
        </w:rPr>
        <w:t>6.交通运输（类）公路水路运输（款）公路养护（项）：支出决算为25,819.21万元，完成预算100%，决算数等于预算数。</w:t>
      </w:r>
    </w:p>
    <w:p>
      <w:pPr>
        <w:numPr>
          <w:ilvl w:val="0"/>
          <w:numId w:val="0"/>
        </w:numPr>
        <w:spacing w:line="600" w:lineRule="exact"/>
        <w:ind w:firstLine="640" w:firstLineChars="200"/>
        <w:rPr>
          <w:rFonts w:hint="eastAsia" w:eastAsia="仿宋_GB2312" w:cs="仿宋_GB2312"/>
          <w:sz w:val="32"/>
          <w:szCs w:val="32"/>
          <w:lang w:val="en-US" w:eastAsia="zh-CN"/>
        </w:rPr>
      </w:pPr>
      <w:r>
        <w:rPr>
          <w:rFonts w:hint="eastAsia" w:eastAsia="仿宋_GB2312" w:cs="仿宋_GB2312"/>
          <w:sz w:val="32"/>
          <w:szCs w:val="32"/>
          <w:lang w:val="en-US" w:eastAsia="zh-CN"/>
        </w:rPr>
        <w:t>7.交通运输（类）公路水路运输（款）其他公路水路运输支出（项）：支出决算为4,510.33万元，完成预算100%，决算数等于预算数。</w:t>
      </w:r>
    </w:p>
    <w:p>
      <w:pPr>
        <w:numPr>
          <w:ilvl w:val="0"/>
          <w:numId w:val="0"/>
        </w:numPr>
        <w:spacing w:line="600" w:lineRule="exact"/>
        <w:ind w:firstLine="640" w:firstLineChars="200"/>
        <w:rPr>
          <w:rFonts w:hint="eastAsia" w:eastAsia="仿宋_GB2312" w:cs="仿宋_GB2312"/>
          <w:sz w:val="32"/>
          <w:szCs w:val="32"/>
          <w:lang w:val="en-US" w:eastAsia="zh-CN"/>
        </w:rPr>
      </w:pPr>
      <w:r>
        <w:rPr>
          <w:rFonts w:hint="eastAsia" w:eastAsia="仿宋_GB2312" w:cs="仿宋_GB2312"/>
          <w:sz w:val="32"/>
          <w:szCs w:val="32"/>
          <w:lang w:val="en-US" w:eastAsia="zh-CN"/>
        </w:rPr>
        <w:t>8.住房保障（类）住房改革支出（款）住房公积金（项）：支出决算为135.49万元，完成预算100%，决算数等于预算数。</w:t>
      </w:r>
    </w:p>
    <w:p>
      <w:pPr>
        <w:numPr>
          <w:ilvl w:val="0"/>
          <w:numId w:val="0"/>
        </w:numPr>
        <w:spacing w:line="600" w:lineRule="exact"/>
        <w:ind w:firstLine="640" w:firstLineChars="200"/>
        <w:rPr>
          <w:rFonts w:hint="eastAsia" w:eastAsia="仿宋_GB2312" w:cs="仿宋_GB2312"/>
          <w:sz w:val="32"/>
          <w:szCs w:val="32"/>
          <w:lang w:val="en-US" w:eastAsia="zh-CN"/>
        </w:rPr>
      </w:pPr>
      <w:r>
        <w:rPr>
          <w:rFonts w:hint="eastAsia" w:eastAsia="仿宋_GB2312" w:cs="仿宋_GB2312"/>
          <w:sz w:val="32"/>
          <w:szCs w:val="32"/>
          <w:lang w:val="en-US" w:eastAsia="zh-CN"/>
        </w:rPr>
        <w:t>9.住房保障（类）住房改革支出（款）购房补贴（项）：支出决算为135.49万元，完成预算100%，决算数等于预算数。</w:t>
      </w:r>
    </w:p>
    <w:p>
      <w:pPr>
        <w:tabs>
          <w:tab w:val="right" w:pos="8306"/>
        </w:tabs>
        <w:spacing w:line="600" w:lineRule="exact"/>
        <w:ind w:firstLine="640"/>
        <w:outlineLvl w:val="1"/>
        <w:rPr>
          <w:rStyle w:val="29"/>
          <w:rFonts w:ascii="Times New Roman" w:hAnsi="Times New Roman"/>
        </w:rPr>
      </w:pPr>
      <w:bookmarkStart w:id="37" w:name="_Toc986"/>
      <w:bookmarkStart w:id="38" w:name="_Toc15377214"/>
      <w:bookmarkStart w:id="39" w:name="_Toc15396608"/>
      <w:r>
        <w:rPr>
          <w:rFonts w:hint="eastAsia" w:eastAsia="黑体"/>
          <w:sz w:val="32"/>
          <w:szCs w:val="32"/>
        </w:rPr>
        <w:t>六</w:t>
      </w:r>
      <w:r>
        <w:rPr>
          <w:rFonts w:hint="eastAsia" w:eastAsia="黑体"/>
          <w:b/>
          <w:sz w:val="32"/>
          <w:szCs w:val="32"/>
        </w:rPr>
        <w:t>、一</w:t>
      </w:r>
      <w:r>
        <w:rPr>
          <w:rStyle w:val="29"/>
          <w:rFonts w:hint="eastAsia" w:ascii="Times New Roman" w:hAnsi="Times New Roman" w:eastAsia="黑体"/>
          <w:b w:val="0"/>
        </w:rPr>
        <w:t>般公共预算财政拨款基本支出决算情况说明</w:t>
      </w:r>
      <w:bookmarkEnd w:id="37"/>
      <w:bookmarkEnd w:id="38"/>
      <w:bookmarkEnd w:id="39"/>
      <w:r>
        <w:rPr>
          <w:rStyle w:val="29"/>
          <w:rFonts w:ascii="Times New Roman" w:hAnsi="Times New Roman" w:eastAsia="黑体"/>
          <w:b w:val="0"/>
        </w:rPr>
        <w:tab/>
      </w:r>
    </w:p>
    <w:p>
      <w:pPr>
        <w:spacing w:line="600" w:lineRule="exact"/>
        <w:ind w:firstLine="640"/>
        <w:rPr>
          <w:rFonts w:eastAsia="仿宋_GB2312" w:cs="仿宋_GB2312"/>
          <w:sz w:val="32"/>
          <w:szCs w:val="32"/>
        </w:rPr>
      </w:pPr>
      <w:r>
        <w:rPr>
          <w:rFonts w:hint="eastAsia" w:eastAsia="仿宋_GB2312" w:cs="仿宋_GB2312"/>
          <w:sz w:val="32"/>
          <w:szCs w:val="32"/>
        </w:rPr>
        <w:t>2024年度一般公共预算财政拨款基本支出2931.6</w:t>
      </w:r>
      <w:r>
        <w:rPr>
          <w:rFonts w:hint="eastAsia" w:ascii="仿宋_GB2312" w:hAnsi="仿宋_GB2312" w:eastAsia="仿宋_GB2312" w:cs="仿宋_GB2312"/>
          <w:sz w:val="32"/>
          <w:szCs w:val="32"/>
        </w:rPr>
        <w:t>万</w:t>
      </w:r>
      <w:r>
        <w:rPr>
          <w:rFonts w:hint="eastAsia" w:eastAsia="仿宋_GB2312" w:cs="仿宋_GB2312"/>
          <w:sz w:val="32"/>
          <w:szCs w:val="32"/>
        </w:rPr>
        <w:t>元，其中：</w:t>
      </w:r>
    </w:p>
    <w:p>
      <w:pPr>
        <w:spacing w:line="600" w:lineRule="exact"/>
        <w:ind w:firstLine="640"/>
        <w:rPr>
          <w:rFonts w:eastAsia="仿宋_GB2312" w:cs="仿宋_GB2312"/>
          <w:sz w:val="32"/>
          <w:szCs w:val="32"/>
        </w:rPr>
      </w:pPr>
      <w:r>
        <w:rPr>
          <w:rFonts w:hint="eastAsia" w:eastAsia="仿宋_GB2312" w:cs="仿宋_GB2312"/>
          <w:sz w:val="32"/>
          <w:szCs w:val="32"/>
        </w:rPr>
        <w:t>人员经费</w:t>
      </w:r>
      <w:r>
        <w:rPr>
          <w:rFonts w:hint="eastAsia" w:eastAsia="仿宋_GB2312" w:cs="仿宋_GB2312"/>
          <w:sz w:val="32"/>
          <w:szCs w:val="32"/>
          <w:lang w:val="en-US" w:eastAsia="zh-CN"/>
        </w:rPr>
        <w:t>1890.9</w:t>
      </w:r>
      <w:r>
        <w:rPr>
          <w:rFonts w:hint="eastAsia" w:ascii="仿宋_GB2312" w:hAnsi="仿宋_GB2312" w:eastAsia="仿宋_GB2312" w:cs="仿宋_GB2312"/>
          <w:sz w:val="32"/>
          <w:szCs w:val="32"/>
        </w:rPr>
        <w:t>万</w:t>
      </w:r>
      <w:r>
        <w:rPr>
          <w:rFonts w:hint="eastAsia" w:eastAsia="仿宋_GB2312" w:cs="仿宋_GB2312"/>
          <w:sz w:val="32"/>
          <w:szCs w:val="32"/>
        </w:rPr>
        <w:t>元，主要包括：基本工资、津贴补贴、奖金、绩效工资、机关事业单位基本养老保险缴费、职业年金缴费、其他社会保障缴费、生活补助、奖励金、住房公积金。</w:t>
      </w:r>
      <w:r>
        <w:rPr>
          <w:rFonts w:hint="eastAsia" w:eastAsia="仿宋_GB2312" w:cs="仿宋_GB2312"/>
          <w:sz w:val="32"/>
          <w:szCs w:val="32"/>
        </w:rPr>
        <w:br w:type="textWrapping"/>
      </w:r>
      <w:r>
        <w:rPr>
          <w:rFonts w:hint="eastAsia" w:eastAsia="仿宋_GB2312" w:cs="仿宋_GB2312"/>
          <w:sz w:val="32"/>
          <w:szCs w:val="32"/>
        </w:rPr>
        <w:t>　　公用经费1,040.7</w:t>
      </w:r>
      <w:r>
        <w:rPr>
          <w:rFonts w:hint="eastAsia" w:ascii="仿宋_GB2312" w:hAnsi="仿宋_GB2312" w:eastAsia="仿宋_GB2312" w:cs="仿宋_GB2312"/>
          <w:sz w:val="32"/>
          <w:szCs w:val="32"/>
        </w:rPr>
        <w:t>万</w:t>
      </w:r>
      <w:r>
        <w:rPr>
          <w:rFonts w:hint="eastAsia" w:eastAsia="仿宋_GB2312" w:cs="仿宋_GB2312"/>
          <w:sz w:val="32"/>
          <w:szCs w:val="32"/>
        </w:rPr>
        <w:t>元，主要包括：办公费、咨询费、水费、邮电费、差旅费、维修（护）费、培训费、公务接待费、劳务费、委托业务费、福利费、公务用车运行维护费、其他交通费、其他商品和服务支出、办公设备购置、专用设备购置、</w:t>
      </w:r>
      <w:r>
        <w:rPr>
          <w:rFonts w:hint="eastAsia" w:eastAsia="仿宋_GB2312" w:cs="仿宋_GB2312"/>
          <w:sz w:val="32"/>
          <w:szCs w:val="32"/>
          <w:lang w:val="en-US" w:eastAsia="zh-CN"/>
        </w:rPr>
        <w:t>公务用车购置</w:t>
      </w:r>
      <w:r>
        <w:rPr>
          <w:rFonts w:hint="eastAsia" w:eastAsia="仿宋_GB2312" w:cs="仿宋_GB2312"/>
          <w:sz w:val="32"/>
          <w:szCs w:val="32"/>
        </w:rPr>
        <w:t>等。</w:t>
      </w:r>
    </w:p>
    <w:p>
      <w:pPr>
        <w:spacing w:line="600" w:lineRule="exact"/>
        <w:ind w:firstLine="640"/>
        <w:outlineLvl w:val="1"/>
        <w:rPr>
          <w:rStyle w:val="29"/>
          <w:rFonts w:ascii="Times New Roman" w:hAnsi="Times New Roman" w:eastAsia="黑体"/>
          <w:b w:val="0"/>
        </w:rPr>
      </w:pPr>
      <w:bookmarkStart w:id="40" w:name="_Toc15377215"/>
      <w:bookmarkStart w:id="41" w:name="_Toc15396609"/>
      <w:bookmarkStart w:id="42" w:name="_Toc32343"/>
      <w:r>
        <w:rPr>
          <w:rFonts w:hint="eastAsia" w:eastAsia="黑体"/>
          <w:sz w:val="32"/>
          <w:szCs w:val="32"/>
        </w:rPr>
        <w:t>七、</w:t>
      </w:r>
      <w:r>
        <w:rPr>
          <w:rStyle w:val="29"/>
          <w:rFonts w:hint="eastAsia" w:ascii="Times New Roman" w:hAnsi="Times New Roman" w:eastAsia="黑体"/>
          <w:b w:val="0"/>
        </w:rPr>
        <w:t>财政拨款</w:t>
      </w:r>
      <w:r>
        <w:rPr>
          <w:rStyle w:val="29"/>
          <w:rFonts w:hint="eastAsia" w:ascii="Times New Roman" w:hAnsi="Times New Roman" w:eastAsia="黑体"/>
        </w:rPr>
        <w:t>“</w:t>
      </w:r>
      <w:r>
        <w:rPr>
          <w:rStyle w:val="29"/>
          <w:rFonts w:hint="eastAsia" w:ascii="Times New Roman" w:hAnsi="Times New Roman" w:eastAsia="黑体"/>
          <w:b w:val="0"/>
        </w:rPr>
        <w:t>三公”经费支出决算情况说明</w:t>
      </w:r>
      <w:bookmarkEnd w:id="40"/>
      <w:bookmarkEnd w:id="41"/>
      <w:bookmarkEnd w:id="42"/>
    </w:p>
    <w:p>
      <w:pPr>
        <w:spacing w:line="600" w:lineRule="exact"/>
        <w:ind w:firstLine="643" w:firstLineChars="200"/>
        <w:outlineLvl w:val="2"/>
        <w:rPr>
          <w:rFonts w:eastAsia="楷体_GB2312" w:cs="楷体_GB2312"/>
          <w:b/>
          <w:sz w:val="32"/>
          <w:szCs w:val="32"/>
        </w:rPr>
      </w:pPr>
      <w:bookmarkStart w:id="43" w:name="_Toc15377216"/>
      <w:r>
        <w:rPr>
          <w:rFonts w:hint="eastAsia" w:eastAsia="楷体_GB2312" w:cs="楷体_GB2312"/>
          <w:b/>
          <w:sz w:val="32"/>
          <w:szCs w:val="32"/>
        </w:rPr>
        <w:t>（一）“三公”经费财政拨款支出决算总体情况说明</w:t>
      </w:r>
      <w:bookmarkEnd w:id="43"/>
    </w:p>
    <w:p>
      <w:pPr>
        <w:spacing w:line="600" w:lineRule="exact"/>
        <w:ind w:firstLine="640"/>
        <w:rPr>
          <w:rFonts w:eastAsia="仿宋_GB2312" w:cs="仿宋_GB2312"/>
          <w:b/>
          <w:bCs/>
          <w:sz w:val="32"/>
          <w:szCs w:val="32"/>
        </w:rPr>
      </w:pPr>
      <w:r>
        <w:rPr>
          <w:rFonts w:hint="eastAsia" w:eastAsia="仿宋_GB2312" w:cs="仿宋_GB2312"/>
          <w:sz w:val="32"/>
          <w:szCs w:val="32"/>
        </w:rPr>
        <w:t>2024年度“三公”经费财政拨款支出决算为518.01</w:t>
      </w:r>
      <w:r>
        <w:rPr>
          <w:rFonts w:hint="eastAsia" w:ascii="仿宋_GB2312" w:hAnsi="仿宋_GB2312" w:eastAsia="仿宋_GB2312" w:cs="仿宋_GB2312"/>
          <w:sz w:val="32"/>
          <w:szCs w:val="32"/>
        </w:rPr>
        <w:t>万元，完成预算</w:t>
      </w:r>
      <w:r>
        <w:rPr>
          <w:rFonts w:hint="eastAsia" w:eastAsia="仿宋_GB2312" w:cs="仿宋_GB2312"/>
          <w:sz w:val="32"/>
          <w:szCs w:val="32"/>
          <w:lang w:val="en-US" w:eastAsia="zh-CN"/>
        </w:rPr>
        <w:t>98.5</w:t>
      </w:r>
      <w:r>
        <w:rPr>
          <w:rFonts w:hint="eastAsia" w:eastAsia="仿宋_GB2312" w:cs="仿宋_GB2312"/>
          <w:sz w:val="32"/>
          <w:szCs w:val="32"/>
        </w:rPr>
        <w:t>%</w:t>
      </w:r>
      <w:r>
        <w:rPr>
          <w:rFonts w:hint="eastAsia" w:ascii="仿宋_GB2312" w:hAnsi="仿宋_GB2312" w:eastAsia="仿宋_GB2312" w:cs="仿宋_GB2312"/>
          <w:sz w:val="32"/>
          <w:szCs w:val="32"/>
        </w:rPr>
        <w:t>，</w:t>
      </w:r>
      <w:r>
        <w:rPr>
          <w:rFonts w:hint="eastAsia" w:eastAsia="仿宋_GB2312" w:cs="仿宋_GB2312"/>
          <w:sz w:val="32"/>
          <w:szCs w:val="32"/>
        </w:rPr>
        <w:t>较上年度增加361.72万元，增长231.4%。决算数小于预算数</w:t>
      </w:r>
      <w:r>
        <w:rPr>
          <w:rFonts w:hint="eastAsia" w:eastAsia="仿宋_GB2312" w:cs="仿宋_GB2312"/>
          <w:sz w:val="32"/>
          <w:szCs w:val="32"/>
          <w:lang w:val="en-US" w:eastAsia="zh-CN"/>
        </w:rPr>
        <w:t>的原因是厉行节约原则，严格控制三公经费支出。</w:t>
      </w:r>
    </w:p>
    <w:p>
      <w:pPr>
        <w:spacing w:line="600" w:lineRule="exact"/>
        <w:ind w:firstLine="643" w:firstLineChars="200"/>
        <w:outlineLvl w:val="2"/>
        <w:rPr>
          <w:rFonts w:eastAsia="楷体_GB2312" w:cs="楷体_GB2312"/>
          <w:b/>
          <w:sz w:val="32"/>
          <w:szCs w:val="32"/>
        </w:rPr>
      </w:pPr>
      <w:bookmarkStart w:id="44" w:name="_Toc15377217"/>
      <w:r>
        <w:rPr>
          <w:rFonts w:hint="eastAsia" w:eastAsia="楷体_GB2312" w:cs="楷体_GB2312"/>
          <w:b/>
          <w:sz w:val="32"/>
          <w:szCs w:val="32"/>
        </w:rPr>
        <w:t>（二）“三公”经费财政拨款支出决算具体情况说明</w:t>
      </w:r>
      <w:bookmarkEnd w:id="44"/>
    </w:p>
    <w:p>
      <w:pPr>
        <w:spacing w:line="600" w:lineRule="exact"/>
        <w:ind w:firstLine="640"/>
        <w:rPr>
          <w:rFonts w:hint="eastAsia" w:ascii="仿宋_GB2312" w:hAnsi="仿宋_GB2312" w:eastAsia="仿宋_GB2312" w:cs="仿宋_GB2312"/>
          <w:sz w:val="32"/>
          <w:szCs w:val="32"/>
        </w:rPr>
      </w:pPr>
      <w:r>
        <w:rPr>
          <w:rFonts w:hint="eastAsia" w:eastAsia="仿宋_GB2312" w:cs="仿宋_GB2312"/>
          <w:sz w:val="32"/>
          <w:szCs w:val="32"/>
        </w:rPr>
        <w:t>2024</w:t>
      </w:r>
      <w:r>
        <w:rPr>
          <w:rFonts w:hint="eastAsia" w:ascii="仿宋_GB2312" w:hAnsi="仿宋_GB2312" w:eastAsia="仿宋_GB2312" w:cs="仿宋_GB2312"/>
          <w:sz w:val="32"/>
          <w:szCs w:val="32"/>
        </w:rPr>
        <w:t>年度“三公”经费财政拨款支出决算中，因公出国（境）费支出决算</w:t>
      </w:r>
      <w:r>
        <w:rPr>
          <w:rFonts w:hint="eastAsia" w:ascii="Times New Roman" w:hAnsi="Times New Roman" w:eastAsia="仿宋_GB2312" w:cs="仿宋_GB2312"/>
          <w:sz w:val="32"/>
          <w:szCs w:val="32"/>
          <w:lang w:val="en-US" w:eastAsia="zh-CN"/>
        </w:rPr>
        <w:t>0</w:t>
      </w:r>
      <w:r>
        <w:rPr>
          <w:rFonts w:hint="eastAsia" w:ascii="仿宋_GB2312" w:hAnsi="仿宋_GB2312" w:eastAsia="仿宋_GB2312" w:cs="仿宋_GB2312"/>
          <w:sz w:val="32"/>
          <w:szCs w:val="32"/>
        </w:rPr>
        <w:t>万元，占</w:t>
      </w:r>
      <w:r>
        <w:rPr>
          <w:rFonts w:hint="eastAsia" w:ascii="Times New Roman" w:hAnsi="Times New Roman" w:eastAsia="仿宋_GB2312" w:cs="仿宋_GB2312"/>
          <w:sz w:val="32"/>
          <w:szCs w:val="32"/>
          <w:lang w:val="en-US" w:eastAsia="zh-CN"/>
        </w:rPr>
        <w:t>0%</w:t>
      </w:r>
      <w:r>
        <w:rPr>
          <w:rFonts w:hint="eastAsia" w:ascii="仿宋_GB2312" w:hAnsi="仿宋_GB2312" w:eastAsia="仿宋_GB2312" w:cs="仿宋_GB2312"/>
          <w:sz w:val="32"/>
          <w:szCs w:val="32"/>
        </w:rPr>
        <w:t>；公务用车购置及运行维护费支出决算</w:t>
      </w:r>
      <w:r>
        <w:rPr>
          <w:rFonts w:hint="eastAsia" w:eastAsia="仿宋_GB2312" w:cs="仿宋_GB2312"/>
          <w:sz w:val="32"/>
          <w:szCs w:val="32"/>
        </w:rPr>
        <w:t>517.62</w:t>
      </w:r>
      <w:r>
        <w:rPr>
          <w:rFonts w:hint="eastAsia" w:ascii="仿宋_GB2312" w:hAnsi="仿宋_GB2312" w:eastAsia="仿宋_GB2312" w:cs="仿宋_GB2312"/>
          <w:sz w:val="32"/>
          <w:szCs w:val="32"/>
        </w:rPr>
        <w:t>万元，占</w:t>
      </w:r>
      <w:r>
        <w:rPr>
          <w:rFonts w:hint="eastAsia" w:ascii="Times New Roman" w:hAnsi="Times New Roman" w:eastAsia="仿宋_GB2312" w:cs="仿宋_GB2312"/>
          <w:sz w:val="32"/>
          <w:szCs w:val="32"/>
          <w:lang w:val="en-US" w:eastAsia="zh-CN"/>
        </w:rPr>
        <w:t>99.9%</w:t>
      </w:r>
      <w:r>
        <w:rPr>
          <w:rFonts w:hint="eastAsia" w:ascii="仿宋_GB2312" w:hAnsi="仿宋_GB2312" w:eastAsia="仿宋_GB2312" w:cs="仿宋_GB2312"/>
          <w:sz w:val="32"/>
          <w:szCs w:val="32"/>
        </w:rPr>
        <w:t>；公务接待费支出决算</w:t>
      </w:r>
      <w:r>
        <w:rPr>
          <w:rFonts w:hint="eastAsia" w:eastAsia="仿宋_GB2312" w:cs="仿宋_GB2312"/>
          <w:sz w:val="32"/>
          <w:szCs w:val="32"/>
        </w:rPr>
        <w:t>0.39</w:t>
      </w:r>
      <w:r>
        <w:rPr>
          <w:rFonts w:hint="eastAsia" w:ascii="仿宋_GB2312" w:hAnsi="仿宋_GB2312" w:eastAsia="仿宋_GB2312" w:cs="仿宋_GB2312"/>
          <w:sz w:val="32"/>
          <w:szCs w:val="32"/>
        </w:rPr>
        <w:t>万元，占</w:t>
      </w:r>
      <w:r>
        <w:rPr>
          <w:rFonts w:hint="eastAsia" w:ascii="Times New Roman" w:hAnsi="Times New Roman" w:eastAsia="仿宋_GB2312" w:cs="仿宋_GB2312"/>
          <w:sz w:val="32"/>
          <w:szCs w:val="32"/>
          <w:lang w:val="en-US" w:eastAsia="zh-CN"/>
        </w:rPr>
        <w:t>0.1%</w:t>
      </w:r>
      <w:r>
        <w:rPr>
          <w:rFonts w:hint="eastAsia" w:ascii="仿宋_GB2312" w:hAnsi="仿宋_GB2312" w:eastAsia="仿宋_GB2312" w:cs="仿宋_GB2312"/>
          <w:sz w:val="32"/>
          <w:szCs w:val="32"/>
        </w:rPr>
        <w:t>。具体情况如下：</w:t>
      </w:r>
    </w:p>
    <w:p>
      <w:pPr>
        <w:pStyle w:val="3"/>
        <w:jc w:val="center"/>
        <w:rPr>
          <w:rFonts w:hint="eastAsia" w:ascii="仿宋_GB2312" w:hAnsi="仿宋_GB2312" w:eastAsia="仿宋_GB2312" w:cs="仿宋_GB2312"/>
          <w:sz w:val="32"/>
          <w:szCs w:val="32"/>
        </w:rPr>
      </w:pPr>
      <w:r>
        <w:drawing>
          <wp:inline distT="0" distB="0" distL="114300" distR="114300">
            <wp:extent cx="4843780" cy="3001010"/>
            <wp:effectExtent l="4445" t="4445" r="9525" b="23495"/>
            <wp:docPr id="25150"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pPr>
        <w:spacing w:line="600" w:lineRule="exact"/>
        <w:ind w:firstLine="640"/>
        <w:jc w:val="center"/>
        <w:rPr>
          <w:rFonts w:hint="eastAsia" w:eastAsia="仿宋_GB2312" w:cs="仿宋_GB2312"/>
          <w:sz w:val="32"/>
          <w:szCs w:val="32"/>
        </w:rPr>
      </w:pPr>
      <w:r>
        <w:rPr>
          <w:rFonts w:hint="eastAsia" w:eastAsia="仿宋_GB2312" w:cs="仿宋_GB2312"/>
          <w:sz w:val="32"/>
          <w:szCs w:val="32"/>
        </w:rPr>
        <w:t>（图7：“三公”经费财政拨款支出结构）</w:t>
      </w:r>
    </w:p>
    <w:p>
      <w:pPr>
        <w:spacing w:line="600" w:lineRule="exact"/>
        <w:ind w:firstLine="640"/>
        <w:rPr>
          <w:rFonts w:hint="eastAsia" w:eastAsia="仿宋_GB2312" w:cs="仿宋_GB2312"/>
          <w:sz w:val="32"/>
          <w:szCs w:val="32"/>
          <w:lang w:eastAsia="zh-CN"/>
        </w:rPr>
      </w:pPr>
      <w:r>
        <w:rPr>
          <w:rFonts w:hint="eastAsia" w:eastAsia="仿宋_GB2312" w:cs="仿宋_GB2312"/>
          <w:b/>
          <w:bCs/>
          <w:sz w:val="32"/>
          <w:szCs w:val="32"/>
        </w:rPr>
        <w:t>1.因公出国（境）经费支出</w:t>
      </w:r>
      <w:r>
        <w:rPr>
          <w:rFonts w:hint="eastAsia" w:eastAsia="仿宋_GB2312" w:cs="仿宋_GB2312"/>
          <w:b/>
          <w:bCs/>
          <w:sz w:val="32"/>
          <w:szCs w:val="32"/>
          <w:lang w:val="en-US" w:eastAsia="zh-CN"/>
        </w:rPr>
        <w:t>0</w:t>
      </w:r>
      <w:r>
        <w:rPr>
          <w:rFonts w:hint="eastAsia" w:eastAsia="仿宋_GB2312" w:cs="仿宋_GB2312"/>
          <w:b/>
          <w:bCs/>
          <w:sz w:val="32"/>
          <w:szCs w:val="32"/>
        </w:rPr>
        <w:t>万元，完成预算</w:t>
      </w:r>
      <w:r>
        <w:rPr>
          <w:rFonts w:hint="eastAsia" w:eastAsia="仿宋_GB2312" w:cs="仿宋_GB2312"/>
          <w:b/>
          <w:bCs/>
          <w:sz w:val="32"/>
          <w:szCs w:val="32"/>
          <w:lang w:val="en-US" w:eastAsia="zh-CN"/>
        </w:rPr>
        <w:t>0</w:t>
      </w:r>
      <w:r>
        <w:rPr>
          <w:rFonts w:hint="eastAsia" w:eastAsia="仿宋_GB2312" w:cs="仿宋_GB2312"/>
          <w:b/>
          <w:bCs/>
          <w:sz w:val="32"/>
          <w:szCs w:val="32"/>
        </w:rPr>
        <w:t>%。</w:t>
      </w:r>
      <w:r>
        <w:rPr>
          <w:rFonts w:hint="eastAsia" w:eastAsia="仿宋_GB2312" w:cs="仿宋_GB2312"/>
          <w:sz w:val="32"/>
          <w:szCs w:val="32"/>
        </w:rPr>
        <w:t>全年安排因公出国（境）团</w:t>
      </w:r>
      <w:r>
        <w:rPr>
          <w:rFonts w:hint="eastAsia" w:ascii="仿宋_GB2312" w:hAnsi="仿宋_GB2312" w:eastAsia="仿宋_GB2312" w:cs="仿宋_GB2312"/>
          <w:sz w:val="32"/>
          <w:szCs w:val="32"/>
        </w:rPr>
        <w:t>组</w:t>
      </w:r>
      <w:r>
        <w:rPr>
          <w:rFonts w:hint="eastAsia" w:ascii="Times New Roman" w:hAnsi="Times New Roman" w:eastAsia="仿宋_GB2312" w:cs="仿宋_GB2312"/>
          <w:sz w:val="32"/>
          <w:szCs w:val="32"/>
          <w:lang w:val="en-US" w:eastAsia="zh-CN"/>
        </w:rPr>
        <w:t>0</w:t>
      </w:r>
      <w:r>
        <w:rPr>
          <w:rFonts w:hint="eastAsia" w:eastAsia="仿宋_GB2312" w:cs="仿宋_GB2312"/>
          <w:sz w:val="32"/>
          <w:szCs w:val="32"/>
        </w:rPr>
        <w:t>次，出国（境）</w:t>
      </w:r>
      <w:r>
        <w:rPr>
          <w:rFonts w:hint="eastAsia" w:ascii="Times New Roman" w:hAnsi="Times New Roman" w:eastAsia="仿宋_GB2312" w:cs="仿宋_GB2312"/>
          <w:sz w:val="32"/>
          <w:szCs w:val="32"/>
          <w:lang w:val="en-US" w:eastAsia="zh-CN"/>
        </w:rPr>
        <w:t>0</w:t>
      </w:r>
      <w:r>
        <w:rPr>
          <w:rFonts w:hint="eastAsia" w:ascii="仿宋_GB2312" w:hAnsi="仿宋_GB2312" w:eastAsia="仿宋_GB2312" w:cs="仿宋_GB2312"/>
          <w:sz w:val="32"/>
          <w:szCs w:val="32"/>
        </w:rPr>
        <w:t>人</w:t>
      </w:r>
      <w:r>
        <w:rPr>
          <w:rFonts w:hint="eastAsia" w:eastAsia="仿宋_GB2312" w:cs="仿宋_GB2312"/>
          <w:sz w:val="32"/>
          <w:szCs w:val="32"/>
        </w:rPr>
        <w:t>。因公出国（境）支出决算</w:t>
      </w:r>
      <w:r>
        <w:rPr>
          <w:rFonts w:hint="eastAsia" w:eastAsia="仿宋_GB2312" w:cs="仿宋_GB2312"/>
          <w:sz w:val="32"/>
          <w:szCs w:val="32"/>
          <w:lang w:val="en-US" w:eastAsia="zh-CN"/>
        </w:rPr>
        <w:t>与</w:t>
      </w:r>
      <w:r>
        <w:rPr>
          <w:rFonts w:hint="eastAsia" w:ascii="Times New Roman" w:hAnsi="Times New Roman" w:eastAsia="仿宋_GB2312" w:cs="仿宋_GB2312"/>
          <w:sz w:val="32"/>
          <w:szCs w:val="32"/>
          <w:lang w:val="en-US" w:eastAsia="zh-CN"/>
        </w:rPr>
        <w:t>202</w:t>
      </w:r>
      <w:r>
        <w:rPr>
          <w:rFonts w:hint="eastAsia" w:eastAsia="仿宋_GB2312" w:cs="仿宋_GB2312"/>
          <w:sz w:val="32"/>
          <w:szCs w:val="32"/>
        </w:rPr>
        <w:t>3年</w:t>
      </w:r>
      <w:r>
        <w:rPr>
          <w:rFonts w:hint="eastAsia" w:eastAsia="仿宋_GB2312" w:cs="仿宋_GB2312"/>
          <w:sz w:val="32"/>
          <w:szCs w:val="32"/>
          <w:lang w:val="en-US" w:eastAsia="zh-CN"/>
        </w:rPr>
        <w:t>一致</w:t>
      </w:r>
      <w:r>
        <w:rPr>
          <w:rFonts w:hint="eastAsia" w:eastAsia="仿宋_GB2312" w:cs="仿宋_GB2312"/>
          <w:sz w:val="32"/>
          <w:szCs w:val="32"/>
          <w:lang w:eastAsia="zh-CN"/>
        </w:rPr>
        <w:t>。</w:t>
      </w:r>
    </w:p>
    <w:p>
      <w:pPr>
        <w:spacing w:line="600" w:lineRule="exact"/>
        <w:ind w:firstLine="640"/>
        <w:rPr>
          <w:rFonts w:eastAsia="仿宋_GB2312" w:cs="仿宋_GB2312"/>
          <w:sz w:val="32"/>
          <w:szCs w:val="32"/>
          <w:highlight w:val="none"/>
        </w:rPr>
      </w:pPr>
      <w:r>
        <w:rPr>
          <w:rFonts w:hint="eastAsia" w:eastAsia="仿宋_GB2312" w:cs="仿宋_GB2312"/>
          <w:b/>
          <w:bCs/>
          <w:sz w:val="32"/>
          <w:szCs w:val="32"/>
        </w:rPr>
        <w:t>2.公务用车购置及运行维护费支出</w:t>
      </w:r>
      <w:r>
        <w:rPr>
          <w:rFonts w:hint="eastAsia" w:ascii="仿宋_GB2312" w:hAnsi="仿宋_GB2312" w:eastAsia="仿宋_GB2312" w:cs="仿宋_GB2312"/>
          <w:b/>
          <w:bCs/>
          <w:sz w:val="32"/>
          <w:szCs w:val="32"/>
        </w:rPr>
        <w:t>517.62万</w:t>
      </w:r>
      <w:r>
        <w:rPr>
          <w:rFonts w:hint="eastAsia" w:eastAsia="仿宋_GB2312" w:cs="仿宋_GB2312"/>
          <w:b/>
          <w:bCs/>
          <w:sz w:val="32"/>
          <w:szCs w:val="32"/>
        </w:rPr>
        <w:t>元，完成预算</w:t>
      </w:r>
      <w:r>
        <w:rPr>
          <w:rFonts w:hint="eastAsia" w:eastAsia="仿宋_GB2312" w:cs="仿宋_GB2312"/>
          <w:b/>
          <w:bCs/>
          <w:sz w:val="32"/>
          <w:szCs w:val="32"/>
          <w:lang w:val="en-US" w:eastAsia="zh-CN"/>
        </w:rPr>
        <w:t>98.9</w:t>
      </w:r>
      <w:r>
        <w:rPr>
          <w:rFonts w:hint="eastAsia" w:eastAsia="仿宋_GB2312" w:cs="仿宋_GB2312"/>
          <w:b/>
          <w:bCs/>
          <w:sz w:val="32"/>
          <w:szCs w:val="32"/>
        </w:rPr>
        <w:t>%。</w:t>
      </w:r>
      <w:r>
        <w:rPr>
          <w:rFonts w:hint="eastAsia" w:eastAsia="仿宋_GB2312" w:cs="仿宋_GB2312"/>
          <w:sz w:val="32"/>
          <w:szCs w:val="32"/>
        </w:rPr>
        <w:t>公务用车购置及运行维护费支出决算比2023年度增加361.42万元，增长</w:t>
      </w:r>
      <w:r>
        <w:rPr>
          <w:rFonts w:hint="eastAsia" w:eastAsia="仿宋_GB2312" w:cs="仿宋_GB2312"/>
          <w:sz w:val="32"/>
          <w:szCs w:val="32"/>
          <w:highlight w:val="none"/>
        </w:rPr>
        <w:t>231.</w:t>
      </w:r>
      <w:r>
        <w:rPr>
          <w:rFonts w:hint="eastAsia" w:eastAsia="仿宋_GB2312" w:cs="仿宋_GB2312"/>
          <w:sz w:val="32"/>
          <w:szCs w:val="32"/>
          <w:highlight w:val="none"/>
          <w:lang w:val="en-US" w:eastAsia="zh-CN"/>
        </w:rPr>
        <w:t>4</w:t>
      </w:r>
      <w:r>
        <w:rPr>
          <w:rFonts w:hint="eastAsia" w:eastAsia="仿宋_GB2312" w:cs="仿宋_GB2312"/>
          <w:sz w:val="32"/>
          <w:szCs w:val="32"/>
          <w:highlight w:val="none"/>
        </w:rPr>
        <w:t>%。主要原因是厉行节约原则，严格控制</w:t>
      </w:r>
      <w:r>
        <w:rPr>
          <w:rFonts w:hint="eastAsia" w:eastAsia="仿宋_GB2312" w:cs="仿宋_GB2312"/>
          <w:sz w:val="32"/>
          <w:szCs w:val="32"/>
          <w:highlight w:val="none"/>
          <w:lang w:val="en-US" w:eastAsia="zh-CN"/>
        </w:rPr>
        <w:t>支出。</w:t>
      </w:r>
      <w:r>
        <w:rPr>
          <w:rFonts w:hint="eastAsia" w:eastAsia="仿宋_GB2312" w:cs="仿宋_GB2312"/>
          <w:sz w:val="32"/>
          <w:szCs w:val="32"/>
          <w:highlight w:val="none"/>
        </w:rPr>
        <w:t>其中：公务用车购置支</w:t>
      </w:r>
      <w:r>
        <w:rPr>
          <w:rFonts w:hint="eastAsia" w:ascii="仿宋_GB2312" w:hAnsi="仿宋_GB2312" w:eastAsia="仿宋_GB2312" w:cs="仿宋_GB2312"/>
          <w:sz w:val="32"/>
          <w:szCs w:val="32"/>
          <w:highlight w:val="none"/>
        </w:rPr>
        <w:t>出</w:t>
      </w:r>
      <w:r>
        <w:rPr>
          <w:rFonts w:hint="eastAsia" w:eastAsia="仿宋_GB2312" w:cs="仿宋_GB2312"/>
          <w:sz w:val="32"/>
          <w:szCs w:val="32"/>
          <w:highlight w:val="none"/>
          <w:lang w:val="en-US" w:eastAsia="zh-CN"/>
        </w:rPr>
        <w:t>311.59</w:t>
      </w:r>
      <w:r>
        <w:rPr>
          <w:rFonts w:hint="eastAsia" w:eastAsia="仿宋_GB2312" w:cs="仿宋_GB2312"/>
          <w:sz w:val="32"/>
          <w:szCs w:val="32"/>
          <w:highlight w:val="none"/>
        </w:rPr>
        <w:t>万元。全年按规定更新购置公务用车</w:t>
      </w:r>
      <w:r>
        <w:rPr>
          <w:rFonts w:hint="eastAsia" w:eastAsia="仿宋_GB2312" w:cs="仿宋_GB2312"/>
          <w:sz w:val="32"/>
          <w:szCs w:val="32"/>
          <w:highlight w:val="none"/>
          <w:lang w:val="en-US" w:eastAsia="zh-CN"/>
        </w:rPr>
        <w:t>7</w:t>
      </w:r>
      <w:r>
        <w:rPr>
          <w:rFonts w:hint="eastAsia" w:eastAsia="仿宋_GB2312" w:cs="仿宋_GB2312"/>
          <w:sz w:val="32"/>
          <w:szCs w:val="32"/>
          <w:highlight w:val="none"/>
        </w:rPr>
        <w:t>辆，其中：轿车</w:t>
      </w:r>
      <w:r>
        <w:rPr>
          <w:rFonts w:hint="eastAsia" w:eastAsia="仿宋_GB2312" w:cs="仿宋_GB2312"/>
          <w:sz w:val="32"/>
          <w:szCs w:val="32"/>
          <w:highlight w:val="none"/>
          <w:lang w:val="en-US" w:eastAsia="zh-CN"/>
        </w:rPr>
        <w:t>0</w:t>
      </w:r>
      <w:r>
        <w:rPr>
          <w:rFonts w:hint="eastAsia" w:eastAsia="仿宋_GB2312" w:cs="仿宋_GB2312"/>
          <w:sz w:val="32"/>
          <w:szCs w:val="32"/>
          <w:highlight w:val="none"/>
        </w:rPr>
        <w:t>辆、金额</w:t>
      </w:r>
      <w:r>
        <w:rPr>
          <w:rFonts w:hint="eastAsia" w:eastAsia="仿宋_GB2312" w:cs="仿宋_GB2312"/>
          <w:sz w:val="32"/>
          <w:szCs w:val="32"/>
          <w:highlight w:val="none"/>
          <w:lang w:val="en-US" w:eastAsia="zh-CN"/>
        </w:rPr>
        <w:t>0</w:t>
      </w:r>
      <w:r>
        <w:rPr>
          <w:rFonts w:hint="eastAsia" w:eastAsia="仿宋_GB2312" w:cs="仿宋_GB2312"/>
          <w:sz w:val="32"/>
          <w:szCs w:val="32"/>
          <w:highlight w:val="none"/>
        </w:rPr>
        <w:t>万元，越野车</w:t>
      </w:r>
      <w:r>
        <w:rPr>
          <w:rFonts w:hint="eastAsia" w:eastAsia="仿宋_GB2312" w:cs="仿宋_GB2312"/>
          <w:sz w:val="32"/>
          <w:szCs w:val="32"/>
          <w:highlight w:val="none"/>
          <w:lang w:val="en-US" w:eastAsia="zh-CN"/>
        </w:rPr>
        <w:t>7</w:t>
      </w:r>
      <w:r>
        <w:rPr>
          <w:rFonts w:hint="eastAsia" w:eastAsia="仿宋_GB2312" w:cs="仿宋_GB2312"/>
          <w:sz w:val="32"/>
          <w:szCs w:val="32"/>
          <w:highlight w:val="none"/>
        </w:rPr>
        <w:t>辆、金额</w:t>
      </w:r>
      <w:r>
        <w:rPr>
          <w:rFonts w:hint="eastAsia" w:eastAsia="仿宋_GB2312" w:cs="仿宋_GB2312"/>
          <w:sz w:val="32"/>
          <w:szCs w:val="32"/>
          <w:highlight w:val="none"/>
          <w:lang w:val="en-US" w:eastAsia="zh-CN"/>
        </w:rPr>
        <w:t>311.59</w:t>
      </w:r>
      <w:r>
        <w:rPr>
          <w:rFonts w:hint="eastAsia" w:eastAsia="仿宋_GB2312" w:cs="仿宋_GB2312"/>
          <w:sz w:val="32"/>
          <w:szCs w:val="32"/>
          <w:highlight w:val="none"/>
        </w:rPr>
        <w:t>万元，载客汽车</w:t>
      </w:r>
      <w:r>
        <w:rPr>
          <w:rFonts w:hint="eastAsia" w:eastAsia="仿宋_GB2312" w:cs="仿宋_GB2312"/>
          <w:sz w:val="32"/>
          <w:szCs w:val="32"/>
          <w:highlight w:val="none"/>
          <w:lang w:val="en-US" w:eastAsia="zh-CN"/>
        </w:rPr>
        <w:t>0</w:t>
      </w:r>
      <w:r>
        <w:rPr>
          <w:rFonts w:hint="eastAsia" w:eastAsia="仿宋_GB2312" w:cs="仿宋_GB2312"/>
          <w:sz w:val="32"/>
          <w:szCs w:val="32"/>
          <w:highlight w:val="none"/>
        </w:rPr>
        <w:t>辆、金额</w:t>
      </w:r>
      <w:r>
        <w:rPr>
          <w:rFonts w:hint="eastAsia" w:eastAsia="仿宋_GB2312" w:cs="仿宋_GB2312"/>
          <w:sz w:val="32"/>
          <w:szCs w:val="32"/>
          <w:highlight w:val="none"/>
          <w:lang w:val="en-US" w:eastAsia="zh-CN"/>
        </w:rPr>
        <w:t>0</w:t>
      </w:r>
      <w:r>
        <w:rPr>
          <w:rFonts w:hint="eastAsia" w:eastAsia="仿宋_GB2312" w:cs="仿宋_GB2312"/>
          <w:sz w:val="32"/>
          <w:szCs w:val="32"/>
          <w:highlight w:val="none"/>
        </w:rPr>
        <w:t>万元。截至2024年12月31日，单位共有公务用车</w:t>
      </w:r>
      <w:r>
        <w:rPr>
          <w:rFonts w:hint="eastAsia" w:eastAsia="仿宋_GB2312" w:cs="仿宋_GB2312"/>
          <w:sz w:val="32"/>
          <w:szCs w:val="32"/>
          <w:highlight w:val="none"/>
          <w:lang w:val="en-US" w:eastAsia="zh-CN"/>
        </w:rPr>
        <w:t>110</w:t>
      </w:r>
      <w:r>
        <w:rPr>
          <w:rFonts w:hint="eastAsia" w:eastAsia="仿宋_GB2312" w:cs="仿宋_GB2312"/>
          <w:sz w:val="32"/>
          <w:szCs w:val="32"/>
          <w:highlight w:val="none"/>
        </w:rPr>
        <w:t>辆，其中：轿车</w:t>
      </w:r>
      <w:r>
        <w:rPr>
          <w:rFonts w:hint="eastAsia" w:eastAsia="仿宋_GB2312" w:cs="仿宋_GB2312"/>
          <w:sz w:val="32"/>
          <w:szCs w:val="32"/>
          <w:highlight w:val="none"/>
          <w:lang w:val="en-US" w:eastAsia="zh-CN"/>
        </w:rPr>
        <w:t>16</w:t>
      </w:r>
      <w:r>
        <w:rPr>
          <w:rFonts w:hint="eastAsia" w:eastAsia="仿宋_GB2312" w:cs="仿宋_GB2312"/>
          <w:sz w:val="32"/>
          <w:szCs w:val="32"/>
          <w:highlight w:val="none"/>
        </w:rPr>
        <w:t>辆、越野车</w:t>
      </w:r>
      <w:r>
        <w:rPr>
          <w:rFonts w:hint="eastAsia" w:eastAsia="仿宋_GB2312" w:cs="仿宋_GB2312"/>
          <w:sz w:val="32"/>
          <w:szCs w:val="32"/>
          <w:highlight w:val="none"/>
          <w:lang w:val="en-US" w:eastAsia="zh-CN"/>
        </w:rPr>
        <w:t>19</w:t>
      </w:r>
      <w:r>
        <w:rPr>
          <w:rFonts w:hint="eastAsia" w:eastAsia="仿宋_GB2312" w:cs="仿宋_GB2312"/>
          <w:sz w:val="32"/>
          <w:szCs w:val="32"/>
          <w:highlight w:val="none"/>
        </w:rPr>
        <w:t>辆、载客汽车</w:t>
      </w:r>
      <w:r>
        <w:rPr>
          <w:rFonts w:hint="eastAsia" w:eastAsia="仿宋_GB2312" w:cs="仿宋_GB2312"/>
          <w:sz w:val="32"/>
          <w:szCs w:val="32"/>
          <w:highlight w:val="none"/>
          <w:lang w:val="en-US" w:eastAsia="zh-CN"/>
        </w:rPr>
        <w:t>0</w:t>
      </w:r>
      <w:r>
        <w:rPr>
          <w:rFonts w:hint="eastAsia" w:eastAsia="仿宋_GB2312" w:cs="仿宋_GB2312"/>
          <w:sz w:val="32"/>
          <w:szCs w:val="32"/>
          <w:highlight w:val="none"/>
        </w:rPr>
        <w:t>辆</w:t>
      </w:r>
      <w:r>
        <w:rPr>
          <w:rFonts w:hint="eastAsia" w:eastAsia="仿宋_GB2312" w:cs="仿宋_GB2312"/>
          <w:sz w:val="32"/>
          <w:szCs w:val="32"/>
          <w:highlight w:val="none"/>
          <w:lang w:eastAsia="zh-CN"/>
        </w:rPr>
        <w:t>，</w:t>
      </w:r>
      <w:r>
        <w:rPr>
          <w:rFonts w:hint="eastAsia" w:eastAsia="仿宋_GB2312" w:cs="仿宋_GB2312"/>
          <w:sz w:val="32"/>
          <w:szCs w:val="32"/>
          <w:highlight w:val="none"/>
        </w:rPr>
        <w:t>其他车型</w:t>
      </w:r>
      <w:r>
        <w:rPr>
          <w:rFonts w:hint="eastAsia" w:eastAsia="仿宋_GB2312" w:cs="仿宋_GB2312"/>
          <w:sz w:val="32"/>
          <w:szCs w:val="32"/>
          <w:highlight w:val="none"/>
          <w:lang w:val="en-US" w:eastAsia="zh-CN"/>
        </w:rPr>
        <w:t>75辆</w:t>
      </w:r>
      <w:r>
        <w:rPr>
          <w:rFonts w:hint="eastAsia" w:eastAsia="仿宋_GB2312" w:cs="仿宋_GB2312"/>
          <w:sz w:val="32"/>
          <w:szCs w:val="32"/>
          <w:highlight w:val="none"/>
        </w:rPr>
        <w:t>。</w:t>
      </w:r>
    </w:p>
    <w:p>
      <w:pPr>
        <w:spacing w:line="600" w:lineRule="exact"/>
        <w:ind w:firstLine="640"/>
        <w:rPr>
          <w:rFonts w:eastAsia="仿宋_GB2312" w:cs="仿宋_GB2312"/>
          <w:sz w:val="32"/>
          <w:szCs w:val="32"/>
          <w:highlight w:val="none"/>
        </w:rPr>
      </w:pPr>
      <w:r>
        <w:rPr>
          <w:rFonts w:hint="eastAsia" w:eastAsia="仿宋_GB2312" w:cs="仿宋_GB2312"/>
          <w:sz w:val="32"/>
          <w:szCs w:val="32"/>
          <w:highlight w:val="none"/>
        </w:rPr>
        <w:t>公务用车运行维护费支</w:t>
      </w:r>
      <w:r>
        <w:rPr>
          <w:rFonts w:hint="eastAsia" w:ascii="仿宋_GB2312" w:hAnsi="仿宋_GB2312" w:eastAsia="仿宋_GB2312" w:cs="仿宋_GB2312"/>
          <w:sz w:val="32"/>
          <w:szCs w:val="32"/>
          <w:highlight w:val="none"/>
        </w:rPr>
        <w:t>出</w:t>
      </w:r>
      <w:r>
        <w:rPr>
          <w:rFonts w:hint="eastAsia" w:eastAsia="仿宋_GB2312" w:cs="仿宋_GB2312"/>
          <w:sz w:val="32"/>
          <w:szCs w:val="32"/>
        </w:rPr>
        <w:t>206.03</w:t>
      </w:r>
      <w:r>
        <w:rPr>
          <w:rFonts w:hint="eastAsia" w:eastAsia="仿宋_GB2312" w:cs="仿宋_GB2312"/>
          <w:sz w:val="32"/>
          <w:szCs w:val="32"/>
          <w:highlight w:val="none"/>
        </w:rPr>
        <w:t>万元。主要用于公路养护等所需的公务用车</w:t>
      </w:r>
      <w:r>
        <w:rPr>
          <w:rFonts w:hint="eastAsia" w:eastAsia="仿宋_GB2312" w:cs="仿宋_GB2312"/>
          <w:sz w:val="32"/>
          <w:szCs w:val="32"/>
        </w:rPr>
        <w:t>燃料费</w:t>
      </w:r>
      <w:r>
        <w:rPr>
          <w:rFonts w:hint="eastAsia" w:eastAsia="仿宋_GB2312" w:cs="仿宋_GB2312"/>
          <w:sz w:val="32"/>
          <w:szCs w:val="32"/>
          <w:highlight w:val="none"/>
        </w:rPr>
        <w:t>、维修费、过路过桥费、保险费等支出。</w:t>
      </w:r>
    </w:p>
    <w:p>
      <w:pPr>
        <w:spacing w:line="600" w:lineRule="exact"/>
        <w:ind w:firstLine="640"/>
        <w:rPr>
          <w:rFonts w:eastAsia="仿宋_GB2312" w:cs="仿宋_GB2312"/>
          <w:sz w:val="32"/>
          <w:szCs w:val="32"/>
        </w:rPr>
      </w:pPr>
      <w:r>
        <w:rPr>
          <w:rFonts w:hint="eastAsia" w:eastAsia="仿宋_GB2312" w:cs="仿宋_GB2312"/>
          <w:b/>
          <w:bCs/>
          <w:sz w:val="32"/>
          <w:szCs w:val="32"/>
        </w:rPr>
        <w:t>3.公务接待费支出0.39</w:t>
      </w:r>
      <w:r>
        <w:rPr>
          <w:rFonts w:hint="eastAsia" w:ascii="仿宋_GB2312" w:hAnsi="仿宋_GB2312" w:eastAsia="仿宋_GB2312" w:cs="仿宋_GB2312"/>
          <w:b/>
          <w:bCs/>
          <w:sz w:val="32"/>
          <w:szCs w:val="32"/>
        </w:rPr>
        <w:t>万</w:t>
      </w:r>
      <w:r>
        <w:rPr>
          <w:rFonts w:hint="eastAsia" w:eastAsia="仿宋_GB2312" w:cs="仿宋_GB2312"/>
          <w:b/>
          <w:bCs/>
          <w:sz w:val="32"/>
          <w:szCs w:val="32"/>
        </w:rPr>
        <w:t>元，完成预算</w:t>
      </w:r>
      <w:r>
        <w:rPr>
          <w:rFonts w:hint="eastAsia" w:eastAsia="仿宋_GB2312" w:cs="仿宋_GB2312"/>
          <w:b/>
          <w:bCs/>
          <w:sz w:val="32"/>
          <w:szCs w:val="32"/>
          <w:lang w:val="en-US" w:eastAsia="zh-CN"/>
        </w:rPr>
        <w:t>15.5</w:t>
      </w:r>
      <w:r>
        <w:rPr>
          <w:rFonts w:hint="eastAsia" w:eastAsia="仿宋_GB2312" w:cs="仿宋_GB2312"/>
          <w:b/>
          <w:bCs/>
          <w:sz w:val="32"/>
          <w:szCs w:val="32"/>
        </w:rPr>
        <w:t>%。</w:t>
      </w:r>
      <w:r>
        <w:rPr>
          <w:rFonts w:hint="eastAsia" w:eastAsia="仿宋_GB2312" w:cs="仿宋_GB2312"/>
          <w:sz w:val="32"/>
          <w:szCs w:val="32"/>
        </w:rPr>
        <w:t>公务接待费支出决算比2023年度增加</w:t>
      </w:r>
      <w:r>
        <w:rPr>
          <w:rFonts w:hint="eastAsia" w:eastAsia="仿宋_GB2312" w:cs="仿宋_GB2312"/>
          <w:sz w:val="32"/>
          <w:szCs w:val="32"/>
          <w:lang w:val="en-US" w:eastAsia="zh-CN"/>
        </w:rPr>
        <w:t>0.3</w:t>
      </w:r>
      <w:r>
        <w:rPr>
          <w:rFonts w:hint="eastAsia" w:eastAsia="仿宋_GB2312" w:cs="仿宋_GB2312"/>
          <w:sz w:val="32"/>
          <w:szCs w:val="32"/>
        </w:rPr>
        <w:t>万元，增长334.5%。主要原因是</w:t>
      </w:r>
      <w:r>
        <w:rPr>
          <w:rFonts w:hint="eastAsia" w:eastAsia="仿宋_GB2312" w:cs="仿宋_GB2312"/>
          <w:sz w:val="32"/>
          <w:szCs w:val="32"/>
          <w:lang w:val="en-US" w:eastAsia="zh-CN"/>
        </w:rPr>
        <w:t>本年度公务接待支出增加</w:t>
      </w:r>
      <w:r>
        <w:rPr>
          <w:rFonts w:hint="eastAsia" w:eastAsia="仿宋_GB2312" w:cs="仿宋_GB2312"/>
          <w:sz w:val="32"/>
          <w:szCs w:val="32"/>
        </w:rPr>
        <w:t>。其中：</w:t>
      </w:r>
    </w:p>
    <w:p>
      <w:pPr>
        <w:spacing w:line="600" w:lineRule="exact"/>
        <w:ind w:firstLine="640"/>
        <w:rPr>
          <w:rFonts w:hint="default" w:eastAsia="仿宋_GB2312" w:cs="仿宋_GB2312"/>
          <w:sz w:val="32"/>
          <w:szCs w:val="32"/>
          <w:lang w:val="en-US" w:eastAsia="zh-CN"/>
        </w:rPr>
      </w:pPr>
      <w:r>
        <w:rPr>
          <w:rFonts w:hint="eastAsia" w:eastAsia="仿宋_GB2312" w:cs="仿宋_GB2312"/>
          <w:sz w:val="32"/>
          <w:szCs w:val="32"/>
        </w:rPr>
        <w:t>国内公务接待支</w:t>
      </w:r>
      <w:r>
        <w:rPr>
          <w:rFonts w:hint="eastAsia" w:ascii="仿宋_GB2312" w:hAnsi="仿宋_GB2312" w:eastAsia="仿宋_GB2312" w:cs="仿宋_GB2312"/>
          <w:sz w:val="32"/>
          <w:szCs w:val="32"/>
        </w:rPr>
        <w:t>出</w:t>
      </w:r>
      <w:r>
        <w:rPr>
          <w:rFonts w:hint="eastAsia" w:ascii="仿宋_GB2312" w:hAnsi="仿宋_GB2312" w:eastAsia="仿宋_GB2312" w:cs="仿宋_GB2312"/>
          <w:sz w:val="32"/>
          <w:szCs w:val="32"/>
          <w:lang w:val="en-US" w:eastAsia="zh-CN"/>
        </w:rPr>
        <w:t>0.39</w:t>
      </w:r>
      <w:r>
        <w:rPr>
          <w:rFonts w:hint="eastAsia" w:ascii="仿宋_GB2312" w:hAnsi="仿宋_GB2312" w:eastAsia="仿宋_GB2312" w:cs="仿宋_GB2312"/>
          <w:sz w:val="32"/>
          <w:szCs w:val="32"/>
        </w:rPr>
        <w:t>万</w:t>
      </w:r>
      <w:r>
        <w:rPr>
          <w:rFonts w:hint="eastAsia" w:eastAsia="仿宋_GB2312" w:cs="仿宋_GB2312"/>
          <w:sz w:val="32"/>
          <w:szCs w:val="32"/>
        </w:rPr>
        <w:t>元，主要用于开展业务活动开支的交通费、住宿费、用餐费等。国内公务接</w:t>
      </w:r>
      <w:r>
        <w:rPr>
          <w:rFonts w:hint="eastAsia" w:ascii="仿宋_GB2312" w:hAnsi="仿宋_GB2312" w:eastAsia="仿宋_GB2312" w:cs="仿宋_GB2312"/>
          <w:sz w:val="32"/>
          <w:szCs w:val="32"/>
        </w:rPr>
        <w:t>待</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批次，</w:t>
      </w:r>
      <w:r>
        <w:rPr>
          <w:rFonts w:hint="eastAsia" w:ascii="仿宋_GB2312" w:hAnsi="仿宋_GB2312" w:eastAsia="仿宋_GB2312" w:cs="仿宋_GB2312"/>
          <w:sz w:val="32"/>
          <w:szCs w:val="32"/>
          <w:lang w:val="en-US" w:eastAsia="zh-CN"/>
        </w:rPr>
        <w:t>73</w:t>
      </w:r>
      <w:r>
        <w:rPr>
          <w:rFonts w:hint="eastAsia" w:eastAsia="仿宋_GB2312" w:cs="仿宋_GB2312"/>
          <w:sz w:val="32"/>
          <w:szCs w:val="32"/>
        </w:rPr>
        <w:t>人次（不包括陪同人员），共计支出</w:t>
      </w:r>
      <w:r>
        <w:rPr>
          <w:rFonts w:hint="eastAsia" w:eastAsia="仿宋_GB2312" w:cs="仿宋_GB2312"/>
          <w:sz w:val="32"/>
          <w:szCs w:val="32"/>
          <w:lang w:val="en-US" w:eastAsia="zh-CN"/>
        </w:rPr>
        <w:t>0.39</w:t>
      </w:r>
      <w:r>
        <w:rPr>
          <w:rFonts w:hint="eastAsia" w:eastAsia="仿宋_GB2312" w:cs="仿宋_GB2312"/>
          <w:sz w:val="32"/>
          <w:szCs w:val="32"/>
        </w:rPr>
        <w:t>万元，具体内容包括：</w:t>
      </w:r>
      <w:r>
        <w:rPr>
          <w:rFonts w:hint="eastAsia" w:eastAsia="仿宋_GB2312" w:cs="仿宋_GB2312"/>
          <w:sz w:val="32"/>
          <w:szCs w:val="32"/>
          <w:lang w:val="en-US" w:eastAsia="zh-CN"/>
        </w:rPr>
        <w:t>1.召开2024年公路工作会和2023年养护工程总结暨 2024年养护工程安排部署会金额为0.26万元；2.召开领导班子和领导干部和科室负责人年度考核会议和谈话金额为0.13万元。</w:t>
      </w:r>
    </w:p>
    <w:p>
      <w:pPr>
        <w:spacing w:line="600" w:lineRule="exact"/>
        <w:ind w:firstLine="640"/>
        <w:rPr>
          <w:rFonts w:eastAsia="仿宋_GB2312" w:cs="仿宋_GB2312"/>
          <w:sz w:val="32"/>
          <w:szCs w:val="32"/>
        </w:rPr>
      </w:pPr>
      <w:r>
        <w:rPr>
          <w:rFonts w:hint="eastAsia" w:eastAsia="仿宋_GB2312" w:cs="仿宋_GB2312"/>
          <w:sz w:val="32"/>
          <w:szCs w:val="32"/>
        </w:rPr>
        <w:t>外事接待支</w:t>
      </w:r>
      <w:r>
        <w:rPr>
          <w:rFonts w:hint="eastAsia" w:ascii="仿宋_GB2312" w:hAnsi="仿宋_GB2312" w:eastAsia="仿宋_GB2312" w:cs="仿宋_GB2312"/>
          <w:sz w:val="32"/>
          <w:szCs w:val="32"/>
        </w:rPr>
        <w:t>出</w:t>
      </w:r>
      <w:r>
        <w:rPr>
          <w:rFonts w:hint="eastAsia" w:eastAsia="仿宋_GB2312" w:cs="仿宋_GB2312"/>
          <w:sz w:val="32"/>
          <w:szCs w:val="32"/>
          <w:lang w:val="en-US" w:eastAsia="zh-CN"/>
        </w:rPr>
        <w:t>0万</w:t>
      </w:r>
      <w:r>
        <w:rPr>
          <w:rFonts w:hint="eastAsia" w:ascii="仿宋_GB2312" w:hAnsi="仿宋_GB2312" w:eastAsia="仿宋_GB2312" w:cs="仿宋_GB2312"/>
          <w:sz w:val="32"/>
          <w:szCs w:val="32"/>
        </w:rPr>
        <w:t>元。外事接待</w:t>
      </w:r>
      <w:r>
        <w:rPr>
          <w:rFonts w:hint="eastAsia" w:eastAsia="仿宋_GB2312" w:cs="仿宋_GB2312"/>
          <w:sz w:val="32"/>
          <w:szCs w:val="32"/>
          <w:lang w:val="en-US" w:eastAsia="zh-CN"/>
        </w:rPr>
        <w:t>0</w:t>
      </w:r>
      <w:r>
        <w:rPr>
          <w:rFonts w:hint="eastAsia" w:ascii="仿宋_GB2312" w:hAnsi="仿宋_GB2312" w:eastAsia="仿宋_GB2312" w:cs="仿宋_GB2312"/>
          <w:sz w:val="32"/>
          <w:szCs w:val="32"/>
        </w:rPr>
        <w:t>批次，</w:t>
      </w:r>
      <w:r>
        <w:rPr>
          <w:rFonts w:hint="eastAsia" w:eastAsia="仿宋_GB2312" w:cs="仿宋_GB2312"/>
          <w:sz w:val="32"/>
          <w:szCs w:val="32"/>
          <w:lang w:val="en-US" w:eastAsia="zh-CN"/>
        </w:rPr>
        <w:t>0</w:t>
      </w:r>
      <w:r>
        <w:rPr>
          <w:rFonts w:hint="eastAsia" w:ascii="仿宋_GB2312" w:hAnsi="仿宋_GB2312" w:eastAsia="仿宋_GB2312" w:cs="仿宋_GB2312"/>
          <w:sz w:val="32"/>
          <w:szCs w:val="32"/>
        </w:rPr>
        <w:t>人次（不包括陪同人员），共计支出</w:t>
      </w:r>
      <w:r>
        <w:rPr>
          <w:rFonts w:hint="eastAsia" w:eastAsia="仿宋_GB2312" w:cs="仿宋_GB2312"/>
          <w:sz w:val="32"/>
          <w:szCs w:val="32"/>
          <w:lang w:val="en-US" w:eastAsia="zh-CN"/>
        </w:rPr>
        <w:t>0</w:t>
      </w:r>
      <w:r>
        <w:rPr>
          <w:rFonts w:hint="eastAsia" w:ascii="仿宋_GB2312" w:hAnsi="仿宋_GB2312" w:eastAsia="仿宋_GB2312" w:cs="仿宋_GB2312"/>
          <w:sz w:val="32"/>
          <w:szCs w:val="32"/>
        </w:rPr>
        <w:t>万</w:t>
      </w:r>
      <w:r>
        <w:rPr>
          <w:rFonts w:hint="eastAsia" w:eastAsia="仿宋_GB2312" w:cs="仿宋_GB2312"/>
          <w:sz w:val="32"/>
          <w:szCs w:val="32"/>
        </w:rPr>
        <w:t>元。</w:t>
      </w:r>
      <w:bookmarkStart w:id="45" w:name="_Toc15377218"/>
      <w:bookmarkStart w:id="46" w:name="_Toc15396610"/>
    </w:p>
    <w:p>
      <w:pPr>
        <w:spacing w:line="600" w:lineRule="exact"/>
        <w:ind w:firstLine="640"/>
        <w:outlineLvl w:val="1"/>
        <w:rPr>
          <w:rStyle w:val="29"/>
          <w:rFonts w:ascii="Times New Roman" w:hAnsi="Times New Roman" w:eastAsia="黑体"/>
        </w:rPr>
      </w:pPr>
      <w:bookmarkStart w:id="47" w:name="_Toc3648"/>
      <w:r>
        <w:rPr>
          <w:rFonts w:hint="eastAsia" w:eastAsia="黑体"/>
          <w:sz w:val="32"/>
          <w:szCs w:val="32"/>
        </w:rPr>
        <w:t>八、</w:t>
      </w:r>
      <w:r>
        <w:rPr>
          <w:rStyle w:val="29"/>
          <w:rFonts w:hint="eastAsia" w:ascii="Times New Roman" w:hAnsi="Times New Roman" w:eastAsia="黑体"/>
          <w:b w:val="0"/>
        </w:rPr>
        <w:t>政府性基金预算支出决算情况说明</w:t>
      </w:r>
      <w:bookmarkEnd w:id="45"/>
      <w:bookmarkEnd w:id="46"/>
      <w:bookmarkEnd w:id="47"/>
    </w:p>
    <w:p>
      <w:pPr>
        <w:spacing w:line="600" w:lineRule="exact"/>
        <w:ind w:firstLine="640"/>
        <w:rPr>
          <w:rFonts w:hint="eastAsia" w:eastAsia="仿宋_GB2312" w:cs="仿宋_GB2312"/>
          <w:sz w:val="32"/>
          <w:szCs w:val="32"/>
          <w:lang w:eastAsia="zh-CN"/>
        </w:rPr>
      </w:pPr>
      <w:r>
        <w:rPr>
          <w:rFonts w:hint="eastAsia" w:ascii="仿宋_GB2312" w:hAnsi="仿宋_GB2312" w:eastAsia="仿宋_GB2312" w:cs="仿宋_GB2312"/>
          <w:sz w:val="32"/>
          <w:szCs w:val="32"/>
        </w:rPr>
        <w:t>2024年度政府性基金预算财政拨款支出</w:t>
      </w:r>
      <w:r>
        <w:rPr>
          <w:rFonts w:hint="eastAsia" w:eastAsia="仿宋_GB2312" w:cs="仿宋_GB2312"/>
          <w:sz w:val="32"/>
          <w:szCs w:val="32"/>
          <w:lang w:val="en-US" w:eastAsia="zh-CN"/>
        </w:rPr>
        <w:t>0</w:t>
      </w:r>
      <w:r>
        <w:rPr>
          <w:rFonts w:hint="eastAsia" w:ascii="仿宋_GB2312" w:hAnsi="仿宋_GB2312" w:eastAsia="仿宋_GB2312" w:cs="仿宋_GB2312"/>
          <w:sz w:val="32"/>
          <w:szCs w:val="32"/>
        </w:rPr>
        <w:t>万元</w:t>
      </w:r>
      <w:r>
        <w:rPr>
          <w:rFonts w:hint="eastAsia" w:eastAsia="仿宋_GB2312" w:cs="仿宋_GB2312"/>
          <w:sz w:val="32"/>
          <w:szCs w:val="32"/>
        </w:rPr>
        <w:t>。与2023年度</w:t>
      </w:r>
      <w:r>
        <w:rPr>
          <w:rFonts w:hint="eastAsia" w:eastAsia="仿宋_GB2312" w:cs="仿宋_GB2312"/>
          <w:sz w:val="32"/>
          <w:szCs w:val="32"/>
          <w:lang w:val="en-US" w:eastAsia="zh-CN"/>
        </w:rPr>
        <w:t>一致。</w:t>
      </w:r>
    </w:p>
    <w:p>
      <w:pPr>
        <w:spacing w:line="600" w:lineRule="exact"/>
        <w:ind w:left="630"/>
        <w:outlineLvl w:val="1"/>
        <w:rPr>
          <w:rStyle w:val="29"/>
          <w:rFonts w:ascii="Times New Roman" w:hAnsi="Times New Roman" w:eastAsia="黑体"/>
          <w:b w:val="0"/>
        </w:rPr>
      </w:pPr>
      <w:bookmarkStart w:id="48" w:name="_Toc15377219"/>
      <w:bookmarkStart w:id="49" w:name="_Toc15396611"/>
      <w:bookmarkStart w:id="50" w:name="_Toc27352"/>
      <w:r>
        <w:rPr>
          <w:rStyle w:val="29"/>
          <w:rFonts w:hint="eastAsia" w:ascii="Times New Roman" w:hAnsi="Times New Roman" w:eastAsia="黑体"/>
          <w:b w:val="0"/>
        </w:rPr>
        <w:t>九、国有资本经营预算支出决算情况说明</w:t>
      </w:r>
      <w:bookmarkEnd w:id="48"/>
      <w:bookmarkEnd w:id="49"/>
      <w:bookmarkEnd w:id="50"/>
    </w:p>
    <w:p>
      <w:pPr>
        <w:spacing w:line="600" w:lineRule="exact"/>
        <w:ind w:firstLine="640"/>
        <w:rPr>
          <w:rFonts w:hint="eastAsia" w:eastAsia="仿宋_GB2312" w:cs="仿宋_GB2312"/>
          <w:sz w:val="32"/>
          <w:szCs w:val="32"/>
          <w:lang w:eastAsia="zh-CN"/>
        </w:rPr>
      </w:pPr>
      <w:r>
        <w:rPr>
          <w:rFonts w:hint="eastAsia" w:eastAsia="仿宋_GB2312" w:cs="仿宋_GB2312"/>
          <w:sz w:val="32"/>
          <w:szCs w:val="32"/>
        </w:rPr>
        <w:t>2024年度国有资本经营预算财政拨款支出</w:t>
      </w:r>
      <w:r>
        <w:rPr>
          <w:rFonts w:hint="eastAsia" w:eastAsia="仿宋_GB2312" w:cs="仿宋_GB2312"/>
          <w:sz w:val="32"/>
          <w:szCs w:val="32"/>
          <w:lang w:val="en-US" w:eastAsia="zh-CN"/>
        </w:rPr>
        <w:t>0</w:t>
      </w:r>
      <w:r>
        <w:rPr>
          <w:rFonts w:hint="eastAsia" w:ascii="仿宋_GB2312" w:hAnsi="仿宋_GB2312" w:eastAsia="仿宋_GB2312" w:cs="仿宋_GB2312"/>
          <w:sz w:val="32"/>
          <w:szCs w:val="32"/>
        </w:rPr>
        <w:t>万元</w:t>
      </w:r>
      <w:r>
        <w:rPr>
          <w:rFonts w:hint="eastAsia" w:eastAsia="仿宋_GB2312" w:cs="仿宋_GB2312"/>
          <w:sz w:val="32"/>
          <w:szCs w:val="32"/>
        </w:rPr>
        <w:t>。与2023年度</w:t>
      </w:r>
      <w:r>
        <w:rPr>
          <w:rFonts w:hint="eastAsia" w:eastAsia="仿宋_GB2312" w:cs="仿宋_GB2312"/>
          <w:sz w:val="32"/>
          <w:szCs w:val="32"/>
          <w:lang w:val="en-US" w:eastAsia="zh-CN"/>
        </w:rPr>
        <w:t>一致。</w:t>
      </w:r>
    </w:p>
    <w:p>
      <w:pPr>
        <w:spacing w:line="600" w:lineRule="exact"/>
        <w:ind w:left="630"/>
        <w:outlineLvl w:val="1"/>
        <w:rPr>
          <w:rStyle w:val="29"/>
          <w:rFonts w:ascii="Times New Roman" w:hAnsi="Times New Roman" w:eastAsia="黑体"/>
          <w:b w:val="0"/>
        </w:rPr>
      </w:pPr>
      <w:bookmarkStart w:id="51" w:name="_Toc15377221"/>
      <w:bookmarkStart w:id="52" w:name="_Toc15396612"/>
      <w:bookmarkStart w:id="53" w:name="_Toc20686"/>
      <w:r>
        <w:rPr>
          <w:rStyle w:val="29"/>
          <w:rFonts w:hint="eastAsia" w:ascii="Times New Roman" w:hAnsi="Times New Roman" w:eastAsia="黑体"/>
          <w:b w:val="0"/>
        </w:rPr>
        <w:t>十、其他重要事项的情况说明</w:t>
      </w:r>
      <w:bookmarkEnd w:id="51"/>
      <w:bookmarkEnd w:id="52"/>
      <w:bookmarkEnd w:id="53"/>
    </w:p>
    <w:p>
      <w:pPr>
        <w:spacing w:line="600" w:lineRule="exact"/>
        <w:ind w:firstLine="643" w:firstLineChars="200"/>
        <w:outlineLvl w:val="2"/>
        <w:rPr>
          <w:rFonts w:eastAsia="楷体_GB2312" w:cs="楷体_GB2312"/>
          <w:b/>
          <w:sz w:val="32"/>
          <w:szCs w:val="32"/>
        </w:rPr>
      </w:pPr>
      <w:bookmarkStart w:id="54" w:name="_Toc15377222"/>
      <w:r>
        <w:rPr>
          <w:rFonts w:hint="eastAsia" w:eastAsia="楷体_GB2312" w:cs="楷体_GB2312"/>
          <w:b/>
          <w:sz w:val="32"/>
          <w:szCs w:val="32"/>
        </w:rPr>
        <w:t>（一）机关运行经费支出情况</w:t>
      </w:r>
      <w:bookmarkEnd w:id="54"/>
    </w:p>
    <w:p>
      <w:pPr>
        <w:spacing w:line="600" w:lineRule="exact"/>
        <w:ind w:firstLine="640"/>
        <w:rPr>
          <w:rFonts w:eastAsia="仿宋_GB2312" w:cs="仿宋_GB2312"/>
          <w:sz w:val="32"/>
          <w:szCs w:val="32"/>
        </w:rPr>
      </w:pPr>
      <w:r>
        <w:rPr>
          <w:rFonts w:hint="eastAsia" w:eastAsia="仿宋_GB2312" w:cs="仿宋_GB2312"/>
          <w:sz w:val="32"/>
          <w:szCs w:val="32"/>
        </w:rPr>
        <w:t>2024年度</w:t>
      </w:r>
      <w:r>
        <w:rPr>
          <w:rFonts w:hint="eastAsia" w:ascii="仿宋_GB2312" w:hAnsi="仿宋_GB2312" w:eastAsia="仿宋_GB2312" w:cs="仿宋_GB2312"/>
          <w:sz w:val="32"/>
          <w:szCs w:val="32"/>
        </w:rPr>
        <w:t>，四川省阿坝州公路管理局机关运行经费支出</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万</w:t>
      </w:r>
      <w:r>
        <w:rPr>
          <w:rFonts w:hint="eastAsia" w:eastAsia="仿宋_GB2312" w:cs="仿宋_GB2312"/>
          <w:sz w:val="32"/>
          <w:szCs w:val="32"/>
        </w:rPr>
        <w:t>元，比2023年度</w:t>
      </w:r>
      <w:r>
        <w:rPr>
          <w:rFonts w:hint="eastAsia" w:eastAsia="仿宋_GB2312" w:cs="仿宋_GB2312"/>
          <w:sz w:val="32"/>
          <w:szCs w:val="32"/>
          <w:lang w:val="en-US" w:eastAsia="zh-CN"/>
        </w:rPr>
        <w:t>一致。</w:t>
      </w:r>
    </w:p>
    <w:p>
      <w:pPr>
        <w:spacing w:line="600" w:lineRule="exact"/>
        <w:ind w:firstLine="643" w:firstLineChars="200"/>
        <w:outlineLvl w:val="2"/>
        <w:rPr>
          <w:rFonts w:eastAsia="楷体_GB2312" w:cs="楷体_GB2312"/>
          <w:b/>
          <w:sz w:val="32"/>
          <w:szCs w:val="32"/>
        </w:rPr>
      </w:pPr>
      <w:bookmarkStart w:id="55" w:name="_Toc15377223"/>
      <w:r>
        <w:rPr>
          <w:rFonts w:hint="eastAsia" w:eastAsia="楷体_GB2312" w:cs="楷体_GB2312"/>
          <w:b/>
          <w:sz w:val="32"/>
          <w:szCs w:val="32"/>
        </w:rPr>
        <w:t>（二）政府采购支出情况</w:t>
      </w:r>
      <w:bookmarkEnd w:id="55"/>
    </w:p>
    <w:p>
      <w:pPr>
        <w:spacing w:line="600" w:lineRule="exact"/>
        <w:ind w:firstLine="640"/>
        <w:rPr>
          <w:rFonts w:hint="eastAsia" w:eastAsia="仿宋_GB2312" w:cs="仿宋_GB2312"/>
          <w:sz w:val="32"/>
          <w:szCs w:val="32"/>
          <w:lang w:eastAsia="zh-CN"/>
        </w:rPr>
      </w:pPr>
      <w:r>
        <w:rPr>
          <w:rFonts w:hint="eastAsia" w:eastAsia="仿宋_GB2312" w:cs="仿宋_GB2312"/>
          <w:sz w:val="32"/>
          <w:szCs w:val="32"/>
        </w:rPr>
        <w:t>2024年度，四川省阿坝州公路管理局政府采购支出总额2,230.21万元，其中：政府采购货物支出155.75万元、政府采购工程支出1,869.09万元、政府采购服务支出205.38万元。主要用于</w:t>
      </w:r>
      <w:r>
        <w:rPr>
          <w:rFonts w:hint="eastAsia" w:eastAsia="仿宋_GB2312" w:cs="仿宋_GB2312"/>
          <w:sz w:val="32"/>
          <w:szCs w:val="32"/>
          <w:lang w:val="en-US" w:eastAsia="zh-CN"/>
        </w:rPr>
        <w:t>单位日常工作正常运转</w:t>
      </w:r>
      <w:r>
        <w:rPr>
          <w:rFonts w:hint="eastAsia" w:eastAsia="仿宋_GB2312" w:cs="仿宋_GB2312"/>
          <w:sz w:val="32"/>
          <w:szCs w:val="32"/>
        </w:rPr>
        <w:t>。授予中小企业合同金额</w:t>
      </w:r>
      <w:r>
        <w:rPr>
          <w:rFonts w:hint="eastAsia" w:eastAsia="仿宋_GB2312" w:cs="仿宋_GB2312"/>
          <w:sz w:val="32"/>
          <w:szCs w:val="32"/>
          <w:lang w:val="en-US" w:eastAsia="zh-CN"/>
        </w:rPr>
        <w:t>0</w:t>
      </w:r>
      <w:r>
        <w:rPr>
          <w:rFonts w:hint="eastAsia" w:eastAsia="仿宋_GB2312" w:cs="仿宋_GB2312"/>
          <w:sz w:val="32"/>
          <w:szCs w:val="32"/>
        </w:rPr>
        <w:t>万元，占政府采购支出总额的</w:t>
      </w:r>
      <w:r>
        <w:rPr>
          <w:rFonts w:hint="eastAsia" w:eastAsia="仿宋_GB2312" w:cs="仿宋_GB2312"/>
          <w:sz w:val="32"/>
          <w:szCs w:val="32"/>
          <w:lang w:val="en-US" w:eastAsia="zh-CN"/>
        </w:rPr>
        <w:t>0</w:t>
      </w:r>
      <w:r>
        <w:rPr>
          <w:rFonts w:hint="eastAsia" w:eastAsia="仿宋_GB2312" w:cs="仿宋_GB2312"/>
          <w:sz w:val="32"/>
          <w:szCs w:val="32"/>
        </w:rPr>
        <w:t>%，其中：授予小微企业合同金额</w:t>
      </w:r>
      <w:r>
        <w:rPr>
          <w:rFonts w:hint="eastAsia" w:eastAsia="仿宋_GB2312" w:cs="仿宋_GB2312"/>
          <w:sz w:val="32"/>
          <w:szCs w:val="32"/>
          <w:lang w:val="en-US" w:eastAsia="zh-CN"/>
        </w:rPr>
        <w:t>0</w:t>
      </w:r>
      <w:r>
        <w:rPr>
          <w:rFonts w:hint="eastAsia" w:eastAsia="仿宋_GB2312" w:cs="仿宋_GB2312"/>
          <w:sz w:val="32"/>
          <w:szCs w:val="32"/>
        </w:rPr>
        <w:t>万元，占政府采购支出总额的</w:t>
      </w:r>
      <w:r>
        <w:rPr>
          <w:rFonts w:hint="eastAsia" w:eastAsia="仿宋_GB2312" w:cs="仿宋_GB2312"/>
          <w:sz w:val="32"/>
          <w:szCs w:val="32"/>
          <w:lang w:val="en-US" w:eastAsia="zh-CN"/>
        </w:rPr>
        <w:t>0</w:t>
      </w:r>
      <w:r>
        <w:rPr>
          <w:rFonts w:hint="eastAsia" w:eastAsia="仿宋_GB2312" w:cs="仿宋_GB2312"/>
          <w:sz w:val="32"/>
          <w:szCs w:val="32"/>
        </w:rPr>
        <w:t>%</w:t>
      </w:r>
      <w:r>
        <w:rPr>
          <w:rFonts w:hint="eastAsia" w:eastAsia="仿宋_GB2312" w:cs="仿宋_GB2312"/>
          <w:sz w:val="32"/>
          <w:szCs w:val="32"/>
          <w:lang w:eastAsia="zh-CN"/>
        </w:rPr>
        <w:t>。</w:t>
      </w:r>
    </w:p>
    <w:p>
      <w:pPr>
        <w:spacing w:line="600" w:lineRule="exact"/>
        <w:ind w:firstLine="643" w:firstLineChars="200"/>
        <w:outlineLvl w:val="2"/>
        <w:rPr>
          <w:rFonts w:eastAsia="楷体_GB2312" w:cs="楷体_GB2312"/>
          <w:b/>
          <w:sz w:val="32"/>
          <w:szCs w:val="32"/>
        </w:rPr>
      </w:pPr>
      <w:bookmarkStart w:id="56" w:name="_Toc15377224"/>
      <w:r>
        <w:rPr>
          <w:rFonts w:hint="eastAsia" w:eastAsia="楷体_GB2312" w:cs="楷体_GB2312"/>
          <w:b/>
          <w:sz w:val="32"/>
          <w:szCs w:val="32"/>
        </w:rPr>
        <w:t>（三）国有资产占有使用情况</w:t>
      </w:r>
      <w:bookmarkEnd w:id="56"/>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截至2024年12月31日，四川省阿坝州公路管理局共有车辆110辆，其中：主要负责人用车0辆、机要通信用车0辆、应急保障用车71辆、其他用车39辆，其他用车主要是用于单位日常工作正常运转。单价100万元（含）以上设备（不含车辆）0台（套）。</w:t>
      </w:r>
    </w:p>
    <w:p>
      <w:pPr>
        <w:spacing w:line="600" w:lineRule="exact"/>
        <w:ind w:firstLine="643" w:firstLineChars="200"/>
        <w:outlineLvl w:val="2"/>
        <w:rPr>
          <w:rFonts w:eastAsia="楷体_GB2312" w:cs="楷体_GB2312"/>
          <w:b/>
          <w:sz w:val="32"/>
          <w:szCs w:val="32"/>
        </w:rPr>
      </w:pPr>
      <w:r>
        <w:rPr>
          <w:rFonts w:hint="eastAsia" w:eastAsia="楷体_GB2312" w:cs="楷体_GB2312"/>
          <w:b/>
          <w:sz w:val="32"/>
          <w:szCs w:val="32"/>
        </w:rPr>
        <w:t>（四）预算绩效管理情况</w:t>
      </w:r>
    </w:p>
    <w:p>
      <w:pPr>
        <w:spacing w:line="600" w:lineRule="exact"/>
        <w:ind w:firstLine="640"/>
        <w:rPr>
          <w:rFonts w:eastAsia="仿宋_GB2312" w:cs="仿宋_GB2312"/>
          <w:sz w:val="32"/>
          <w:szCs w:val="32"/>
        </w:rPr>
      </w:pPr>
      <w:r>
        <w:rPr>
          <w:rFonts w:hint="eastAsia" w:eastAsia="仿宋_GB2312" w:cs="仿宋_GB2312"/>
          <w:sz w:val="32"/>
          <w:szCs w:val="32"/>
        </w:rPr>
        <w:t>根据预算绩效管理要求，四川省阿坝州公路管理局在2024年度预算编制阶段，组织对职工工作服购置项目</w:t>
      </w:r>
      <w:r>
        <w:rPr>
          <w:rFonts w:hint="eastAsia" w:eastAsia="仿宋_GB2312" w:cs="仿宋_GB2312"/>
          <w:sz w:val="32"/>
          <w:szCs w:val="32"/>
          <w:lang w:eastAsia="zh-CN"/>
        </w:rPr>
        <w:t>、公务用车大修项目、办公用品购置项目、养护站房屋维修维护、八一建军节慰问费、伤</w:t>
      </w:r>
      <w:r>
        <w:rPr>
          <w:rFonts w:hint="eastAsia" w:eastAsia="仿宋_GB2312" w:cs="仿宋_GB2312"/>
          <w:sz w:val="32"/>
          <w:szCs w:val="32"/>
          <w:highlight w:val="none"/>
          <w:lang w:eastAsia="zh-CN"/>
        </w:rPr>
        <w:t>残、丧葬抚恤费、离退休干部及离退休干部遗霜慰问费</w:t>
      </w:r>
      <w:r>
        <w:rPr>
          <w:rFonts w:hint="eastAsia" w:eastAsia="仿宋_GB2312" w:cs="仿宋_GB2312"/>
          <w:sz w:val="32"/>
          <w:szCs w:val="32"/>
          <w:highlight w:val="none"/>
        </w:rPr>
        <w:t>等</w:t>
      </w:r>
      <w:r>
        <w:rPr>
          <w:rFonts w:hint="eastAsia" w:eastAsia="仿宋_GB2312" w:cs="仿宋_GB2312"/>
          <w:sz w:val="32"/>
          <w:szCs w:val="32"/>
          <w:highlight w:val="none"/>
          <w:lang w:val="en-US" w:eastAsia="zh-CN"/>
        </w:rPr>
        <w:t>31</w:t>
      </w:r>
      <w:r>
        <w:rPr>
          <w:rFonts w:hint="eastAsia" w:eastAsia="仿宋_GB2312" w:cs="仿宋_GB2312"/>
          <w:sz w:val="32"/>
          <w:szCs w:val="32"/>
          <w:highlight w:val="none"/>
        </w:rPr>
        <w:t>个项</w:t>
      </w:r>
      <w:r>
        <w:rPr>
          <w:rFonts w:hint="eastAsia" w:eastAsia="仿宋_GB2312" w:cs="仿宋_GB2312"/>
          <w:sz w:val="32"/>
          <w:szCs w:val="32"/>
        </w:rPr>
        <w:t>目开展了预算事前绩效评估，对</w:t>
      </w:r>
      <w:r>
        <w:rPr>
          <w:rFonts w:hint="eastAsia" w:eastAsia="仿宋_GB2312" w:cs="仿宋_GB2312"/>
          <w:sz w:val="32"/>
          <w:szCs w:val="32"/>
          <w:lang w:val="en-US" w:eastAsia="zh-CN"/>
        </w:rPr>
        <w:t>31</w:t>
      </w:r>
      <w:r>
        <w:rPr>
          <w:rFonts w:hint="eastAsia" w:eastAsia="仿宋_GB2312" w:cs="仿宋_GB2312"/>
          <w:sz w:val="32"/>
          <w:szCs w:val="32"/>
        </w:rPr>
        <w:t>个项目编制了绩效目标，预算执行过程中，选取</w:t>
      </w:r>
      <w:r>
        <w:rPr>
          <w:rFonts w:hint="eastAsia" w:eastAsia="仿宋_GB2312" w:cs="仿宋_GB2312"/>
          <w:sz w:val="32"/>
          <w:szCs w:val="32"/>
          <w:lang w:val="en-US" w:eastAsia="zh-CN"/>
        </w:rPr>
        <w:t>31</w:t>
      </w:r>
      <w:r>
        <w:rPr>
          <w:rFonts w:hint="eastAsia" w:eastAsia="仿宋_GB2312" w:cs="仿宋_GB2312"/>
          <w:sz w:val="32"/>
          <w:szCs w:val="32"/>
        </w:rPr>
        <w:t>个项目开展绩效监控</w:t>
      </w:r>
      <w:r>
        <w:rPr>
          <w:rFonts w:hint="eastAsia" w:eastAsia="仿宋_GB2312" w:cs="仿宋_GB2312"/>
          <w:sz w:val="32"/>
          <w:szCs w:val="32"/>
          <w:lang w:eastAsia="zh-CN"/>
        </w:rPr>
        <w:t>，</w:t>
      </w:r>
      <w:r>
        <w:rPr>
          <w:rFonts w:hint="eastAsia" w:eastAsia="仿宋_GB2312" w:cs="仿宋_GB2312"/>
          <w:sz w:val="32"/>
          <w:szCs w:val="32"/>
        </w:rPr>
        <w:t>绩效自评表详见第四部分附件。</w:t>
      </w:r>
    </w:p>
    <w:p>
      <w:pPr>
        <w:pStyle w:val="8"/>
        <w:bidi w:val="0"/>
      </w:pPr>
    </w:p>
    <w:p>
      <w:pPr>
        <w:pStyle w:val="8"/>
        <w:bidi w:val="0"/>
        <w:rPr>
          <w:rFonts w:hint="eastAsia"/>
        </w:rPr>
      </w:pPr>
      <w:bookmarkStart w:id="57" w:name="_Toc15377225"/>
      <w:bookmarkStart w:id="58" w:name="_Toc15396613"/>
    </w:p>
    <w:p>
      <w:pPr>
        <w:pStyle w:val="8"/>
        <w:bidi w:val="0"/>
        <w:rPr>
          <w:rFonts w:hint="eastAsia"/>
        </w:rPr>
      </w:pPr>
    </w:p>
    <w:p>
      <w:pPr>
        <w:pStyle w:val="8"/>
        <w:bidi w:val="0"/>
        <w:rPr>
          <w:rFonts w:hint="eastAsia"/>
        </w:rPr>
      </w:pPr>
    </w:p>
    <w:p>
      <w:pPr>
        <w:pStyle w:val="8"/>
        <w:bidi w:val="0"/>
        <w:rPr>
          <w:rFonts w:hint="eastAsia"/>
        </w:rPr>
      </w:pPr>
    </w:p>
    <w:p>
      <w:pPr>
        <w:pStyle w:val="8"/>
        <w:bidi w:val="0"/>
        <w:rPr>
          <w:rFonts w:hint="eastAsia"/>
        </w:rPr>
      </w:pPr>
    </w:p>
    <w:p>
      <w:pPr>
        <w:pStyle w:val="8"/>
        <w:bidi w:val="0"/>
        <w:rPr>
          <w:rFonts w:hint="eastAsia"/>
        </w:rPr>
      </w:pPr>
    </w:p>
    <w:p>
      <w:pPr>
        <w:pStyle w:val="8"/>
        <w:bidi w:val="0"/>
        <w:rPr>
          <w:rFonts w:hint="eastAsia"/>
        </w:rPr>
      </w:pPr>
    </w:p>
    <w:p>
      <w:pPr>
        <w:pStyle w:val="8"/>
        <w:bidi w:val="0"/>
        <w:rPr>
          <w:rFonts w:hint="eastAsia"/>
        </w:rPr>
      </w:pPr>
    </w:p>
    <w:p>
      <w:pPr>
        <w:pStyle w:val="8"/>
        <w:bidi w:val="0"/>
        <w:rPr>
          <w:rFonts w:hint="eastAsia"/>
        </w:rPr>
      </w:pPr>
    </w:p>
    <w:p>
      <w:pPr>
        <w:pStyle w:val="8"/>
        <w:bidi w:val="0"/>
        <w:rPr>
          <w:rFonts w:hint="eastAsia"/>
        </w:rPr>
      </w:pPr>
    </w:p>
    <w:p>
      <w:pPr>
        <w:pStyle w:val="8"/>
        <w:bidi w:val="0"/>
        <w:rPr>
          <w:rFonts w:hint="eastAsia"/>
        </w:rPr>
      </w:pPr>
    </w:p>
    <w:p>
      <w:pPr>
        <w:pStyle w:val="8"/>
        <w:bidi w:val="0"/>
        <w:rPr>
          <w:rFonts w:hint="eastAsia"/>
        </w:rPr>
      </w:pPr>
    </w:p>
    <w:p>
      <w:pPr>
        <w:pStyle w:val="8"/>
        <w:bidi w:val="0"/>
        <w:rPr>
          <w:rFonts w:hint="eastAsia"/>
        </w:rPr>
      </w:pPr>
    </w:p>
    <w:p>
      <w:pPr>
        <w:spacing w:line="600" w:lineRule="exact"/>
        <w:jc w:val="center"/>
        <w:outlineLvl w:val="0"/>
        <w:rPr>
          <w:rFonts w:hint="eastAsia" w:ascii="Times New Roman" w:hAnsi="Times New Roman" w:eastAsia="方正小标宋简体" w:cs="方正小标宋简体"/>
          <w:b w:val="0"/>
          <w:bCs/>
          <w:kern w:val="44"/>
          <w:sz w:val="44"/>
          <w:szCs w:val="44"/>
          <w:lang w:val="en-US" w:eastAsia="zh-CN" w:bidi="ar-SA"/>
        </w:rPr>
      </w:pPr>
      <w:bookmarkStart w:id="59" w:name="_Toc2462"/>
      <w:r>
        <w:rPr>
          <w:rFonts w:hint="eastAsia" w:ascii="Times New Roman" w:hAnsi="Times New Roman" w:eastAsia="方正小标宋简体" w:cs="方正小标宋简体"/>
          <w:b w:val="0"/>
          <w:bCs/>
          <w:kern w:val="44"/>
          <w:sz w:val="44"/>
          <w:szCs w:val="44"/>
          <w:lang w:val="en-US" w:eastAsia="zh-CN" w:bidi="ar-SA"/>
        </w:rPr>
        <w:t>第三部分  名词解释</w:t>
      </w:r>
      <w:bookmarkEnd w:id="57"/>
      <w:bookmarkEnd w:id="58"/>
      <w:bookmarkEnd w:id="59"/>
    </w:p>
    <w:p>
      <w:pPr>
        <w:spacing w:line="600" w:lineRule="exact"/>
        <w:jc w:val="left"/>
        <w:rPr>
          <w:b/>
          <w:sz w:val="44"/>
          <w:szCs w:val="44"/>
        </w:rPr>
      </w:pPr>
    </w:p>
    <w:p>
      <w:pPr>
        <w:spacing w:line="600" w:lineRule="exact"/>
        <w:ind w:firstLine="640"/>
        <w:rPr>
          <w:rFonts w:eastAsia="仿宋_GB2312" w:cs="仿宋_GB2312"/>
          <w:sz w:val="32"/>
          <w:szCs w:val="32"/>
        </w:rPr>
      </w:pPr>
      <w:r>
        <w:rPr>
          <w:rFonts w:hint="eastAsia" w:eastAsia="仿宋_GB2312" w:cs="仿宋_GB2312"/>
          <w:sz w:val="32"/>
          <w:szCs w:val="32"/>
        </w:rPr>
        <w:t>1.财政拨款收入：指单位从同级财政部门取得的财政预算资金。</w:t>
      </w:r>
    </w:p>
    <w:p>
      <w:pPr>
        <w:spacing w:line="600" w:lineRule="exact"/>
        <w:ind w:firstLine="640"/>
        <w:rPr>
          <w:rFonts w:hint="eastAsia" w:ascii="Times New Roman" w:hAnsi="Times New Roman" w:eastAsia="仿宋_GB2312" w:cs="仿宋_GB2312"/>
          <w:sz w:val="32"/>
          <w:szCs w:val="32"/>
        </w:rPr>
      </w:pPr>
      <w:r>
        <w:rPr>
          <w:rFonts w:hint="eastAsia" w:eastAsia="仿宋_GB2312" w:cs="仿宋_GB2312"/>
          <w:sz w:val="32"/>
          <w:szCs w:val="32"/>
          <w:lang w:val="en-US" w:eastAsia="zh-CN"/>
        </w:rPr>
        <w:t>2</w:t>
      </w:r>
      <w:r>
        <w:rPr>
          <w:rFonts w:hint="eastAsia" w:ascii="Times New Roman" w:hAnsi="Times New Roman" w:eastAsia="仿宋_GB2312" w:cs="仿宋_GB2312"/>
          <w:sz w:val="32"/>
          <w:szCs w:val="32"/>
        </w:rPr>
        <w:t>.社会保障和就业支出（类）行政事业单位养老支出（款）机关事业单位基本养老保险缴费支出（项）</w:t>
      </w:r>
      <w:r>
        <w:rPr>
          <w:rFonts w:hint="eastAsia" w:ascii="Times New Roman" w:hAnsi="Times New Roman" w:eastAsia="仿宋_GB2312" w:cs="仿宋_GB2312"/>
          <w:sz w:val="32"/>
          <w:szCs w:val="32"/>
          <w:lang w:eastAsia="zh-CN"/>
        </w:rPr>
        <w:t>：</w:t>
      </w:r>
      <w:r>
        <w:rPr>
          <w:rFonts w:hint="eastAsia" w:ascii="Times New Roman" w:hAnsi="Times New Roman" w:eastAsia="仿宋_GB2312" w:cs="仿宋_GB2312"/>
          <w:sz w:val="32"/>
          <w:szCs w:val="32"/>
          <w:lang w:val="en-US" w:eastAsia="zh-CN"/>
        </w:rPr>
        <w:t>指</w:t>
      </w:r>
      <w:r>
        <w:rPr>
          <w:rFonts w:hint="eastAsia" w:ascii="Times New Roman" w:hAnsi="Times New Roman" w:eastAsia="仿宋_GB2312" w:cs="仿宋_GB2312"/>
          <w:sz w:val="32"/>
          <w:szCs w:val="32"/>
        </w:rPr>
        <w:t>反映机关事业单位实施养老保险制度由单位缴纳的基本养老保险费支出。</w:t>
      </w:r>
    </w:p>
    <w:p>
      <w:pPr>
        <w:spacing w:line="600" w:lineRule="exact"/>
        <w:ind w:firstLine="640"/>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lang w:val="en-US" w:eastAsia="zh-CN"/>
        </w:rPr>
        <w:t>3</w:t>
      </w:r>
      <w:r>
        <w:rPr>
          <w:rFonts w:hint="eastAsia" w:ascii="Times New Roman" w:hAnsi="Times New Roman" w:eastAsia="仿宋_GB2312" w:cs="仿宋_GB2312"/>
          <w:sz w:val="32"/>
          <w:szCs w:val="32"/>
        </w:rPr>
        <w:t>.社会保障和就业支出（类）行政事业单位养老支出（款）机关事业单位职业年金缴费支出（项）</w:t>
      </w:r>
      <w:r>
        <w:rPr>
          <w:rFonts w:hint="eastAsia" w:ascii="Times New Roman" w:hAnsi="Times New Roman" w:eastAsia="仿宋_GB2312" w:cs="仿宋_GB2312"/>
          <w:sz w:val="32"/>
          <w:szCs w:val="32"/>
          <w:lang w:eastAsia="zh-CN"/>
        </w:rPr>
        <w:t>：</w:t>
      </w:r>
      <w:r>
        <w:rPr>
          <w:rFonts w:hint="eastAsia" w:ascii="Times New Roman" w:hAnsi="Times New Roman" w:eastAsia="仿宋_GB2312" w:cs="仿宋_GB2312"/>
          <w:sz w:val="32"/>
          <w:szCs w:val="32"/>
          <w:lang w:val="en-US" w:eastAsia="zh-CN"/>
        </w:rPr>
        <w:t>指反映机关事业单位实施养老保险制度由单位实际缴纳的职业年金支出</w:t>
      </w:r>
      <w:r>
        <w:rPr>
          <w:rFonts w:hint="eastAsia" w:ascii="Times New Roman" w:hAnsi="Times New Roman" w:eastAsia="仿宋_GB2312" w:cs="仿宋_GB2312"/>
          <w:sz w:val="32"/>
          <w:szCs w:val="32"/>
        </w:rPr>
        <w:t>。</w:t>
      </w:r>
    </w:p>
    <w:p>
      <w:pPr>
        <w:spacing w:line="600" w:lineRule="exact"/>
        <w:ind w:firstLine="640"/>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lang w:val="en-US" w:eastAsia="zh-CN"/>
        </w:rPr>
        <w:t>4</w:t>
      </w:r>
      <w:r>
        <w:rPr>
          <w:rFonts w:hint="eastAsia" w:ascii="Times New Roman" w:hAnsi="Times New Roman" w:eastAsia="仿宋_GB2312" w:cs="仿宋_GB2312"/>
          <w:sz w:val="32"/>
          <w:szCs w:val="32"/>
        </w:rPr>
        <w:t>.卫生健康支出（类）行政事业单位医疗（款）事业单位医疗（项）</w:t>
      </w:r>
      <w:r>
        <w:rPr>
          <w:rFonts w:hint="eastAsia" w:ascii="Times New Roman" w:hAnsi="Times New Roman" w:eastAsia="仿宋_GB2312" w:cs="仿宋_GB2312"/>
          <w:sz w:val="32"/>
          <w:szCs w:val="32"/>
          <w:lang w:eastAsia="zh-CN"/>
        </w:rPr>
        <w:t>：</w:t>
      </w:r>
      <w:r>
        <w:rPr>
          <w:rFonts w:hint="eastAsia" w:ascii="Times New Roman" w:hAnsi="Times New Roman" w:eastAsia="仿宋_GB2312" w:cs="仿宋_GB2312"/>
          <w:sz w:val="32"/>
          <w:szCs w:val="32"/>
          <w:lang w:val="en-US" w:eastAsia="zh-CN"/>
        </w:rPr>
        <w:t>指</w:t>
      </w:r>
      <w:r>
        <w:rPr>
          <w:rFonts w:hint="eastAsia" w:ascii="Times New Roman" w:hAnsi="Times New Roman" w:eastAsia="仿宋_GB2312" w:cs="仿宋_GB2312"/>
          <w:sz w:val="32"/>
          <w:szCs w:val="32"/>
        </w:rPr>
        <w:t>反映财政部门安排的事业单位基本医疗保险缴费经费，未参加医疗保险的事业单位的公费医疗经费，按国家规定享受离休 人员待遇的医疗经费。</w:t>
      </w:r>
    </w:p>
    <w:p>
      <w:pPr>
        <w:spacing w:line="600" w:lineRule="exact"/>
        <w:ind w:firstLine="64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5</w:t>
      </w:r>
      <w:r>
        <w:rPr>
          <w:rFonts w:hint="eastAsia" w:ascii="Times New Roman" w:hAnsi="Times New Roman" w:eastAsia="仿宋_GB2312" w:cs="仿宋_GB2312"/>
          <w:sz w:val="32"/>
          <w:szCs w:val="32"/>
        </w:rPr>
        <w:t>.卫生健康支出（类）行政事业单位医疗（款）其他行政事业单位医疗支出（项）</w:t>
      </w:r>
      <w:r>
        <w:rPr>
          <w:rFonts w:hint="eastAsia" w:ascii="Times New Roman" w:hAnsi="Times New Roman" w:eastAsia="仿宋_GB2312" w:cs="仿宋_GB2312"/>
          <w:sz w:val="32"/>
          <w:szCs w:val="32"/>
          <w:lang w:eastAsia="zh-CN"/>
        </w:rPr>
        <w:t>：</w:t>
      </w:r>
      <w:r>
        <w:rPr>
          <w:rFonts w:hint="eastAsia" w:ascii="Times New Roman" w:hAnsi="Times New Roman" w:eastAsia="仿宋_GB2312" w:cs="仿宋_GB2312"/>
          <w:sz w:val="32"/>
          <w:szCs w:val="32"/>
          <w:lang w:val="en-US" w:eastAsia="zh-CN"/>
        </w:rPr>
        <w:t>指</w:t>
      </w:r>
      <w:r>
        <w:rPr>
          <w:rFonts w:hint="eastAsia" w:ascii="Times New Roman" w:hAnsi="Times New Roman" w:eastAsia="仿宋_GB2312" w:cs="仿宋_GB2312"/>
          <w:sz w:val="32"/>
          <w:szCs w:val="32"/>
        </w:rPr>
        <w:t>反映除上述项目以外的其</w:t>
      </w:r>
      <w:r>
        <w:rPr>
          <w:rFonts w:hint="eastAsia" w:ascii="Times New Roman" w:hAnsi="Times New Roman" w:eastAsia="仿宋_GB2312" w:cs="仿宋_GB2312"/>
          <w:sz w:val="32"/>
          <w:szCs w:val="32"/>
          <w:lang w:val="en-US" w:eastAsia="zh-CN"/>
        </w:rPr>
        <w:t>他用于行政事业单位医疗方面的支出。</w:t>
      </w:r>
    </w:p>
    <w:p>
      <w:pPr>
        <w:spacing w:line="600" w:lineRule="exact"/>
        <w:ind w:firstLine="640"/>
        <w:rPr>
          <w:rFonts w:hint="eastAsia" w:ascii="Times New Roman" w:hAnsi="Times New Roman" w:eastAsia="仿宋_GB2312" w:cs="仿宋_GB2312"/>
          <w:sz w:val="32"/>
          <w:szCs w:val="32"/>
          <w:lang w:val="en-US"/>
        </w:rPr>
      </w:pPr>
      <w:r>
        <w:rPr>
          <w:rFonts w:hint="eastAsia" w:ascii="Times New Roman" w:hAnsi="Times New Roman" w:eastAsia="仿宋_GB2312" w:cs="仿宋_GB2312"/>
          <w:sz w:val="32"/>
          <w:szCs w:val="32"/>
          <w:lang w:val="en-US" w:eastAsia="zh-CN"/>
        </w:rPr>
        <w:t>6.交通运输支出（类）公路水路运输（款）公路建设（项）：指反映新建公路支出，公路改建支出，特大型桥梁建设支出，公路客货运站(场)建设支出。</w:t>
      </w:r>
    </w:p>
    <w:p>
      <w:pPr>
        <w:spacing w:line="600" w:lineRule="exact"/>
        <w:ind w:firstLine="640"/>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lang w:val="en-US" w:eastAsia="zh-CN"/>
        </w:rPr>
        <w:t>7</w:t>
      </w:r>
      <w:r>
        <w:rPr>
          <w:rFonts w:hint="eastAsia" w:ascii="Times New Roman" w:hAnsi="Times New Roman" w:eastAsia="仿宋_GB2312" w:cs="仿宋_GB2312"/>
          <w:sz w:val="32"/>
          <w:szCs w:val="32"/>
        </w:rPr>
        <w:t>.交通运输支出（类）公路水路运输（款）公路养护（项）</w:t>
      </w:r>
      <w:r>
        <w:rPr>
          <w:rFonts w:hint="eastAsia" w:ascii="Times New Roman" w:hAnsi="Times New Roman" w:eastAsia="仿宋_GB2312" w:cs="仿宋_GB2312"/>
          <w:sz w:val="32"/>
          <w:szCs w:val="32"/>
          <w:lang w:eastAsia="zh-CN"/>
        </w:rPr>
        <w:t>：</w:t>
      </w:r>
      <w:r>
        <w:rPr>
          <w:rFonts w:hint="eastAsia" w:ascii="Times New Roman" w:hAnsi="Times New Roman" w:eastAsia="仿宋_GB2312" w:cs="仿宋_GB2312"/>
          <w:sz w:val="32"/>
          <w:szCs w:val="32"/>
          <w:lang w:val="en-US" w:eastAsia="zh-CN"/>
        </w:rPr>
        <w:t>指</w:t>
      </w:r>
      <w:r>
        <w:rPr>
          <w:rFonts w:hint="eastAsia" w:ascii="Times New Roman" w:hAnsi="Times New Roman" w:eastAsia="仿宋_GB2312" w:cs="仿宋_GB2312"/>
          <w:sz w:val="32"/>
          <w:szCs w:val="32"/>
        </w:rPr>
        <w:t>反映公路养护支出。</w:t>
      </w:r>
    </w:p>
    <w:p>
      <w:pPr>
        <w:spacing w:line="600" w:lineRule="exact"/>
        <w:ind w:firstLine="640"/>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lang w:val="en-US" w:eastAsia="zh-CN"/>
        </w:rPr>
        <w:t>8</w:t>
      </w:r>
      <w:r>
        <w:rPr>
          <w:rFonts w:hint="eastAsia" w:ascii="Times New Roman" w:hAnsi="Times New Roman" w:eastAsia="仿宋_GB2312" w:cs="仿宋_GB2312"/>
          <w:sz w:val="32"/>
          <w:szCs w:val="32"/>
        </w:rPr>
        <w:t>.交通运输支出（类）公路水路运输（款）其他公路水路运输支出（项）</w:t>
      </w:r>
      <w:r>
        <w:rPr>
          <w:rFonts w:hint="eastAsia" w:ascii="Times New Roman" w:hAnsi="Times New Roman" w:eastAsia="仿宋_GB2312" w:cs="仿宋_GB2312"/>
          <w:sz w:val="32"/>
          <w:szCs w:val="32"/>
          <w:lang w:eastAsia="zh-CN"/>
        </w:rPr>
        <w:t>：</w:t>
      </w:r>
      <w:r>
        <w:rPr>
          <w:rFonts w:hint="eastAsia" w:ascii="Times New Roman" w:hAnsi="Times New Roman" w:eastAsia="仿宋_GB2312" w:cs="仿宋_GB2312"/>
          <w:sz w:val="32"/>
          <w:szCs w:val="32"/>
          <w:lang w:val="en-US" w:eastAsia="zh-CN"/>
        </w:rPr>
        <w:t>指</w:t>
      </w:r>
      <w:r>
        <w:rPr>
          <w:rFonts w:hint="eastAsia" w:ascii="Times New Roman" w:hAnsi="Times New Roman" w:eastAsia="仿宋_GB2312" w:cs="仿宋_GB2312"/>
          <w:sz w:val="32"/>
          <w:szCs w:val="32"/>
        </w:rPr>
        <w:t>反映除上述项目以外其他用于公路水路运输方面的支出。</w:t>
      </w:r>
    </w:p>
    <w:p>
      <w:pPr>
        <w:spacing w:line="600" w:lineRule="exact"/>
        <w:ind w:firstLine="640"/>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lang w:val="en-US" w:eastAsia="zh-CN"/>
        </w:rPr>
        <w:t>9</w:t>
      </w:r>
      <w:r>
        <w:rPr>
          <w:rFonts w:hint="eastAsia" w:ascii="Times New Roman" w:hAnsi="Times New Roman" w:eastAsia="仿宋_GB2312" w:cs="仿宋_GB2312"/>
          <w:sz w:val="32"/>
          <w:szCs w:val="32"/>
        </w:rPr>
        <w:t>.交通运输支出（类）其他交通运输支出（款）其他交通运输支出（项）</w:t>
      </w:r>
      <w:r>
        <w:rPr>
          <w:rFonts w:hint="eastAsia" w:ascii="Times New Roman" w:hAnsi="Times New Roman" w:eastAsia="仿宋_GB2312" w:cs="仿宋_GB2312"/>
          <w:sz w:val="32"/>
          <w:szCs w:val="32"/>
          <w:lang w:eastAsia="zh-CN"/>
        </w:rPr>
        <w:t>：</w:t>
      </w:r>
      <w:r>
        <w:rPr>
          <w:rFonts w:hint="eastAsia" w:ascii="Times New Roman" w:hAnsi="Times New Roman" w:eastAsia="仿宋_GB2312" w:cs="仿宋_GB2312"/>
          <w:sz w:val="32"/>
          <w:szCs w:val="32"/>
          <w:lang w:val="en-US" w:eastAsia="zh-CN"/>
        </w:rPr>
        <w:t>指反映其他交通运输支出中除对公共交通运营补助以外的其他支出。</w:t>
      </w:r>
    </w:p>
    <w:p>
      <w:pPr>
        <w:spacing w:line="600" w:lineRule="exact"/>
        <w:ind w:firstLine="640"/>
        <w:rPr>
          <w:rFonts w:hint="eastAsia" w:ascii="Times New Roman" w:hAnsi="Times New Roman" w:eastAsia="仿宋_GB2312" w:cs="仿宋_GB2312"/>
          <w:sz w:val="32"/>
          <w:szCs w:val="32"/>
          <w:lang w:val="en-US" w:eastAsia="zh-CN"/>
        </w:rPr>
      </w:pPr>
      <w:r>
        <w:rPr>
          <w:rFonts w:hint="eastAsia" w:ascii="Times New Roman" w:hAnsi="Times New Roman" w:eastAsia="仿宋_GB2312" w:cs="仿宋_GB2312"/>
          <w:sz w:val="32"/>
          <w:szCs w:val="32"/>
          <w:lang w:val="en-US" w:eastAsia="zh-CN"/>
        </w:rPr>
        <w:t>10.</w:t>
      </w:r>
      <w:r>
        <w:rPr>
          <w:rFonts w:hint="eastAsia" w:ascii="Times New Roman" w:hAnsi="Times New Roman" w:eastAsia="仿宋_GB2312" w:cs="仿宋_GB2312"/>
          <w:sz w:val="32"/>
          <w:szCs w:val="32"/>
        </w:rPr>
        <w:t>住房保障支出（类）住房改革支出（款）住房公积金（项）</w:t>
      </w:r>
      <w:r>
        <w:rPr>
          <w:rFonts w:hint="eastAsia" w:ascii="Times New Roman" w:hAnsi="Times New Roman" w:eastAsia="仿宋_GB2312" w:cs="仿宋_GB2312"/>
          <w:sz w:val="32"/>
          <w:szCs w:val="32"/>
          <w:lang w:eastAsia="zh-CN"/>
        </w:rPr>
        <w:t>：</w:t>
      </w:r>
      <w:r>
        <w:rPr>
          <w:rFonts w:hint="eastAsia" w:ascii="Times New Roman" w:hAnsi="Times New Roman" w:eastAsia="仿宋_GB2312" w:cs="仿宋_GB2312"/>
          <w:sz w:val="32"/>
          <w:szCs w:val="32"/>
          <w:lang w:val="en-US" w:eastAsia="zh-CN"/>
        </w:rPr>
        <w:t>指</w:t>
      </w:r>
      <w:r>
        <w:rPr>
          <w:rFonts w:hint="eastAsia" w:ascii="Times New Roman" w:hAnsi="Times New Roman" w:eastAsia="仿宋_GB2312" w:cs="仿宋_GB2312"/>
          <w:sz w:val="32"/>
          <w:szCs w:val="32"/>
        </w:rPr>
        <w:t>反映行政事业单位按人力资源和社会保障部、财政部规定的 基本工资和津贴补贴以及规定比例为职工缴纳的住房公积金</w:t>
      </w:r>
      <w:r>
        <w:rPr>
          <w:rFonts w:hint="eastAsia" w:ascii="Times New Roman" w:hAnsi="Times New Roman" w:eastAsia="仿宋_GB2312" w:cs="仿宋_GB2312"/>
          <w:sz w:val="32"/>
          <w:szCs w:val="32"/>
          <w:lang w:val="en-US" w:eastAsia="zh-CN"/>
        </w:rPr>
        <w:t>。</w:t>
      </w:r>
    </w:p>
    <w:p>
      <w:pPr>
        <w:spacing w:line="600" w:lineRule="exact"/>
        <w:ind w:firstLine="640"/>
        <w:rPr>
          <w:rFonts w:hint="eastAsia"/>
        </w:rPr>
      </w:pPr>
      <w:r>
        <w:rPr>
          <w:rFonts w:hint="eastAsia" w:ascii="Times New Roman" w:hAnsi="Times New Roman" w:eastAsia="仿宋_GB2312" w:cs="仿宋_GB2312"/>
          <w:sz w:val="32"/>
          <w:szCs w:val="32"/>
          <w:lang w:val="en-US" w:eastAsia="zh-CN"/>
        </w:rPr>
        <w:t>11.</w:t>
      </w:r>
      <w:r>
        <w:rPr>
          <w:rFonts w:hint="eastAsia" w:ascii="Times New Roman" w:hAnsi="Times New Roman" w:eastAsia="仿宋_GB2312" w:cs="仿宋_GB2312"/>
          <w:sz w:val="32"/>
          <w:szCs w:val="32"/>
        </w:rPr>
        <w:t>住房保障支出（类）住房改革支出（款）购房补贴（项）</w:t>
      </w:r>
      <w:r>
        <w:rPr>
          <w:rFonts w:hint="eastAsia" w:ascii="Times New Roman" w:hAnsi="Times New Roman" w:eastAsia="仿宋_GB2312" w:cs="仿宋_GB2312"/>
          <w:sz w:val="32"/>
          <w:szCs w:val="32"/>
          <w:lang w:eastAsia="zh-CN"/>
        </w:rPr>
        <w:t>：指反映按房改政策规定，行政事业单位向符合条件的职工（含离退休人员）、军队（含武警）向转役复员离退休人员发放的用于购买住房的补贴。</w:t>
      </w:r>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12</w:t>
      </w:r>
      <w:r>
        <w:rPr>
          <w:rFonts w:hint="eastAsia" w:eastAsia="仿宋_GB2312" w:cs="仿宋_GB2312"/>
          <w:sz w:val="32"/>
          <w:szCs w:val="32"/>
        </w:rPr>
        <w:t>.基本支出：指为保障机构正常运转、完成日常工作任务而发生的人员支出和公用支出。</w:t>
      </w:r>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13</w:t>
      </w:r>
      <w:r>
        <w:rPr>
          <w:rFonts w:hint="eastAsia" w:eastAsia="仿宋_GB2312" w:cs="仿宋_GB2312"/>
          <w:sz w:val="32"/>
          <w:szCs w:val="32"/>
        </w:rPr>
        <w:t xml:space="preserve">.项目支出：指在基本支出之外为完成特定行政任务和事业发展目标所发生的支出。 </w:t>
      </w:r>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14</w:t>
      </w:r>
      <w:r>
        <w:rPr>
          <w:rFonts w:hint="eastAsia" w:eastAsia="仿宋_GB2312" w:cs="仿宋_GB2312"/>
          <w:sz w:val="32"/>
          <w:szCs w:val="32"/>
        </w:rPr>
        <w:t>.“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pPr>
        <w:spacing w:line="600" w:lineRule="exact"/>
        <w:jc w:val="center"/>
        <w:outlineLvl w:val="0"/>
        <w:rPr>
          <w:rStyle w:val="28"/>
          <w:rFonts w:eastAsia="黑体"/>
          <w:b w:val="0"/>
        </w:rPr>
      </w:pPr>
      <w:bookmarkStart w:id="60" w:name="_Toc15377226"/>
      <w:r>
        <w:rPr>
          <w:rFonts w:hint="eastAsia" w:eastAsia="仿宋_GB2312" w:cs="仿宋_GB2312"/>
          <w:sz w:val="32"/>
          <w:szCs w:val="32"/>
        </w:rPr>
        <w:br w:type="page"/>
      </w:r>
      <w:bookmarkStart w:id="61" w:name="_Toc15396614"/>
      <w:bookmarkStart w:id="62" w:name="_Toc17731"/>
      <w:r>
        <w:rPr>
          <w:rFonts w:hint="eastAsia" w:ascii="Times New Roman" w:hAnsi="Times New Roman" w:eastAsia="方正小标宋简体" w:cs="方正小标宋简体"/>
          <w:b w:val="0"/>
          <w:bCs/>
          <w:kern w:val="44"/>
          <w:sz w:val="44"/>
          <w:szCs w:val="44"/>
          <w:lang w:val="en-US" w:eastAsia="zh-CN" w:bidi="ar-SA"/>
        </w:rPr>
        <w:t>第四部分  附件</w:t>
      </w:r>
      <w:bookmarkEnd w:id="61"/>
      <w:bookmarkEnd w:id="62"/>
    </w:p>
    <w:p>
      <w:pPr>
        <w:spacing w:line="600" w:lineRule="exact"/>
        <w:ind w:firstLine="640"/>
        <w:jc w:val="center"/>
        <w:rPr>
          <w:rFonts w:ascii="Times New Roman" w:cs="宋体"/>
          <w:color w:val="FF0000"/>
          <w:sz w:val="32"/>
          <w:szCs w:val="32"/>
          <w:highlight w:val="yellow"/>
          <w:shd w:val="clear" w:color="auto" w:fill="FFFFFF"/>
          <w:lang w:val="zh-CN"/>
        </w:rPr>
      </w:pPr>
      <w:r>
        <w:rPr>
          <w:rFonts w:hint="eastAsia" w:ascii="Times New Roman" w:hAnsi="Times New Roman" w:eastAsia="仿宋_GB2312" w:cs="仿宋_GB2312"/>
          <w:sz w:val="32"/>
          <w:szCs w:val="32"/>
        </w:rPr>
        <w:t>单位预算项目支出绩效自评表（2024年度）</w:t>
      </w:r>
    </w:p>
    <w:p>
      <w:pPr>
        <w:rPr>
          <w:rFonts w:eastAsia="黑体" w:cs="黑体"/>
          <w:kern w:val="0"/>
          <w:sz w:val="32"/>
          <w:szCs w:val="32"/>
          <w:shd w:val="clear" w:color="auto" w:fill="FFFFFF"/>
          <w:lang w:val="zh-CN"/>
        </w:rPr>
      </w:pPr>
      <w:r>
        <w:drawing>
          <wp:inline distT="0" distB="0" distL="114300" distR="114300">
            <wp:extent cx="5313680" cy="4025900"/>
            <wp:effectExtent l="0" t="0" r="127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5313680" cy="4025900"/>
                    </a:xfrm>
                    <a:prstGeom prst="rect">
                      <a:avLst/>
                    </a:prstGeom>
                    <a:noFill/>
                    <a:ln>
                      <a:noFill/>
                    </a:ln>
                  </pic:spPr>
                </pic:pic>
              </a:graphicData>
            </a:graphic>
          </wp:inline>
        </w:drawing>
      </w:r>
      <w:r>
        <w:drawing>
          <wp:inline distT="0" distB="0" distL="114300" distR="114300">
            <wp:extent cx="5314315" cy="3615055"/>
            <wp:effectExtent l="0" t="0" r="635"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5314315" cy="3615055"/>
                    </a:xfrm>
                    <a:prstGeom prst="rect">
                      <a:avLst/>
                    </a:prstGeom>
                    <a:noFill/>
                    <a:ln>
                      <a:noFill/>
                    </a:ln>
                  </pic:spPr>
                </pic:pic>
              </a:graphicData>
            </a:graphic>
          </wp:inline>
        </w:drawing>
      </w:r>
      <w:r>
        <w:drawing>
          <wp:inline distT="0" distB="0" distL="114300" distR="114300">
            <wp:extent cx="5266690" cy="4227830"/>
            <wp:effectExtent l="0" t="0" r="1016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8"/>
                    <a:stretch>
                      <a:fillRect/>
                    </a:stretch>
                  </pic:blipFill>
                  <pic:spPr>
                    <a:xfrm>
                      <a:off x="0" y="0"/>
                      <a:ext cx="5266690" cy="4227830"/>
                    </a:xfrm>
                    <a:prstGeom prst="rect">
                      <a:avLst/>
                    </a:prstGeom>
                    <a:noFill/>
                    <a:ln>
                      <a:noFill/>
                    </a:ln>
                  </pic:spPr>
                </pic:pic>
              </a:graphicData>
            </a:graphic>
          </wp:inline>
        </w:drawing>
      </w:r>
      <w:r>
        <w:drawing>
          <wp:inline distT="0" distB="0" distL="114300" distR="114300">
            <wp:extent cx="5266690" cy="4283075"/>
            <wp:effectExtent l="0" t="0" r="1016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9"/>
                    <a:stretch>
                      <a:fillRect/>
                    </a:stretch>
                  </pic:blipFill>
                  <pic:spPr>
                    <a:xfrm>
                      <a:off x="0" y="0"/>
                      <a:ext cx="5266690" cy="4283075"/>
                    </a:xfrm>
                    <a:prstGeom prst="rect">
                      <a:avLst/>
                    </a:prstGeom>
                    <a:noFill/>
                    <a:ln>
                      <a:noFill/>
                    </a:ln>
                  </pic:spPr>
                </pic:pic>
              </a:graphicData>
            </a:graphic>
          </wp:inline>
        </w:drawing>
      </w:r>
      <w:r>
        <w:drawing>
          <wp:inline distT="0" distB="0" distL="114300" distR="114300">
            <wp:extent cx="5266690" cy="4123055"/>
            <wp:effectExtent l="0" t="0" r="10160" b="1079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0"/>
                    <a:stretch>
                      <a:fillRect/>
                    </a:stretch>
                  </pic:blipFill>
                  <pic:spPr>
                    <a:xfrm>
                      <a:off x="0" y="0"/>
                      <a:ext cx="5266690" cy="4123055"/>
                    </a:xfrm>
                    <a:prstGeom prst="rect">
                      <a:avLst/>
                    </a:prstGeom>
                    <a:noFill/>
                    <a:ln>
                      <a:noFill/>
                    </a:ln>
                  </pic:spPr>
                </pic:pic>
              </a:graphicData>
            </a:graphic>
          </wp:inline>
        </w:drawing>
      </w:r>
      <w:r>
        <w:drawing>
          <wp:inline distT="0" distB="0" distL="114300" distR="114300">
            <wp:extent cx="5266690" cy="4469765"/>
            <wp:effectExtent l="0" t="0" r="1016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1"/>
                    <a:stretch>
                      <a:fillRect/>
                    </a:stretch>
                  </pic:blipFill>
                  <pic:spPr>
                    <a:xfrm>
                      <a:off x="0" y="0"/>
                      <a:ext cx="5266690" cy="4469765"/>
                    </a:xfrm>
                    <a:prstGeom prst="rect">
                      <a:avLst/>
                    </a:prstGeom>
                    <a:noFill/>
                    <a:ln>
                      <a:noFill/>
                    </a:ln>
                  </pic:spPr>
                </pic:pic>
              </a:graphicData>
            </a:graphic>
          </wp:inline>
        </w:drawing>
      </w:r>
      <w:r>
        <w:drawing>
          <wp:inline distT="0" distB="0" distL="114300" distR="114300">
            <wp:extent cx="5390515" cy="3935730"/>
            <wp:effectExtent l="0" t="0" r="635"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2"/>
                    <a:stretch>
                      <a:fillRect/>
                    </a:stretch>
                  </pic:blipFill>
                  <pic:spPr>
                    <a:xfrm>
                      <a:off x="0" y="0"/>
                      <a:ext cx="5390515" cy="3935730"/>
                    </a:xfrm>
                    <a:prstGeom prst="rect">
                      <a:avLst/>
                    </a:prstGeom>
                    <a:noFill/>
                    <a:ln>
                      <a:noFill/>
                    </a:ln>
                  </pic:spPr>
                </pic:pic>
              </a:graphicData>
            </a:graphic>
          </wp:inline>
        </w:drawing>
      </w:r>
      <w:r>
        <w:drawing>
          <wp:inline distT="0" distB="0" distL="114300" distR="114300">
            <wp:extent cx="5390515" cy="4689475"/>
            <wp:effectExtent l="0" t="0" r="635" b="158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3"/>
                    <a:stretch>
                      <a:fillRect/>
                    </a:stretch>
                  </pic:blipFill>
                  <pic:spPr>
                    <a:xfrm>
                      <a:off x="0" y="0"/>
                      <a:ext cx="5390515" cy="4689475"/>
                    </a:xfrm>
                    <a:prstGeom prst="rect">
                      <a:avLst/>
                    </a:prstGeom>
                    <a:noFill/>
                    <a:ln>
                      <a:noFill/>
                    </a:ln>
                  </pic:spPr>
                </pic:pic>
              </a:graphicData>
            </a:graphic>
          </wp:inline>
        </w:drawing>
      </w:r>
      <w:r>
        <w:drawing>
          <wp:inline distT="0" distB="0" distL="114300" distR="114300">
            <wp:extent cx="5266690" cy="4184015"/>
            <wp:effectExtent l="0" t="0" r="1016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4"/>
                    <a:stretch>
                      <a:fillRect/>
                    </a:stretch>
                  </pic:blipFill>
                  <pic:spPr>
                    <a:xfrm>
                      <a:off x="0" y="0"/>
                      <a:ext cx="5266690" cy="4184015"/>
                    </a:xfrm>
                    <a:prstGeom prst="rect">
                      <a:avLst/>
                    </a:prstGeom>
                    <a:noFill/>
                    <a:ln>
                      <a:noFill/>
                    </a:ln>
                  </pic:spPr>
                </pic:pic>
              </a:graphicData>
            </a:graphic>
          </wp:inline>
        </w:drawing>
      </w:r>
      <w:r>
        <w:drawing>
          <wp:inline distT="0" distB="0" distL="114300" distR="114300">
            <wp:extent cx="5266690" cy="4366895"/>
            <wp:effectExtent l="0" t="0" r="10160" b="146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5"/>
                    <a:stretch>
                      <a:fillRect/>
                    </a:stretch>
                  </pic:blipFill>
                  <pic:spPr>
                    <a:xfrm>
                      <a:off x="0" y="0"/>
                      <a:ext cx="5266690" cy="4366895"/>
                    </a:xfrm>
                    <a:prstGeom prst="rect">
                      <a:avLst/>
                    </a:prstGeom>
                    <a:noFill/>
                    <a:ln>
                      <a:noFill/>
                    </a:ln>
                  </pic:spPr>
                </pic:pic>
              </a:graphicData>
            </a:graphic>
          </wp:inline>
        </w:drawing>
      </w:r>
      <w:r>
        <w:drawing>
          <wp:inline distT="0" distB="0" distL="114300" distR="114300">
            <wp:extent cx="5266690" cy="4164330"/>
            <wp:effectExtent l="0" t="0" r="1016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6"/>
                    <a:stretch>
                      <a:fillRect/>
                    </a:stretch>
                  </pic:blipFill>
                  <pic:spPr>
                    <a:xfrm>
                      <a:off x="0" y="0"/>
                      <a:ext cx="5266690" cy="4164330"/>
                    </a:xfrm>
                    <a:prstGeom prst="rect">
                      <a:avLst/>
                    </a:prstGeom>
                    <a:noFill/>
                    <a:ln>
                      <a:noFill/>
                    </a:ln>
                  </pic:spPr>
                </pic:pic>
              </a:graphicData>
            </a:graphic>
          </wp:inline>
        </w:drawing>
      </w:r>
      <w:r>
        <w:drawing>
          <wp:inline distT="0" distB="0" distL="114300" distR="114300">
            <wp:extent cx="5266690" cy="4414520"/>
            <wp:effectExtent l="0" t="0" r="10160"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7"/>
                    <a:stretch>
                      <a:fillRect/>
                    </a:stretch>
                  </pic:blipFill>
                  <pic:spPr>
                    <a:xfrm>
                      <a:off x="0" y="0"/>
                      <a:ext cx="5266690" cy="4414520"/>
                    </a:xfrm>
                    <a:prstGeom prst="rect">
                      <a:avLst/>
                    </a:prstGeom>
                    <a:noFill/>
                    <a:ln>
                      <a:noFill/>
                    </a:ln>
                  </pic:spPr>
                </pic:pic>
              </a:graphicData>
            </a:graphic>
          </wp:inline>
        </w:drawing>
      </w:r>
      <w:r>
        <w:drawing>
          <wp:inline distT="0" distB="0" distL="114300" distR="114300">
            <wp:extent cx="5266690" cy="4100195"/>
            <wp:effectExtent l="0" t="0" r="10160" b="146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8"/>
                    <a:stretch>
                      <a:fillRect/>
                    </a:stretch>
                  </pic:blipFill>
                  <pic:spPr>
                    <a:xfrm>
                      <a:off x="0" y="0"/>
                      <a:ext cx="5266690" cy="4100195"/>
                    </a:xfrm>
                    <a:prstGeom prst="rect">
                      <a:avLst/>
                    </a:prstGeom>
                    <a:noFill/>
                    <a:ln>
                      <a:noFill/>
                    </a:ln>
                  </pic:spPr>
                </pic:pic>
              </a:graphicData>
            </a:graphic>
          </wp:inline>
        </w:drawing>
      </w:r>
      <w:r>
        <w:drawing>
          <wp:inline distT="0" distB="0" distL="114300" distR="114300">
            <wp:extent cx="5266690" cy="4493895"/>
            <wp:effectExtent l="0" t="0" r="1016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9"/>
                    <a:stretch>
                      <a:fillRect/>
                    </a:stretch>
                  </pic:blipFill>
                  <pic:spPr>
                    <a:xfrm>
                      <a:off x="0" y="0"/>
                      <a:ext cx="5266690" cy="4493895"/>
                    </a:xfrm>
                    <a:prstGeom prst="rect">
                      <a:avLst/>
                    </a:prstGeom>
                    <a:noFill/>
                    <a:ln>
                      <a:noFill/>
                    </a:ln>
                  </pic:spPr>
                </pic:pic>
              </a:graphicData>
            </a:graphic>
          </wp:inline>
        </w:drawing>
      </w:r>
      <w:r>
        <w:drawing>
          <wp:inline distT="0" distB="0" distL="114300" distR="114300">
            <wp:extent cx="5266690" cy="4046855"/>
            <wp:effectExtent l="0" t="0" r="10160" b="1079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0"/>
                    <a:stretch>
                      <a:fillRect/>
                    </a:stretch>
                  </pic:blipFill>
                  <pic:spPr>
                    <a:xfrm>
                      <a:off x="0" y="0"/>
                      <a:ext cx="5266690" cy="4046855"/>
                    </a:xfrm>
                    <a:prstGeom prst="rect">
                      <a:avLst/>
                    </a:prstGeom>
                    <a:noFill/>
                    <a:ln>
                      <a:noFill/>
                    </a:ln>
                  </pic:spPr>
                </pic:pic>
              </a:graphicData>
            </a:graphic>
          </wp:inline>
        </w:drawing>
      </w:r>
      <w:r>
        <w:drawing>
          <wp:inline distT="0" distB="0" distL="114300" distR="114300">
            <wp:extent cx="5266690" cy="4473575"/>
            <wp:effectExtent l="0" t="0" r="1016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1"/>
                    <a:stretch>
                      <a:fillRect/>
                    </a:stretch>
                  </pic:blipFill>
                  <pic:spPr>
                    <a:xfrm>
                      <a:off x="0" y="0"/>
                      <a:ext cx="5266690" cy="4473575"/>
                    </a:xfrm>
                    <a:prstGeom prst="rect">
                      <a:avLst/>
                    </a:prstGeom>
                    <a:noFill/>
                    <a:ln>
                      <a:noFill/>
                    </a:ln>
                  </pic:spPr>
                </pic:pic>
              </a:graphicData>
            </a:graphic>
          </wp:inline>
        </w:drawing>
      </w:r>
      <w:r>
        <w:drawing>
          <wp:inline distT="0" distB="0" distL="114300" distR="114300">
            <wp:extent cx="5266690" cy="4511675"/>
            <wp:effectExtent l="0" t="0" r="10160"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2"/>
                    <a:stretch>
                      <a:fillRect/>
                    </a:stretch>
                  </pic:blipFill>
                  <pic:spPr>
                    <a:xfrm>
                      <a:off x="0" y="0"/>
                      <a:ext cx="5266690" cy="4511675"/>
                    </a:xfrm>
                    <a:prstGeom prst="rect">
                      <a:avLst/>
                    </a:prstGeom>
                    <a:noFill/>
                    <a:ln>
                      <a:noFill/>
                    </a:ln>
                  </pic:spPr>
                </pic:pic>
              </a:graphicData>
            </a:graphic>
          </wp:inline>
        </w:drawing>
      </w:r>
      <w:r>
        <w:drawing>
          <wp:inline distT="0" distB="0" distL="114300" distR="114300">
            <wp:extent cx="5266690" cy="4196080"/>
            <wp:effectExtent l="0" t="0" r="10160" b="139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3"/>
                    <a:stretch>
                      <a:fillRect/>
                    </a:stretch>
                  </pic:blipFill>
                  <pic:spPr>
                    <a:xfrm>
                      <a:off x="0" y="0"/>
                      <a:ext cx="5266690" cy="4196080"/>
                    </a:xfrm>
                    <a:prstGeom prst="rect">
                      <a:avLst/>
                    </a:prstGeom>
                    <a:noFill/>
                    <a:ln>
                      <a:noFill/>
                    </a:ln>
                  </pic:spPr>
                </pic:pic>
              </a:graphicData>
            </a:graphic>
          </wp:inline>
        </w:drawing>
      </w:r>
      <w:r>
        <w:drawing>
          <wp:inline distT="0" distB="0" distL="114300" distR="114300">
            <wp:extent cx="5266690" cy="4469130"/>
            <wp:effectExtent l="0" t="0" r="1016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4"/>
                    <a:stretch>
                      <a:fillRect/>
                    </a:stretch>
                  </pic:blipFill>
                  <pic:spPr>
                    <a:xfrm>
                      <a:off x="0" y="0"/>
                      <a:ext cx="5266690" cy="4469130"/>
                    </a:xfrm>
                    <a:prstGeom prst="rect">
                      <a:avLst/>
                    </a:prstGeom>
                    <a:noFill/>
                    <a:ln>
                      <a:noFill/>
                    </a:ln>
                  </pic:spPr>
                </pic:pic>
              </a:graphicData>
            </a:graphic>
          </wp:inline>
        </w:drawing>
      </w:r>
      <w:r>
        <w:drawing>
          <wp:inline distT="0" distB="0" distL="114300" distR="114300">
            <wp:extent cx="5266690" cy="4100195"/>
            <wp:effectExtent l="0" t="0" r="10160" b="146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5"/>
                    <a:stretch>
                      <a:fillRect/>
                    </a:stretch>
                  </pic:blipFill>
                  <pic:spPr>
                    <a:xfrm>
                      <a:off x="0" y="0"/>
                      <a:ext cx="5266690" cy="4100195"/>
                    </a:xfrm>
                    <a:prstGeom prst="rect">
                      <a:avLst/>
                    </a:prstGeom>
                    <a:noFill/>
                    <a:ln>
                      <a:noFill/>
                    </a:ln>
                  </pic:spPr>
                </pic:pic>
              </a:graphicData>
            </a:graphic>
          </wp:inline>
        </w:drawing>
      </w:r>
      <w:r>
        <w:drawing>
          <wp:inline distT="0" distB="0" distL="114300" distR="114300">
            <wp:extent cx="5266690" cy="4591685"/>
            <wp:effectExtent l="0" t="0" r="10160" b="184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6"/>
                    <a:stretch>
                      <a:fillRect/>
                    </a:stretch>
                  </pic:blipFill>
                  <pic:spPr>
                    <a:xfrm>
                      <a:off x="0" y="0"/>
                      <a:ext cx="5266690" cy="4591685"/>
                    </a:xfrm>
                    <a:prstGeom prst="rect">
                      <a:avLst/>
                    </a:prstGeom>
                    <a:noFill/>
                    <a:ln>
                      <a:noFill/>
                    </a:ln>
                  </pic:spPr>
                </pic:pic>
              </a:graphicData>
            </a:graphic>
          </wp:inline>
        </w:drawing>
      </w:r>
      <w:r>
        <w:drawing>
          <wp:inline distT="0" distB="0" distL="114300" distR="114300">
            <wp:extent cx="5266690" cy="3977005"/>
            <wp:effectExtent l="0" t="0" r="1016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7"/>
                    <a:stretch>
                      <a:fillRect/>
                    </a:stretch>
                  </pic:blipFill>
                  <pic:spPr>
                    <a:xfrm>
                      <a:off x="0" y="0"/>
                      <a:ext cx="5266690" cy="3977005"/>
                    </a:xfrm>
                    <a:prstGeom prst="rect">
                      <a:avLst/>
                    </a:prstGeom>
                    <a:noFill/>
                    <a:ln>
                      <a:noFill/>
                    </a:ln>
                  </pic:spPr>
                </pic:pic>
              </a:graphicData>
            </a:graphic>
          </wp:inline>
        </w:drawing>
      </w:r>
      <w:r>
        <w:drawing>
          <wp:inline distT="0" distB="0" distL="114300" distR="114300">
            <wp:extent cx="5266690" cy="4043045"/>
            <wp:effectExtent l="0" t="0" r="10160" b="1460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8"/>
                    <a:stretch>
                      <a:fillRect/>
                    </a:stretch>
                  </pic:blipFill>
                  <pic:spPr>
                    <a:xfrm>
                      <a:off x="0" y="0"/>
                      <a:ext cx="5266690" cy="4043045"/>
                    </a:xfrm>
                    <a:prstGeom prst="rect">
                      <a:avLst/>
                    </a:prstGeom>
                    <a:noFill/>
                    <a:ln>
                      <a:noFill/>
                    </a:ln>
                  </pic:spPr>
                </pic:pic>
              </a:graphicData>
            </a:graphic>
          </wp:inline>
        </w:drawing>
      </w:r>
      <w:r>
        <w:drawing>
          <wp:inline distT="0" distB="0" distL="114300" distR="114300">
            <wp:extent cx="5266690" cy="4629150"/>
            <wp:effectExtent l="0" t="0" r="1016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9"/>
                    <a:stretch>
                      <a:fillRect/>
                    </a:stretch>
                  </pic:blipFill>
                  <pic:spPr>
                    <a:xfrm>
                      <a:off x="0" y="0"/>
                      <a:ext cx="5266690" cy="4629150"/>
                    </a:xfrm>
                    <a:prstGeom prst="rect">
                      <a:avLst/>
                    </a:prstGeom>
                    <a:noFill/>
                    <a:ln>
                      <a:noFill/>
                    </a:ln>
                  </pic:spPr>
                </pic:pic>
              </a:graphicData>
            </a:graphic>
          </wp:inline>
        </w:drawing>
      </w:r>
      <w:r>
        <w:drawing>
          <wp:inline distT="0" distB="0" distL="114300" distR="114300">
            <wp:extent cx="5266690" cy="4253230"/>
            <wp:effectExtent l="0" t="0" r="10160" b="139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40"/>
                    <a:stretch>
                      <a:fillRect/>
                    </a:stretch>
                  </pic:blipFill>
                  <pic:spPr>
                    <a:xfrm>
                      <a:off x="0" y="0"/>
                      <a:ext cx="5266690" cy="4253230"/>
                    </a:xfrm>
                    <a:prstGeom prst="rect">
                      <a:avLst/>
                    </a:prstGeom>
                    <a:noFill/>
                    <a:ln>
                      <a:noFill/>
                    </a:ln>
                  </pic:spPr>
                </pic:pic>
              </a:graphicData>
            </a:graphic>
          </wp:inline>
        </w:drawing>
      </w:r>
      <w:r>
        <w:drawing>
          <wp:inline distT="0" distB="0" distL="114300" distR="114300">
            <wp:extent cx="5266690" cy="4404995"/>
            <wp:effectExtent l="0" t="0" r="10160" b="146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41"/>
                    <a:stretch>
                      <a:fillRect/>
                    </a:stretch>
                  </pic:blipFill>
                  <pic:spPr>
                    <a:xfrm>
                      <a:off x="0" y="0"/>
                      <a:ext cx="5266690" cy="4404995"/>
                    </a:xfrm>
                    <a:prstGeom prst="rect">
                      <a:avLst/>
                    </a:prstGeom>
                    <a:noFill/>
                    <a:ln>
                      <a:noFill/>
                    </a:ln>
                  </pic:spPr>
                </pic:pic>
              </a:graphicData>
            </a:graphic>
          </wp:inline>
        </w:drawing>
      </w:r>
      <w:r>
        <w:drawing>
          <wp:inline distT="0" distB="0" distL="114300" distR="114300">
            <wp:extent cx="5266690" cy="4253230"/>
            <wp:effectExtent l="0" t="0" r="10160" b="139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2"/>
                    <a:stretch>
                      <a:fillRect/>
                    </a:stretch>
                  </pic:blipFill>
                  <pic:spPr>
                    <a:xfrm>
                      <a:off x="0" y="0"/>
                      <a:ext cx="5266690" cy="4253230"/>
                    </a:xfrm>
                    <a:prstGeom prst="rect">
                      <a:avLst/>
                    </a:prstGeom>
                    <a:noFill/>
                    <a:ln>
                      <a:noFill/>
                    </a:ln>
                  </pic:spPr>
                </pic:pic>
              </a:graphicData>
            </a:graphic>
          </wp:inline>
        </w:drawing>
      </w:r>
      <w:r>
        <w:drawing>
          <wp:inline distT="0" distB="0" distL="114300" distR="114300">
            <wp:extent cx="5266690" cy="4328795"/>
            <wp:effectExtent l="0" t="0" r="10160" b="146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43"/>
                    <a:stretch>
                      <a:fillRect/>
                    </a:stretch>
                  </pic:blipFill>
                  <pic:spPr>
                    <a:xfrm>
                      <a:off x="0" y="0"/>
                      <a:ext cx="5266690" cy="4328795"/>
                    </a:xfrm>
                    <a:prstGeom prst="rect">
                      <a:avLst/>
                    </a:prstGeom>
                    <a:noFill/>
                    <a:ln>
                      <a:noFill/>
                    </a:ln>
                  </pic:spPr>
                </pic:pic>
              </a:graphicData>
            </a:graphic>
          </wp:inline>
        </w:drawing>
      </w:r>
      <w:r>
        <w:drawing>
          <wp:inline distT="0" distB="0" distL="114300" distR="114300">
            <wp:extent cx="5266690" cy="4548505"/>
            <wp:effectExtent l="0" t="0" r="1016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44"/>
                    <a:stretch>
                      <a:fillRect/>
                    </a:stretch>
                  </pic:blipFill>
                  <pic:spPr>
                    <a:xfrm>
                      <a:off x="0" y="0"/>
                      <a:ext cx="5266690" cy="4548505"/>
                    </a:xfrm>
                    <a:prstGeom prst="rect">
                      <a:avLst/>
                    </a:prstGeom>
                    <a:noFill/>
                    <a:ln>
                      <a:noFill/>
                    </a:ln>
                  </pic:spPr>
                </pic:pic>
              </a:graphicData>
            </a:graphic>
          </wp:inline>
        </w:drawing>
      </w:r>
      <w:r>
        <w:drawing>
          <wp:inline distT="0" distB="0" distL="114300" distR="114300">
            <wp:extent cx="5266690" cy="4156075"/>
            <wp:effectExtent l="0" t="0" r="10160" b="158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45"/>
                    <a:stretch>
                      <a:fillRect/>
                    </a:stretch>
                  </pic:blipFill>
                  <pic:spPr>
                    <a:xfrm>
                      <a:off x="0" y="0"/>
                      <a:ext cx="5266690" cy="4156075"/>
                    </a:xfrm>
                    <a:prstGeom prst="rect">
                      <a:avLst/>
                    </a:prstGeom>
                    <a:noFill/>
                    <a:ln>
                      <a:noFill/>
                    </a:ln>
                  </pic:spPr>
                </pic:pic>
              </a:graphicData>
            </a:graphic>
          </wp:inline>
        </w:drawing>
      </w:r>
      <w:r>
        <w:drawing>
          <wp:inline distT="0" distB="0" distL="114300" distR="114300">
            <wp:extent cx="5266690" cy="4777740"/>
            <wp:effectExtent l="0" t="0" r="10160" b="381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46"/>
                    <a:stretch>
                      <a:fillRect/>
                    </a:stretch>
                  </pic:blipFill>
                  <pic:spPr>
                    <a:xfrm>
                      <a:off x="0" y="0"/>
                      <a:ext cx="5266690" cy="4777740"/>
                    </a:xfrm>
                    <a:prstGeom prst="rect">
                      <a:avLst/>
                    </a:prstGeom>
                    <a:noFill/>
                    <a:ln>
                      <a:noFill/>
                    </a:ln>
                  </pic:spPr>
                </pic:pic>
              </a:graphicData>
            </a:graphic>
          </wp:inline>
        </w:drawing>
      </w:r>
      <w:r>
        <w:rPr>
          <w:rFonts w:hint="eastAsia" w:eastAsia="黑体" w:cs="黑体"/>
          <w:kern w:val="0"/>
          <w:sz w:val="32"/>
          <w:szCs w:val="32"/>
          <w:shd w:val="clear" w:color="auto" w:fill="FFFFFF"/>
          <w:lang w:val="zh-CN"/>
        </w:rPr>
        <w:br w:type="page"/>
      </w:r>
    </w:p>
    <w:p>
      <w:pPr>
        <w:spacing w:line="600" w:lineRule="exact"/>
        <w:jc w:val="center"/>
        <w:outlineLvl w:val="0"/>
        <w:rPr>
          <w:rFonts w:hint="eastAsia" w:ascii="Times New Roman" w:hAnsi="Times New Roman" w:eastAsia="方正小标宋简体" w:cs="方正小标宋简体"/>
          <w:b w:val="0"/>
          <w:bCs/>
          <w:kern w:val="44"/>
          <w:sz w:val="44"/>
          <w:szCs w:val="44"/>
          <w:lang w:val="en-US" w:eastAsia="zh-CN" w:bidi="ar-SA"/>
        </w:rPr>
      </w:pPr>
      <w:bookmarkStart w:id="63" w:name="_Toc15396618"/>
      <w:bookmarkStart w:id="64" w:name="_Toc11654"/>
      <w:r>
        <w:rPr>
          <w:rFonts w:hint="eastAsia" w:ascii="Times New Roman" w:hAnsi="Times New Roman" w:eastAsia="方正小标宋简体" w:cs="方正小标宋简体"/>
          <w:b w:val="0"/>
          <w:bCs/>
          <w:kern w:val="44"/>
          <w:sz w:val="44"/>
          <w:szCs w:val="44"/>
          <w:lang w:val="en-US" w:eastAsia="zh-CN" w:bidi="ar-SA"/>
        </w:rPr>
        <w:t>第五部分 附表</w:t>
      </w:r>
      <w:bookmarkEnd w:id="60"/>
      <w:bookmarkEnd w:id="63"/>
      <w:bookmarkEnd w:id="64"/>
      <w:bookmarkStart w:id="65" w:name="_Toc15396619"/>
    </w:p>
    <w:p>
      <w:pPr>
        <w:pStyle w:val="14"/>
        <w:adjustRightInd w:val="0"/>
        <w:snapToGrid w:val="0"/>
        <w:spacing w:line="560" w:lineRule="exact"/>
        <w:jc w:val="left"/>
        <w:rPr>
          <w:rFonts w:eastAsia="仿宋_GB2312" w:cs="仿宋_GB2312"/>
          <w:sz w:val="32"/>
          <w:szCs w:val="32"/>
        </w:rPr>
      </w:pPr>
    </w:p>
    <w:p>
      <w:pPr>
        <w:pStyle w:val="6"/>
        <w:bidi w:val="0"/>
        <w:rPr>
          <w:rFonts w:hint="eastAsia" w:ascii="仿宋_GB2312" w:hAnsi="仿宋_GB2312" w:eastAsia="仿宋_GB2312" w:cs="仿宋_GB2312"/>
          <w:b w:val="0"/>
          <w:bCs w:val="0"/>
        </w:rPr>
      </w:pPr>
      <w:bookmarkStart w:id="66" w:name="_Toc31446"/>
      <w:r>
        <w:rPr>
          <w:rFonts w:hint="eastAsia" w:ascii="仿宋_GB2312" w:hAnsi="仿宋_GB2312" w:eastAsia="仿宋_GB2312" w:cs="仿宋_GB2312"/>
          <w:b w:val="0"/>
          <w:bCs w:val="0"/>
        </w:rPr>
        <w:t>一、收入支出决算总表</w:t>
      </w:r>
      <w:bookmarkEnd w:id="65"/>
      <w:bookmarkEnd w:id="66"/>
    </w:p>
    <w:p>
      <w:pPr>
        <w:pStyle w:val="6"/>
        <w:bidi w:val="0"/>
        <w:rPr>
          <w:rFonts w:hint="eastAsia" w:ascii="仿宋_GB2312" w:hAnsi="仿宋_GB2312" w:eastAsia="仿宋_GB2312" w:cs="仿宋_GB2312"/>
          <w:b w:val="0"/>
          <w:bCs w:val="0"/>
        </w:rPr>
      </w:pPr>
      <w:bookmarkStart w:id="67" w:name="_Toc15396620"/>
      <w:bookmarkStart w:id="68" w:name="_Toc14731"/>
      <w:r>
        <w:rPr>
          <w:rFonts w:hint="eastAsia" w:ascii="仿宋_GB2312" w:hAnsi="仿宋_GB2312" w:eastAsia="仿宋_GB2312" w:cs="仿宋_GB2312"/>
          <w:b w:val="0"/>
          <w:bCs w:val="0"/>
        </w:rPr>
        <w:t>二、收入决算表</w:t>
      </w:r>
      <w:bookmarkEnd w:id="67"/>
      <w:bookmarkEnd w:id="68"/>
    </w:p>
    <w:p>
      <w:pPr>
        <w:pStyle w:val="6"/>
        <w:bidi w:val="0"/>
        <w:rPr>
          <w:rFonts w:hint="eastAsia" w:ascii="仿宋_GB2312" w:hAnsi="仿宋_GB2312" w:eastAsia="仿宋_GB2312" w:cs="仿宋_GB2312"/>
          <w:b w:val="0"/>
          <w:bCs w:val="0"/>
        </w:rPr>
      </w:pPr>
      <w:bookmarkStart w:id="69" w:name="_Toc15396621"/>
      <w:bookmarkStart w:id="70" w:name="_Toc7856"/>
      <w:r>
        <w:rPr>
          <w:rFonts w:hint="eastAsia" w:ascii="仿宋_GB2312" w:hAnsi="仿宋_GB2312" w:eastAsia="仿宋_GB2312" w:cs="仿宋_GB2312"/>
          <w:b w:val="0"/>
          <w:bCs w:val="0"/>
        </w:rPr>
        <w:t>三、支出决算表</w:t>
      </w:r>
      <w:bookmarkEnd w:id="69"/>
      <w:bookmarkEnd w:id="70"/>
    </w:p>
    <w:p>
      <w:pPr>
        <w:pStyle w:val="6"/>
        <w:bidi w:val="0"/>
        <w:rPr>
          <w:rFonts w:hint="eastAsia" w:ascii="仿宋_GB2312" w:hAnsi="仿宋_GB2312" w:eastAsia="仿宋_GB2312" w:cs="仿宋_GB2312"/>
          <w:b w:val="0"/>
          <w:bCs w:val="0"/>
        </w:rPr>
      </w:pPr>
      <w:bookmarkStart w:id="71" w:name="_Toc3041"/>
      <w:bookmarkStart w:id="72" w:name="_Toc15396622"/>
      <w:r>
        <w:rPr>
          <w:rFonts w:hint="eastAsia" w:ascii="仿宋_GB2312" w:hAnsi="仿宋_GB2312" w:eastAsia="仿宋_GB2312" w:cs="仿宋_GB2312"/>
          <w:b w:val="0"/>
          <w:bCs w:val="0"/>
        </w:rPr>
        <w:t>四、财政拨款收入支出决算总表</w:t>
      </w:r>
      <w:bookmarkEnd w:id="71"/>
      <w:bookmarkEnd w:id="72"/>
    </w:p>
    <w:p>
      <w:pPr>
        <w:pStyle w:val="6"/>
        <w:bidi w:val="0"/>
        <w:rPr>
          <w:rFonts w:hint="eastAsia" w:ascii="仿宋_GB2312" w:hAnsi="仿宋_GB2312" w:eastAsia="仿宋_GB2312" w:cs="仿宋_GB2312"/>
          <w:b w:val="0"/>
          <w:bCs w:val="0"/>
        </w:rPr>
      </w:pPr>
      <w:bookmarkStart w:id="73" w:name="_Toc11550"/>
      <w:bookmarkStart w:id="74" w:name="_Toc15396623"/>
      <w:r>
        <w:rPr>
          <w:rFonts w:hint="eastAsia" w:ascii="仿宋_GB2312" w:hAnsi="仿宋_GB2312" w:eastAsia="仿宋_GB2312" w:cs="仿宋_GB2312"/>
          <w:b w:val="0"/>
          <w:bCs w:val="0"/>
        </w:rPr>
        <w:t>五、财政拨款支出决算明细表</w:t>
      </w:r>
      <w:bookmarkEnd w:id="73"/>
      <w:bookmarkEnd w:id="74"/>
      <w:bookmarkStart w:id="75" w:name="_Toc15396624"/>
    </w:p>
    <w:p>
      <w:pPr>
        <w:pStyle w:val="6"/>
        <w:bidi w:val="0"/>
        <w:rPr>
          <w:rFonts w:hint="eastAsia" w:ascii="仿宋_GB2312" w:hAnsi="仿宋_GB2312" w:eastAsia="仿宋_GB2312" w:cs="仿宋_GB2312"/>
          <w:b w:val="0"/>
          <w:bCs w:val="0"/>
        </w:rPr>
      </w:pPr>
      <w:bookmarkStart w:id="76" w:name="_Toc4839"/>
      <w:r>
        <w:rPr>
          <w:rFonts w:hint="eastAsia" w:ascii="仿宋_GB2312" w:hAnsi="仿宋_GB2312" w:eastAsia="仿宋_GB2312" w:cs="仿宋_GB2312"/>
          <w:b w:val="0"/>
          <w:bCs w:val="0"/>
        </w:rPr>
        <w:t>六、一般公共预算财政拨款支出决算表</w:t>
      </w:r>
      <w:bookmarkEnd w:id="75"/>
      <w:bookmarkEnd w:id="76"/>
    </w:p>
    <w:p>
      <w:pPr>
        <w:pStyle w:val="6"/>
        <w:bidi w:val="0"/>
        <w:rPr>
          <w:rFonts w:hint="eastAsia" w:ascii="仿宋_GB2312" w:hAnsi="仿宋_GB2312" w:eastAsia="仿宋_GB2312" w:cs="仿宋_GB2312"/>
          <w:b w:val="0"/>
          <w:bCs w:val="0"/>
        </w:rPr>
      </w:pPr>
      <w:bookmarkStart w:id="77" w:name="_Toc14655"/>
      <w:bookmarkStart w:id="78" w:name="_Toc15396625"/>
      <w:r>
        <w:rPr>
          <w:rFonts w:hint="eastAsia" w:ascii="仿宋_GB2312" w:hAnsi="仿宋_GB2312" w:eastAsia="仿宋_GB2312" w:cs="仿宋_GB2312"/>
          <w:b w:val="0"/>
          <w:bCs w:val="0"/>
        </w:rPr>
        <w:t>七、一般公共预算财政拨款支出决算明细表</w:t>
      </w:r>
      <w:bookmarkEnd w:id="77"/>
      <w:bookmarkEnd w:id="78"/>
    </w:p>
    <w:p>
      <w:pPr>
        <w:pStyle w:val="6"/>
        <w:bidi w:val="0"/>
        <w:rPr>
          <w:rFonts w:hint="eastAsia" w:ascii="仿宋_GB2312" w:hAnsi="仿宋_GB2312" w:eastAsia="仿宋_GB2312" w:cs="仿宋_GB2312"/>
          <w:b w:val="0"/>
          <w:bCs w:val="0"/>
        </w:rPr>
      </w:pPr>
      <w:bookmarkStart w:id="79" w:name="_Toc15396626"/>
      <w:bookmarkStart w:id="80" w:name="_Toc25232"/>
      <w:r>
        <w:rPr>
          <w:rFonts w:hint="eastAsia" w:ascii="仿宋_GB2312" w:hAnsi="仿宋_GB2312" w:eastAsia="仿宋_GB2312" w:cs="仿宋_GB2312"/>
          <w:b w:val="0"/>
          <w:bCs w:val="0"/>
        </w:rPr>
        <w:t>八、一般公共预算财政拨款基本支出决算表</w:t>
      </w:r>
      <w:bookmarkEnd w:id="79"/>
      <w:bookmarkEnd w:id="80"/>
    </w:p>
    <w:p>
      <w:pPr>
        <w:pStyle w:val="6"/>
        <w:bidi w:val="0"/>
        <w:rPr>
          <w:rFonts w:hint="eastAsia" w:ascii="仿宋_GB2312" w:hAnsi="仿宋_GB2312" w:eastAsia="仿宋_GB2312" w:cs="仿宋_GB2312"/>
          <w:b w:val="0"/>
          <w:bCs w:val="0"/>
        </w:rPr>
      </w:pPr>
      <w:bookmarkStart w:id="81" w:name="_Toc15396627"/>
      <w:bookmarkStart w:id="82" w:name="_Toc26431"/>
      <w:r>
        <w:rPr>
          <w:rFonts w:hint="eastAsia" w:ascii="仿宋_GB2312" w:hAnsi="仿宋_GB2312" w:eastAsia="仿宋_GB2312" w:cs="仿宋_GB2312"/>
          <w:b w:val="0"/>
          <w:bCs w:val="0"/>
        </w:rPr>
        <w:t>九、一般公共预算财政拨款项目支出决算表</w:t>
      </w:r>
      <w:bookmarkEnd w:id="81"/>
      <w:bookmarkEnd w:id="82"/>
    </w:p>
    <w:p>
      <w:pPr>
        <w:pStyle w:val="6"/>
        <w:bidi w:val="0"/>
        <w:rPr>
          <w:rFonts w:hint="eastAsia" w:ascii="仿宋_GB2312" w:hAnsi="仿宋_GB2312" w:eastAsia="仿宋_GB2312" w:cs="仿宋_GB2312"/>
          <w:b w:val="0"/>
          <w:bCs w:val="0"/>
        </w:rPr>
      </w:pPr>
      <w:bookmarkStart w:id="83" w:name="_Toc15396628"/>
      <w:bookmarkStart w:id="84" w:name="_Toc5690"/>
      <w:r>
        <w:rPr>
          <w:rFonts w:hint="eastAsia" w:ascii="仿宋_GB2312" w:hAnsi="仿宋_GB2312" w:eastAsia="仿宋_GB2312" w:cs="仿宋_GB2312"/>
          <w:b w:val="0"/>
          <w:bCs w:val="0"/>
        </w:rPr>
        <w:t>十、</w:t>
      </w:r>
      <w:bookmarkEnd w:id="83"/>
      <w:r>
        <w:rPr>
          <w:rFonts w:hint="eastAsia" w:ascii="仿宋_GB2312" w:hAnsi="仿宋_GB2312" w:eastAsia="仿宋_GB2312" w:cs="仿宋_GB2312"/>
          <w:b w:val="0"/>
          <w:bCs w:val="0"/>
        </w:rPr>
        <w:t>政府性基金预算财政拨款收入支出决算表</w:t>
      </w:r>
      <w:bookmarkEnd w:id="84"/>
    </w:p>
    <w:p>
      <w:pPr>
        <w:pStyle w:val="6"/>
        <w:bidi w:val="0"/>
        <w:rPr>
          <w:rFonts w:hint="eastAsia" w:ascii="仿宋_GB2312" w:hAnsi="仿宋_GB2312" w:eastAsia="仿宋_GB2312" w:cs="仿宋_GB2312"/>
          <w:b w:val="0"/>
          <w:bCs w:val="0"/>
        </w:rPr>
      </w:pPr>
      <w:bookmarkStart w:id="85" w:name="_Toc15396629"/>
      <w:bookmarkStart w:id="86" w:name="_Toc21859"/>
      <w:r>
        <w:rPr>
          <w:rFonts w:hint="eastAsia" w:ascii="仿宋_GB2312" w:hAnsi="仿宋_GB2312" w:eastAsia="仿宋_GB2312" w:cs="仿宋_GB2312"/>
          <w:b w:val="0"/>
          <w:bCs w:val="0"/>
        </w:rPr>
        <w:t>十一、</w:t>
      </w:r>
      <w:bookmarkEnd w:id="85"/>
      <w:r>
        <w:rPr>
          <w:rFonts w:hint="eastAsia" w:ascii="仿宋_GB2312" w:hAnsi="仿宋_GB2312" w:eastAsia="仿宋_GB2312" w:cs="仿宋_GB2312"/>
          <w:b w:val="0"/>
          <w:bCs w:val="0"/>
        </w:rPr>
        <w:t>国有资本经营预算财政拨款收入支出决算表</w:t>
      </w:r>
      <w:bookmarkEnd w:id="86"/>
    </w:p>
    <w:p>
      <w:pPr>
        <w:pStyle w:val="6"/>
        <w:bidi w:val="0"/>
        <w:rPr>
          <w:rFonts w:hint="eastAsia" w:ascii="仿宋_GB2312" w:hAnsi="仿宋_GB2312" w:eastAsia="仿宋_GB2312" w:cs="仿宋_GB2312"/>
          <w:b w:val="0"/>
          <w:bCs w:val="0"/>
        </w:rPr>
      </w:pPr>
      <w:bookmarkStart w:id="87" w:name="_Toc15396630"/>
      <w:bookmarkStart w:id="88" w:name="_Toc27143"/>
      <w:r>
        <w:rPr>
          <w:rFonts w:hint="eastAsia" w:ascii="仿宋_GB2312" w:hAnsi="仿宋_GB2312" w:eastAsia="仿宋_GB2312" w:cs="仿宋_GB2312"/>
          <w:b w:val="0"/>
          <w:bCs w:val="0"/>
        </w:rPr>
        <w:t>十二、</w:t>
      </w:r>
      <w:bookmarkEnd w:id="87"/>
      <w:r>
        <w:rPr>
          <w:rFonts w:hint="eastAsia" w:ascii="仿宋_GB2312" w:hAnsi="仿宋_GB2312" w:eastAsia="仿宋_GB2312" w:cs="仿宋_GB2312"/>
          <w:b w:val="0"/>
          <w:bCs w:val="0"/>
        </w:rPr>
        <w:t>国有资本经营预算财政拨款支出决算表</w:t>
      </w:r>
      <w:bookmarkEnd w:id="88"/>
    </w:p>
    <w:p>
      <w:pPr>
        <w:pStyle w:val="6"/>
        <w:bidi w:val="0"/>
        <w:rPr>
          <w:rFonts w:hint="eastAsia" w:ascii="仿宋_GB2312" w:hAnsi="仿宋_GB2312" w:eastAsia="仿宋_GB2312" w:cs="仿宋_GB2312"/>
          <w:b w:val="0"/>
          <w:bCs w:val="0"/>
        </w:rPr>
      </w:pPr>
      <w:bookmarkStart w:id="89" w:name="_Toc15396631"/>
      <w:bookmarkStart w:id="90" w:name="_Toc21102"/>
      <w:r>
        <w:rPr>
          <w:rFonts w:hint="eastAsia" w:ascii="仿宋_GB2312" w:hAnsi="仿宋_GB2312" w:eastAsia="仿宋_GB2312" w:cs="仿宋_GB2312"/>
          <w:b w:val="0"/>
          <w:bCs w:val="0"/>
        </w:rPr>
        <w:t>十三、</w:t>
      </w:r>
      <w:bookmarkEnd w:id="89"/>
      <w:r>
        <w:rPr>
          <w:rFonts w:hint="eastAsia" w:ascii="仿宋_GB2312" w:hAnsi="仿宋_GB2312" w:eastAsia="仿宋_GB2312" w:cs="仿宋_GB2312"/>
          <w:b w:val="0"/>
          <w:bCs w:val="0"/>
        </w:rPr>
        <w:t>财政拨款“三公”经费支出决算表</w:t>
      </w:r>
      <w:bookmarkEnd w:id="90"/>
    </w:p>
    <w:p/>
    <w:sectPr>
      <w:footerReference r:id="rId7" w:type="first"/>
      <w:footerReference r:id="rId6" w:type="default"/>
      <w:pgSz w:w="11906" w:h="16838"/>
      <w:pgMar w:top="1440" w:right="1800" w:bottom="1440" w:left="1800" w:header="851" w:footer="992" w:gutter="0"/>
      <w:pgNumType w:fmt="decimal" w:start="2"/>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
    <w:altName w:val="Segoe Print"/>
    <w:panose1 w:val="00000000000000000000"/>
    <w:charset w:val="00"/>
    <w:family w:val="roma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方正小标宋简体">
    <w:altName w:val="Arial Unicode MS"/>
    <w:panose1 w:val="02000000000000000000"/>
    <w:charset w:val="86"/>
    <w:family w:val="script"/>
    <w:pitch w:val="default"/>
    <w:sig w:usb0="00000000" w:usb1="0000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 w:name="楷体_GB2312">
    <w:altName w:val="楷体"/>
    <w:panose1 w:val="00000000000000000000"/>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- 1 -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bJUzAgAAYw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kzf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c+bJUzAgAAYwQAAA4AAAAAAAAAAQAgAAAAHwEAAGRycy9lMm9Eb2MueG1sUEsF&#10;BgAAAAAGAAYAWQEAAMQ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- 1 -</w:t>
                    </w:r>
                    <w:r>
                      <w:fldChar w:fldCharType="end"/>
                    </w:r>
                  </w:p>
                </w:txbxContent>
              </v:textbox>
            </v:shape>
          </w:pict>
        </mc:Fallback>
      </mc:AlternateContent>
    </w:r>
  </w:p>
  <w:p>
    <w:pPr>
      <w:pStyle w:val="1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GXY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1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GXYzAgAAYwQAAA4AAAAAAAAAAQAgAAAAHwEAAGRycy9lMm9Eb2MueG1sUEsF&#10;BgAAAAAGAAYAWQEAAMQ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2</w:t>
                    </w:r>
                    <w:r>
                      <w:fldChar w:fldCharType="end"/>
                    </w:r>
                  </w:p>
                </w:txbxContent>
              </v:textbox>
            </v:shape>
          </w:pict>
        </mc:Fallback>
      </mc:AlternateContent>
    </w:r>
  </w:p>
  <w:p>
    <w:pPr>
      <w:pStyle w:val="1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7R3IzAgAAYw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m/e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7R3IzAgAAYwQAAA4AAAAAAAAAAQAgAAAAHwEAAGRycy9lMm9Eb2MueG1sUEsF&#10;BgAAAAAGAAYAWQEAAMQFA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361C"/>
    <w:rsid w:val="000222C6"/>
    <w:rsid w:val="0002549F"/>
    <w:rsid w:val="000468DB"/>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42216"/>
    <w:rsid w:val="00144D6A"/>
    <w:rsid w:val="0014729F"/>
    <w:rsid w:val="00157BAB"/>
    <w:rsid w:val="001654D1"/>
    <w:rsid w:val="00174518"/>
    <w:rsid w:val="0018106D"/>
    <w:rsid w:val="001877A7"/>
    <w:rsid w:val="00191536"/>
    <w:rsid w:val="00196687"/>
    <w:rsid w:val="001C0962"/>
    <w:rsid w:val="001D7531"/>
    <w:rsid w:val="001E737D"/>
    <w:rsid w:val="001F0592"/>
    <w:rsid w:val="001F7506"/>
    <w:rsid w:val="002006CD"/>
    <w:rsid w:val="00202B36"/>
    <w:rsid w:val="00204B7A"/>
    <w:rsid w:val="00204CDE"/>
    <w:rsid w:val="0021101A"/>
    <w:rsid w:val="00220536"/>
    <w:rsid w:val="00235629"/>
    <w:rsid w:val="00260C38"/>
    <w:rsid w:val="002616C0"/>
    <w:rsid w:val="00265372"/>
    <w:rsid w:val="002662AA"/>
    <w:rsid w:val="00280496"/>
    <w:rsid w:val="00294DC9"/>
    <w:rsid w:val="00295495"/>
    <w:rsid w:val="002A31DE"/>
    <w:rsid w:val="002B2613"/>
    <w:rsid w:val="002D6D05"/>
    <w:rsid w:val="002F1818"/>
    <w:rsid w:val="002F567B"/>
    <w:rsid w:val="003216A9"/>
    <w:rsid w:val="00335A74"/>
    <w:rsid w:val="0036561B"/>
    <w:rsid w:val="0037013F"/>
    <w:rsid w:val="00380C92"/>
    <w:rsid w:val="003A484F"/>
    <w:rsid w:val="003A4883"/>
    <w:rsid w:val="003B0BE0"/>
    <w:rsid w:val="003B0C1B"/>
    <w:rsid w:val="003B688C"/>
    <w:rsid w:val="003C0291"/>
    <w:rsid w:val="003C39AE"/>
    <w:rsid w:val="003C7B60"/>
    <w:rsid w:val="003D0C0F"/>
    <w:rsid w:val="003D1FB2"/>
    <w:rsid w:val="003D66DA"/>
    <w:rsid w:val="003E1310"/>
    <w:rsid w:val="003E6F55"/>
    <w:rsid w:val="00406254"/>
    <w:rsid w:val="004223DE"/>
    <w:rsid w:val="00434489"/>
    <w:rsid w:val="00437085"/>
    <w:rsid w:val="00443880"/>
    <w:rsid w:val="004464F4"/>
    <w:rsid w:val="00471401"/>
    <w:rsid w:val="00473F31"/>
    <w:rsid w:val="0048263A"/>
    <w:rsid w:val="00487E5D"/>
    <w:rsid w:val="004A711F"/>
    <w:rsid w:val="004B199D"/>
    <w:rsid w:val="004B4690"/>
    <w:rsid w:val="004E0A2D"/>
    <w:rsid w:val="004E206B"/>
    <w:rsid w:val="004E6DF7"/>
    <w:rsid w:val="004F0FBD"/>
    <w:rsid w:val="00505A47"/>
    <w:rsid w:val="00507004"/>
    <w:rsid w:val="00512FDA"/>
    <w:rsid w:val="00520DA0"/>
    <w:rsid w:val="005664BB"/>
    <w:rsid w:val="00566FFA"/>
    <w:rsid w:val="0057481D"/>
    <w:rsid w:val="0058486E"/>
    <w:rsid w:val="00585B33"/>
    <w:rsid w:val="0059014D"/>
    <w:rsid w:val="005B5C64"/>
    <w:rsid w:val="005C5337"/>
    <w:rsid w:val="005C6BD0"/>
    <w:rsid w:val="005D1C8B"/>
    <w:rsid w:val="005D468D"/>
    <w:rsid w:val="005D5CED"/>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6343B"/>
    <w:rsid w:val="00664777"/>
    <w:rsid w:val="006748A4"/>
    <w:rsid w:val="00681A31"/>
    <w:rsid w:val="00683E73"/>
    <w:rsid w:val="006A3141"/>
    <w:rsid w:val="006A5E34"/>
    <w:rsid w:val="006B2422"/>
    <w:rsid w:val="006B2B9A"/>
    <w:rsid w:val="006C1937"/>
    <w:rsid w:val="006F020C"/>
    <w:rsid w:val="007127B7"/>
    <w:rsid w:val="0071798E"/>
    <w:rsid w:val="007416B6"/>
    <w:rsid w:val="00746F48"/>
    <w:rsid w:val="0075404D"/>
    <w:rsid w:val="0076182A"/>
    <w:rsid w:val="00767B7E"/>
    <w:rsid w:val="007770C3"/>
    <w:rsid w:val="00784D24"/>
    <w:rsid w:val="00785FBA"/>
    <w:rsid w:val="00786E4A"/>
    <w:rsid w:val="007875EB"/>
    <w:rsid w:val="0079426B"/>
    <w:rsid w:val="007D1682"/>
    <w:rsid w:val="007D312A"/>
    <w:rsid w:val="007D3F19"/>
    <w:rsid w:val="007E23B0"/>
    <w:rsid w:val="007E23E5"/>
    <w:rsid w:val="007F1991"/>
    <w:rsid w:val="007F2C2F"/>
    <w:rsid w:val="007F55FC"/>
    <w:rsid w:val="007F5665"/>
    <w:rsid w:val="00800112"/>
    <w:rsid w:val="00813348"/>
    <w:rsid w:val="008253BB"/>
    <w:rsid w:val="0083706E"/>
    <w:rsid w:val="0083795B"/>
    <w:rsid w:val="008408F6"/>
    <w:rsid w:val="008423A5"/>
    <w:rsid w:val="00850625"/>
    <w:rsid w:val="00853718"/>
    <w:rsid w:val="00855221"/>
    <w:rsid w:val="00860645"/>
    <w:rsid w:val="00871F71"/>
    <w:rsid w:val="00872FD8"/>
    <w:rsid w:val="00885AF4"/>
    <w:rsid w:val="008939CD"/>
    <w:rsid w:val="008B768C"/>
    <w:rsid w:val="008C4DB1"/>
    <w:rsid w:val="008C4EAF"/>
    <w:rsid w:val="008C5176"/>
    <w:rsid w:val="008C7FD0"/>
    <w:rsid w:val="008E1DE7"/>
    <w:rsid w:val="008E707C"/>
    <w:rsid w:val="00900B08"/>
    <w:rsid w:val="00902155"/>
    <w:rsid w:val="00902FA3"/>
    <w:rsid w:val="00923564"/>
    <w:rsid w:val="0092392E"/>
    <w:rsid w:val="009315F9"/>
    <w:rsid w:val="00933499"/>
    <w:rsid w:val="00935C98"/>
    <w:rsid w:val="00946945"/>
    <w:rsid w:val="00951248"/>
    <w:rsid w:val="0095152F"/>
    <w:rsid w:val="00954C49"/>
    <w:rsid w:val="00955E37"/>
    <w:rsid w:val="0097099F"/>
    <w:rsid w:val="00971997"/>
    <w:rsid w:val="00971FFC"/>
    <w:rsid w:val="0098660A"/>
    <w:rsid w:val="009931C3"/>
    <w:rsid w:val="009B2C43"/>
    <w:rsid w:val="009B4EAE"/>
    <w:rsid w:val="009B7573"/>
    <w:rsid w:val="009C22F4"/>
    <w:rsid w:val="009C2A4B"/>
    <w:rsid w:val="009C2E98"/>
    <w:rsid w:val="009D3447"/>
    <w:rsid w:val="009D4711"/>
    <w:rsid w:val="009F1185"/>
    <w:rsid w:val="009F18CD"/>
    <w:rsid w:val="009F2A13"/>
    <w:rsid w:val="009F7527"/>
    <w:rsid w:val="00A04EB0"/>
    <w:rsid w:val="00A13CC1"/>
    <w:rsid w:val="00A16847"/>
    <w:rsid w:val="00A237D8"/>
    <w:rsid w:val="00A268C4"/>
    <w:rsid w:val="00A307CD"/>
    <w:rsid w:val="00A331C8"/>
    <w:rsid w:val="00A40A00"/>
    <w:rsid w:val="00A4142F"/>
    <w:rsid w:val="00A422EB"/>
    <w:rsid w:val="00A45BB7"/>
    <w:rsid w:val="00A56DF2"/>
    <w:rsid w:val="00A56E6E"/>
    <w:rsid w:val="00A67AB5"/>
    <w:rsid w:val="00A733B2"/>
    <w:rsid w:val="00A741C2"/>
    <w:rsid w:val="00A91760"/>
    <w:rsid w:val="00A93B00"/>
    <w:rsid w:val="00A93C21"/>
    <w:rsid w:val="00AB64C9"/>
    <w:rsid w:val="00AC3C6A"/>
    <w:rsid w:val="00AD5620"/>
    <w:rsid w:val="00AD656B"/>
    <w:rsid w:val="00AD7C1B"/>
    <w:rsid w:val="00AE16BA"/>
    <w:rsid w:val="00AE1EBE"/>
    <w:rsid w:val="00B03C9D"/>
    <w:rsid w:val="00B060AE"/>
    <w:rsid w:val="00B10517"/>
    <w:rsid w:val="00B14E76"/>
    <w:rsid w:val="00B161B8"/>
    <w:rsid w:val="00B2048C"/>
    <w:rsid w:val="00B310B9"/>
    <w:rsid w:val="00B35F3F"/>
    <w:rsid w:val="00B36CBB"/>
    <w:rsid w:val="00B425E0"/>
    <w:rsid w:val="00B440AA"/>
    <w:rsid w:val="00B44B70"/>
    <w:rsid w:val="00B53C56"/>
    <w:rsid w:val="00B57DAF"/>
    <w:rsid w:val="00B77EA6"/>
    <w:rsid w:val="00B81598"/>
    <w:rsid w:val="00B841F1"/>
    <w:rsid w:val="00B922A3"/>
    <w:rsid w:val="00B944D6"/>
    <w:rsid w:val="00BB4DF0"/>
    <w:rsid w:val="00BC289F"/>
    <w:rsid w:val="00BC2D50"/>
    <w:rsid w:val="00BC5361"/>
    <w:rsid w:val="00BC5460"/>
    <w:rsid w:val="00BC6B50"/>
    <w:rsid w:val="00BD0E25"/>
    <w:rsid w:val="00BF5BD6"/>
    <w:rsid w:val="00C03E31"/>
    <w:rsid w:val="00C33E72"/>
    <w:rsid w:val="00C354B2"/>
    <w:rsid w:val="00C35554"/>
    <w:rsid w:val="00C42709"/>
    <w:rsid w:val="00C533CC"/>
    <w:rsid w:val="00C5751C"/>
    <w:rsid w:val="00C61BFC"/>
    <w:rsid w:val="00C62B85"/>
    <w:rsid w:val="00C65438"/>
    <w:rsid w:val="00C87FD8"/>
    <w:rsid w:val="00C91381"/>
    <w:rsid w:val="00C91CBB"/>
    <w:rsid w:val="00CB4E70"/>
    <w:rsid w:val="00CC09B6"/>
    <w:rsid w:val="00CC666F"/>
    <w:rsid w:val="00CD1E3F"/>
    <w:rsid w:val="00CE44F6"/>
    <w:rsid w:val="00CE49DA"/>
    <w:rsid w:val="00CE7B61"/>
    <w:rsid w:val="00D00095"/>
    <w:rsid w:val="00D02FE1"/>
    <w:rsid w:val="00D114F0"/>
    <w:rsid w:val="00D20620"/>
    <w:rsid w:val="00D254F7"/>
    <w:rsid w:val="00D26091"/>
    <w:rsid w:val="00D2685C"/>
    <w:rsid w:val="00D34E7C"/>
    <w:rsid w:val="00D35489"/>
    <w:rsid w:val="00D36AFE"/>
    <w:rsid w:val="00D51276"/>
    <w:rsid w:val="00D5444D"/>
    <w:rsid w:val="00D7035F"/>
    <w:rsid w:val="00DA634F"/>
    <w:rsid w:val="00DA65AC"/>
    <w:rsid w:val="00DB1913"/>
    <w:rsid w:val="00DC2C99"/>
    <w:rsid w:val="00DC410D"/>
    <w:rsid w:val="00DC5A81"/>
    <w:rsid w:val="00DC68CA"/>
    <w:rsid w:val="00DC7CBA"/>
    <w:rsid w:val="00DD73B7"/>
    <w:rsid w:val="00DF28BC"/>
    <w:rsid w:val="00DF34B9"/>
    <w:rsid w:val="00E01053"/>
    <w:rsid w:val="00E07ACF"/>
    <w:rsid w:val="00E331A1"/>
    <w:rsid w:val="00E33202"/>
    <w:rsid w:val="00E336A9"/>
    <w:rsid w:val="00E472B1"/>
    <w:rsid w:val="00E50624"/>
    <w:rsid w:val="00E54633"/>
    <w:rsid w:val="00E568DF"/>
    <w:rsid w:val="00E64269"/>
    <w:rsid w:val="00E82267"/>
    <w:rsid w:val="00E853CE"/>
    <w:rsid w:val="00E867B6"/>
    <w:rsid w:val="00EA010F"/>
    <w:rsid w:val="00ED1B63"/>
    <w:rsid w:val="00ED3C1F"/>
    <w:rsid w:val="00ED4085"/>
    <w:rsid w:val="00ED420E"/>
    <w:rsid w:val="00ED6FBE"/>
    <w:rsid w:val="00EE2F57"/>
    <w:rsid w:val="00EF4C34"/>
    <w:rsid w:val="00EF77C6"/>
    <w:rsid w:val="00F05438"/>
    <w:rsid w:val="00F1361C"/>
    <w:rsid w:val="00F156F0"/>
    <w:rsid w:val="00F160C7"/>
    <w:rsid w:val="00F2408F"/>
    <w:rsid w:val="00F240E9"/>
    <w:rsid w:val="00F36D8F"/>
    <w:rsid w:val="00F417B1"/>
    <w:rsid w:val="00F45853"/>
    <w:rsid w:val="00F602DF"/>
    <w:rsid w:val="00F754A1"/>
    <w:rsid w:val="00F81FD9"/>
    <w:rsid w:val="00F841AA"/>
    <w:rsid w:val="00F84A94"/>
    <w:rsid w:val="00F87E96"/>
    <w:rsid w:val="00FA23E8"/>
    <w:rsid w:val="00FD3CC1"/>
    <w:rsid w:val="00FF1E02"/>
    <w:rsid w:val="00FF30B4"/>
    <w:rsid w:val="012A5EC2"/>
    <w:rsid w:val="015975B8"/>
    <w:rsid w:val="02FEBE30"/>
    <w:rsid w:val="04120C0F"/>
    <w:rsid w:val="04916F1E"/>
    <w:rsid w:val="061E35DE"/>
    <w:rsid w:val="066E0107"/>
    <w:rsid w:val="07996F6E"/>
    <w:rsid w:val="07DFD8BA"/>
    <w:rsid w:val="09867E8F"/>
    <w:rsid w:val="0A2032A3"/>
    <w:rsid w:val="0CA8290A"/>
    <w:rsid w:val="0D35B1ED"/>
    <w:rsid w:val="0E254B6B"/>
    <w:rsid w:val="0F98263C"/>
    <w:rsid w:val="101860EC"/>
    <w:rsid w:val="101F47CC"/>
    <w:rsid w:val="10C055FF"/>
    <w:rsid w:val="11694EBD"/>
    <w:rsid w:val="11772AA4"/>
    <w:rsid w:val="118107EC"/>
    <w:rsid w:val="12E24EE2"/>
    <w:rsid w:val="13D50BC4"/>
    <w:rsid w:val="14B17F78"/>
    <w:rsid w:val="165E0673"/>
    <w:rsid w:val="16B831D5"/>
    <w:rsid w:val="16BB723D"/>
    <w:rsid w:val="17AD428A"/>
    <w:rsid w:val="17E50567"/>
    <w:rsid w:val="186504BB"/>
    <w:rsid w:val="19A445FC"/>
    <w:rsid w:val="1BE8440E"/>
    <w:rsid w:val="1CC6347C"/>
    <w:rsid w:val="1D155CEE"/>
    <w:rsid w:val="1D1638FE"/>
    <w:rsid w:val="1E312DEB"/>
    <w:rsid w:val="1E740ACF"/>
    <w:rsid w:val="1FF35744"/>
    <w:rsid w:val="1FF6BC77"/>
    <w:rsid w:val="2186353C"/>
    <w:rsid w:val="23860B96"/>
    <w:rsid w:val="240371BF"/>
    <w:rsid w:val="244F3473"/>
    <w:rsid w:val="24C97D99"/>
    <w:rsid w:val="25A718F0"/>
    <w:rsid w:val="25BB59F6"/>
    <w:rsid w:val="260F557C"/>
    <w:rsid w:val="26970054"/>
    <w:rsid w:val="281408E2"/>
    <w:rsid w:val="29FD04D3"/>
    <w:rsid w:val="2BFF7BC6"/>
    <w:rsid w:val="2C8A61B5"/>
    <w:rsid w:val="2DF04E50"/>
    <w:rsid w:val="2E586DFA"/>
    <w:rsid w:val="2F040D46"/>
    <w:rsid w:val="2F6B035B"/>
    <w:rsid w:val="2FAE5751"/>
    <w:rsid w:val="2FB1A395"/>
    <w:rsid w:val="2FD9A7D8"/>
    <w:rsid w:val="2FDBF714"/>
    <w:rsid w:val="30AB6865"/>
    <w:rsid w:val="319F7F4E"/>
    <w:rsid w:val="32BD1EF1"/>
    <w:rsid w:val="3304709D"/>
    <w:rsid w:val="33A773CB"/>
    <w:rsid w:val="349D6851"/>
    <w:rsid w:val="35E6413B"/>
    <w:rsid w:val="36AA5135"/>
    <w:rsid w:val="36BE0DA7"/>
    <w:rsid w:val="376B6AA6"/>
    <w:rsid w:val="376D39B2"/>
    <w:rsid w:val="37E16F03"/>
    <w:rsid w:val="37F53A3B"/>
    <w:rsid w:val="389B6C89"/>
    <w:rsid w:val="38D469F0"/>
    <w:rsid w:val="39627CCD"/>
    <w:rsid w:val="397BAF1F"/>
    <w:rsid w:val="3AB79AF3"/>
    <w:rsid w:val="3AE834C0"/>
    <w:rsid w:val="3B7EF35A"/>
    <w:rsid w:val="3B9FDB6C"/>
    <w:rsid w:val="3BF5BC2F"/>
    <w:rsid w:val="3CEBA265"/>
    <w:rsid w:val="3D98207C"/>
    <w:rsid w:val="3DEE7CF3"/>
    <w:rsid w:val="3E740A63"/>
    <w:rsid w:val="3E78745D"/>
    <w:rsid w:val="3EE17838"/>
    <w:rsid w:val="3F55381A"/>
    <w:rsid w:val="3F7F7599"/>
    <w:rsid w:val="3FF4CAE0"/>
    <w:rsid w:val="3FF7B227"/>
    <w:rsid w:val="41402D64"/>
    <w:rsid w:val="44E268DA"/>
    <w:rsid w:val="450D13D7"/>
    <w:rsid w:val="45506656"/>
    <w:rsid w:val="486A6C7A"/>
    <w:rsid w:val="4A627F82"/>
    <w:rsid w:val="4B0E749A"/>
    <w:rsid w:val="4B2477C4"/>
    <w:rsid w:val="4B4F25DA"/>
    <w:rsid w:val="4BE068DB"/>
    <w:rsid w:val="4D577224"/>
    <w:rsid w:val="4DBF1CEB"/>
    <w:rsid w:val="4DF0007C"/>
    <w:rsid w:val="4EAB630A"/>
    <w:rsid w:val="4ECE2238"/>
    <w:rsid w:val="4F833267"/>
    <w:rsid w:val="4FE9BD67"/>
    <w:rsid w:val="4FFB052F"/>
    <w:rsid w:val="537E6D0A"/>
    <w:rsid w:val="53F74C96"/>
    <w:rsid w:val="55170BA8"/>
    <w:rsid w:val="553218C9"/>
    <w:rsid w:val="567E1AA5"/>
    <w:rsid w:val="56E47B74"/>
    <w:rsid w:val="57175D52"/>
    <w:rsid w:val="57BD3DD4"/>
    <w:rsid w:val="5AF92295"/>
    <w:rsid w:val="5B250254"/>
    <w:rsid w:val="5BDD79E6"/>
    <w:rsid w:val="5BF561CA"/>
    <w:rsid w:val="5BFF5DFC"/>
    <w:rsid w:val="5CD71FC4"/>
    <w:rsid w:val="5D1F11B5"/>
    <w:rsid w:val="5D695134"/>
    <w:rsid w:val="5DAE1B18"/>
    <w:rsid w:val="5DE7D9E5"/>
    <w:rsid w:val="5ECEC941"/>
    <w:rsid w:val="5FBF9FF3"/>
    <w:rsid w:val="5FCD4E2C"/>
    <w:rsid w:val="5FEF394A"/>
    <w:rsid w:val="5FF67715"/>
    <w:rsid w:val="62BF3928"/>
    <w:rsid w:val="63B3701E"/>
    <w:rsid w:val="647F5392"/>
    <w:rsid w:val="65E66580"/>
    <w:rsid w:val="664B1D71"/>
    <w:rsid w:val="664B4E8E"/>
    <w:rsid w:val="67277B67"/>
    <w:rsid w:val="67AA3209"/>
    <w:rsid w:val="698D0931"/>
    <w:rsid w:val="6A7FE5F3"/>
    <w:rsid w:val="6B053271"/>
    <w:rsid w:val="6BDD78B3"/>
    <w:rsid w:val="6C4A05C8"/>
    <w:rsid w:val="6C574252"/>
    <w:rsid w:val="6C8742B8"/>
    <w:rsid w:val="6DBF5E93"/>
    <w:rsid w:val="6DFF077E"/>
    <w:rsid w:val="6E714EF0"/>
    <w:rsid w:val="6E7E3605"/>
    <w:rsid w:val="6E7FDCC7"/>
    <w:rsid w:val="6ED6A62E"/>
    <w:rsid w:val="6EE00B15"/>
    <w:rsid w:val="6F6FB3EB"/>
    <w:rsid w:val="6F8731EA"/>
    <w:rsid w:val="6FCE6052"/>
    <w:rsid w:val="6FD57C00"/>
    <w:rsid w:val="6FEFFFD8"/>
    <w:rsid w:val="6FF5CC65"/>
    <w:rsid w:val="6FFB47EC"/>
    <w:rsid w:val="6FFF034A"/>
    <w:rsid w:val="70484440"/>
    <w:rsid w:val="712A28F1"/>
    <w:rsid w:val="715C0E4B"/>
    <w:rsid w:val="71992E7C"/>
    <w:rsid w:val="72233669"/>
    <w:rsid w:val="72734D90"/>
    <w:rsid w:val="73160E6D"/>
    <w:rsid w:val="7332FE48"/>
    <w:rsid w:val="73AB61DA"/>
    <w:rsid w:val="73AD73D5"/>
    <w:rsid w:val="73B6EB34"/>
    <w:rsid w:val="73FA497D"/>
    <w:rsid w:val="744731E5"/>
    <w:rsid w:val="74BBD01D"/>
    <w:rsid w:val="74ED5379"/>
    <w:rsid w:val="75DEEEC2"/>
    <w:rsid w:val="75E32345"/>
    <w:rsid w:val="76E3355F"/>
    <w:rsid w:val="76FF5125"/>
    <w:rsid w:val="776F6FFA"/>
    <w:rsid w:val="778769C8"/>
    <w:rsid w:val="77A75DCA"/>
    <w:rsid w:val="77DC22F5"/>
    <w:rsid w:val="783E271A"/>
    <w:rsid w:val="78616DE9"/>
    <w:rsid w:val="78E875D7"/>
    <w:rsid w:val="79086DAD"/>
    <w:rsid w:val="79D7FD79"/>
    <w:rsid w:val="79EE5BA4"/>
    <w:rsid w:val="7A894339"/>
    <w:rsid w:val="7AD284E8"/>
    <w:rsid w:val="7AFF7572"/>
    <w:rsid w:val="7B6C7DFB"/>
    <w:rsid w:val="7BBFBED0"/>
    <w:rsid w:val="7BC3E394"/>
    <w:rsid w:val="7C1F3737"/>
    <w:rsid w:val="7CBFC87B"/>
    <w:rsid w:val="7CFE0F48"/>
    <w:rsid w:val="7D272ABC"/>
    <w:rsid w:val="7D7EC23E"/>
    <w:rsid w:val="7E8ADEBF"/>
    <w:rsid w:val="7EEF11D3"/>
    <w:rsid w:val="7EFE4840"/>
    <w:rsid w:val="7F0971A6"/>
    <w:rsid w:val="7F1D62E7"/>
    <w:rsid w:val="7F3F679B"/>
    <w:rsid w:val="7F4FC4EF"/>
    <w:rsid w:val="7F5E4D54"/>
    <w:rsid w:val="7F6E0135"/>
    <w:rsid w:val="7F79F205"/>
    <w:rsid w:val="7FA30C79"/>
    <w:rsid w:val="7FA79C44"/>
    <w:rsid w:val="7FAF8ABF"/>
    <w:rsid w:val="7FB7269E"/>
    <w:rsid w:val="7FC96657"/>
    <w:rsid w:val="7FDA9588"/>
    <w:rsid w:val="7FDF220F"/>
    <w:rsid w:val="7FEDC5F7"/>
    <w:rsid w:val="7FEDD9DE"/>
    <w:rsid w:val="7FF5890D"/>
    <w:rsid w:val="7FF93490"/>
    <w:rsid w:val="99FF2014"/>
    <w:rsid w:val="A6DD0D7F"/>
    <w:rsid w:val="ACFF4FBB"/>
    <w:rsid w:val="ADC6F725"/>
    <w:rsid w:val="B7CF06AB"/>
    <w:rsid w:val="B7CFA926"/>
    <w:rsid w:val="B7F8786B"/>
    <w:rsid w:val="BABB6AA1"/>
    <w:rsid w:val="BB2F4199"/>
    <w:rsid w:val="BCFFB442"/>
    <w:rsid w:val="BD079C78"/>
    <w:rsid w:val="BD733540"/>
    <w:rsid w:val="BF3735D5"/>
    <w:rsid w:val="BF7F09AC"/>
    <w:rsid w:val="BFD475C3"/>
    <w:rsid w:val="BFDE5EA6"/>
    <w:rsid w:val="CF6FC6F3"/>
    <w:rsid w:val="CFD3D3D7"/>
    <w:rsid w:val="CFDF1009"/>
    <w:rsid w:val="D7D7B16A"/>
    <w:rsid w:val="D8D6DB89"/>
    <w:rsid w:val="DB6F4CAB"/>
    <w:rsid w:val="DB777682"/>
    <w:rsid w:val="DD1FB521"/>
    <w:rsid w:val="DEFBFEAE"/>
    <w:rsid w:val="DF1F3B80"/>
    <w:rsid w:val="DF6F9789"/>
    <w:rsid w:val="DFE9BE81"/>
    <w:rsid w:val="DFFFA9E8"/>
    <w:rsid w:val="E5F4E9DC"/>
    <w:rsid w:val="E70FE695"/>
    <w:rsid w:val="EB2E368B"/>
    <w:rsid w:val="ECFED1BC"/>
    <w:rsid w:val="ED1D69BB"/>
    <w:rsid w:val="ED7FD312"/>
    <w:rsid w:val="EF2E1AC6"/>
    <w:rsid w:val="EF53993F"/>
    <w:rsid w:val="EF6FD633"/>
    <w:rsid w:val="EFBFB2F4"/>
    <w:rsid w:val="EFBFFA21"/>
    <w:rsid w:val="F2BEBCB8"/>
    <w:rsid w:val="F36FB518"/>
    <w:rsid w:val="F3DE1A04"/>
    <w:rsid w:val="F3F722E5"/>
    <w:rsid w:val="F4FBCD07"/>
    <w:rsid w:val="FA5F1E70"/>
    <w:rsid w:val="FA5FDB97"/>
    <w:rsid w:val="FB7F486A"/>
    <w:rsid w:val="FBFF5B2E"/>
    <w:rsid w:val="FD7FFE2B"/>
    <w:rsid w:val="FDEE196B"/>
    <w:rsid w:val="FDFE6575"/>
    <w:rsid w:val="FEDFDDC2"/>
    <w:rsid w:val="FEED32F6"/>
    <w:rsid w:val="FEF781DD"/>
    <w:rsid w:val="FF3F7E3F"/>
    <w:rsid w:val="FFBA12D7"/>
    <w:rsid w:val="FFCBD314"/>
    <w:rsid w:val="FFDFF91C"/>
    <w:rsid w:val="FFDFFAEE"/>
    <w:rsid w:val="FFEF6777"/>
    <w:rsid w:val="FFF9B57B"/>
    <w:rsid w:val="FFFD61D9"/>
    <w:rsid w:val="FFFD8F59"/>
    <w:rsid w:val="FFFF2BB1"/>
    <w:rsid w:val="FFFFB04D"/>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5">
    <w:name w:val="heading 1"/>
    <w:basedOn w:val="1"/>
    <w:next w:val="1"/>
    <w:link w:val="28"/>
    <w:qFormat/>
    <w:uiPriority w:val="9"/>
    <w:pPr>
      <w:keepNext/>
      <w:keepLines/>
      <w:spacing w:before="340" w:after="330" w:line="578" w:lineRule="auto"/>
      <w:outlineLvl w:val="0"/>
    </w:pPr>
    <w:rPr>
      <w:b/>
      <w:bCs/>
      <w:kern w:val="44"/>
      <w:sz w:val="44"/>
      <w:szCs w:val="44"/>
    </w:rPr>
  </w:style>
  <w:style w:type="paragraph" w:styleId="6">
    <w:name w:val="heading 2"/>
    <w:basedOn w:val="1"/>
    <w:next w:val="1"/>
    <w:link w:val="29"/>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7">
    <w:name w:val="heading 3"/>
    <w:basedOn w:val="1"/>
    <w:next w:val="1"/>
    <w:link w:val="32"/>
    <w:unhideWhenUsed/>
    <w:qFormat/>
    <w:uiPriority w:val="9"/>
    <w:pPr>
      <w:keepNext/>
      <w:keepLines/>
      <w:spacing w:before="260" w:after="260" w:line="416" w:lineRule="auto"/>
      <w:outlineLvl w:val="2"/>
    </w:pPr>
    <w:rPr>
      <w:b/>
      <w:bCs/>
      <w:sz w:val="32"/>
      <w:szCs w:val="32"/>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2">
    <w:name w:val="footnote text"/>
    <w:basedOn w:val="1"/>
    <w:next w:val="3"/>
    <w:semiHidden/>
    <w:qFormat/>
    <w:uiPriority w:val="0"/>
    <w:pPr>
      <w:snapToGrid w:val="0"/>
      <w:jc w:val="left"/>
    </w:pPr>
    <w:rPr>
      <w:sz w:val="18"/>
      <w:szCs w:val="18"/>
    </w:rPr>
  </w:style>
  <w:style w:type="paragraph" w:styleId="3">
    <w:name w:val="Body Text First Indent 2"/>
    <w:basedOn w:val="4"/>
    <w:unhideWhenUsed/>
    <w:qFormat/>
    <w:uiPriority w:val="99"/>
    <w:pPr>
      <w:ind w:firstLine="420" w:firstLineChars="200"/>
    </w:pPr>
  </w:style>
  <w:style w:type="paragraph" w:styleId="4">
    <w:name w:val="Body Text Indent"/>
    <w:basedOn w:val="1"/>
    <w:next w:val="3"/>
    <w:qFormat/>
    <w:uiPriority w:val="0"/>
    <w:pPr>
      <w:spacing w:after="120"/>
      <w:ind w:left="200" w:leftChars="200"/>
    </w:pPr>
    <w:rPr>
      <w:rFonts w:ascii="仿宋_GB2312"/>
      <w:szCs w:val="32"/>
    </w:rPr>
  </w:style>
  <w:style w:type="paragraph" w:styleId="8">
    <w:name w:val="Body Text"/>
    <w:basedOn w:val="1"/>
    <w:next w:val="1"/>
    <w:link w:val="25"/>
    <w:qFormat/>
    <w:uiPriority w:val="99"/>
    <w:pPr>
      <w:spacing w:beforeLines="30"/>
    </w:pPr>
    <w:rPr>
      <w:rFonts w:ascii="仿宋_GB2312" w:eastAsia="仿宋_GB2312"/>
      <w:kern w:val="0"/>
      <w:sz w:val="30"/>
    </w:rPr>
  </w:style>
  <w:style w:type="paragraph" w:styleId="9">
    <w:name w:val="toc 3"/>
    <w:basedOn w:val="1"/>
    <w:next w:val="1"/>
    <w:unhideWhenUsed/>
    <w:qFormat/>
    <w:uiPriority w:val="39"/>
    <w:pPr>
      <w:tabs>
        <w:tab w:val="right" w:leader="dot" w:pos="8296"/>
      </w:tabs>
      <w:ind w:left="840" w:leftChars="400"/>
    </w:pPr>
  </w:style>
  <w:style w:type="paragraph" w:styleId="10">
    <w:name w:val="Balloon Text"/>
    <w:basedOn w:val="1"/>
    <w:link w:val="31"/>
    <w:semiHidden/>
    <w:unhideWhenUsed/>
    <w:qFormat/>
    <w:uiPriority w:val="99"/>
    <w:rPr>
      <w:sz w:val="18"/>
      <w:szCs w:val="18"/>
    </w:rPr>
  </w:style>
  <w:style w:type="paragraph" w:styleId="11">
    <w:name w:val="footer"/>
    <w:basedOn w:val="1"/>
    <w:link w:val="23"/>
    <w:qFormat/>
    <w:uiPriority w:val="99"/>
    <w:pPr>
      <w:tabs>
        <w:tab w:val="center" w:pos="4153"/>
        <w:tab w:val="right" w:pos="8306"/>
      </w:tabs>
      <w:snapToGrid w:val="0"/>
      <w:jc w:val="left"/>
    </w:pPr>
    <w:rPr>
      <w:rFonts w:ascii="Calibri" w:hAnsi="Calibri"/>
      <w:kern w:val="0"/>
      <w:sz w:val="18"/>
      <w:szCs w:val="18"/>
    </w:rPr>
  </w:style>
  <w:style w:type="paragraph" w:styleId="12">
    <w:name w:val="header"/>
    <w:basedOn w:val="1"/>
    <w:link w:val="21"/>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3">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4">
    <w:name w:val="toc 2"/>
    <w:basedOn w:val="1"/>
    <w:next w:val="1"/>
    <w:unhideWhenUsed/>
    <w:qFormat/>
    <w:uiPriority w:val="39"/>
    <w:pPr>
      <w:tabs>
        <w:tab w:val="right" w:leader="dot" w:pos="8296"/>
      </w:tabs>
      <w:ind w:left="420" w:leftChars="200"/>
    </w:pPr>
  </w:style>
  <w:style w:type="character" w:styleId="17">
    <w:name w:val="Strong"/>
    <w:basedOn w:val="16"/>
    <w:qFormat/>
    <w:uiPriority w:val="99"/>
    <w:rPr>
      <w:b/>
    </w:rPr>
  </w:style>
  <w:style w:type="character" w:styleId="18">
    <w:name w:val="Hyperlink"/>
    <w:basedOn w:val="16"/>
    <w:unhideWhenUsed/>
    <w:qFormat/>
    <w:uiPriority w:val="99"/>
    <w:rPr>
      <w:color w:val="0000FF" w:themeColor="hyperlink"/>
      <w:u w:val="single"/>
      <w14:textFill>
        <w14:solidFill>
          <w14:schemeClr w14:val="hlink"/>
        </w14:solidFill>
      </w14:textFill>
    </w:rPr>
  </w:style>
  <w:style w:type="paragraph" w:customStyle="1" w:styleId="19">
    <w:name w:val="标题 5（有编号）（绿盟科技）"/>
    <w:next w:val="1"/>
    <w:qFormat/>
    <w:uiPriority w:val="99"/>
    <w:pPr>
      <w:keepNext/>
      <w:keepLines/>
      <w:widowControl w:val="0"/>
      <w:spacing w:before="280" w:after="156" w:line="377" w:lineRule="auto"/>
      <w:outlineLvl w:val="4"/>
    </w:pPr>
    <w:rPr>
      <w:rFonts w:ascii="Arial" w:hAnsi="Arial" w:eastAsia="黑体" w:cs="Times New Roman"/>
      <w:b/>
      <w:kern w:val="2"/>
      <w:sz w:val="24"/>
      <w:szCs w:val="28"/>
      <w:lang w:val="en-US" w:eastAsia="zh-CN" w:bidi="ar-SA"/>
    </w:rPr>
  </w:style>
  <w:style w:type="character" w:customStyle="1" w:styleId="20">
    <w:name w:val="Header Char"/>
    <w:basedOn w:val="16"/>
    <w:semiHidden/>
    <w:qFormat/>
    <w:uiPriority w:val="99"/>
    <w:rPr>
      <w:rFonts w:ascii="Times New Roman" w:hAnsi="Times New Roman"/>
      <w:sz w:val="18"/>
      <w:szCs w:val="18"/>
    </w:rPr>
  </w:style>
  <w:style w:type="character" w:customStyle="1" w:styleId="21">
    <w:name w:val="页眉 字符"/>
    <w:link w:val="12"/>
    <w:semiHidden/>
    <w:qFormat/>
    <w:locked/>
    <w:uiPriority w:val="99"/>
    <w:rPr>
      <w:sz w:val="18"/>
    </w:rPr>
  </w:style>
  <w:style w:type="character" w:customStyle="1" w:styleId="22">
    <w:name w:val="Footer Char"/>
    <w:basedOn w:val="16"/>
    <w:semiHidden/>
    <w:qFormat/>
    <w:uiPriority w:val="99"/>
    <w:rPr>
      <w:rFonts w:ascii="Times New Roman" w:hAnsi="Times New Roman"/>
      <w:sz w:val="18"/>
      <w:szCs w:val="18"/>
    </w:rPr>
  </w:style>
  <w:style w:type="character" w:customStyle="1" w:styleId="23">
    <w:name w:val="页脚 字符"/>
    <w:link w:val="11"/>
    <w:qFormat/>
    <w:locked/>
    <w:uiPriority w:val="99"/>
    <w:rPr>
      <w:sz w:val="18"/>
    </w:rPr>
  </w:style>
  <w:style w:type="character" w:customStyle="1" w:styleId="24">
    <w:name w:val="Body Text Char"/>
    <w:basedOn w:val="16"/>
    <w:semiHidden/>
    <w:qFormat/>
    <w:uiPriority w:val="99"/>
    <w:rPr>
      <w:rFonts w:ascii="Times New Roman" w:hAnsi="Times New Roman"/>
      <w:szCs w:val="24"/>
    </w:rPr>
  </w:style>
  <w:style w:type="character" w:customStyle="1" w:styleId="25">
    <w:name w:val="正文文本 字符"/>
    <w:link w:val="8"/>
    <w:qFormat/>
    <w:locked/>
    <w:uiPriority w:val="99"/>
    <w:rPr>
      <w:rFonts w:ascii="仿宋_GB2312" w:hAnsi="Times New Roman" w:eastAsia="仿宋_GB2312"/>
      <w:sz w:val="24"/>
    </w:rPr>
  </w:style>
  <w:style w:type="paragraph" w:customStyle="1" w:styleId="26">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27">
    <w:name w:val="List Paragraph"/>
    <w:basedOn w:val="1"/>
    <w:qFormat/>
    <w:uiPriority w:val="34"/>
    <w:pPr>
      <w:ind w:firstLine="420" w:firstLineChars="200"/>
    </w:pPr>
  </w:style>
  <w:style w:type="character" w:customStyle="1" w:styleId="28">
    <w:name w:val="标题 1 字符"/>
    <w:basedOn w:val="16"/>
    <w:link w:val="5"/>
    <w:qFormat/>
    <w:uiPriority w:val="9"/>
    <w:rPr>
      <w:rFonts w:ascii="Times New Roman" w:hAnsi="Times New Roman"/>
      <w:b/>
      <w:bCs/>
      <w:kern w:val="44"/>
      <w:sz w:val="44"/>
      <w:szCs w:val="44"/>
    </w:rPr>
  </w:style>
  <w:style w:type="character" w:customStyle="1" w:styleId="29">
    <w:name w:val="标题 2 字符"/>
    <w:basedOn w:val="16"/>
    <w:link w:val="6"/>
    <w:qFormat/>
    <w:uiPriority w:val="9"/>
    <w:rPr>
      <w:rFonts w:asciiTheme="majorHAnsi" w:hAnsiTheme="majorHAnsi" w:eastAsiaTheme="majorEastAsia" w:cstheme="majorBidi"/>
      <w:b/>
      <w:bCs/>
      <w:kern w:val="2"/>
      <w:sz w:val="32"/>
      <w:szCs w:val="32"/>
    </w:rPr>
  </w:style>
  <w:style w:type="paragraph" w:customStyle="1" w:styleId="30">
    <w:name w:val="TOC 标题1"/>
    <w:basedOn w:val="5"/>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31">
    <w:name w:val="批注框文本 字符"/>
    <w:basedOn w:val="16"/>
    <w:link w:val="10"/>
    <w:semiHidden/>
    <w:qFormat/>
    <w:uiPriority w:val="99"/>
    <w:rPr>
      <w:rFonts w:ascii="Times New Roman" w:hAnsi="Times New Roman"/>
      <w:kern w:val="2"/>
      <w:sz w:val="18"/>
      <w:szCs w:val="18"/>
    </w:rPr>
  </w:style>
  <w:style w:type="character" w:customStyle="1" w:styleId="32">
    <w:name w:val="标题 3 字符"/>
    <w:basedOn w:val="16"/>
    <w:link w:val="7"/>
    <w:qFormat/>
    <w:uiPriority w:val="9"/>
    <w:rPr>
      <w:rFonts w:ascii="Times New Roman" w:hAnsi="Times New Roman"/>
      <w:b/>
      <w:bCs/>
      <w:kern w:val="2"/>
      <w:sz w:val="32"/>
      <w:szCs w:val="32"/>
    </w:rPr>
  </w:style>
  <w:style w:type="paragraph" w:customStyle="1" w:styleId="33">
    <w:name w:val="TOC 标题2"/>
    <w:basedOn w:val="5"/>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34">
    <w:name w:val="四号正文"/>
    <w:basedOn w:val="1"/>
    <w:qFormat/>
    <w:uiPriority w:val="0"/>
    <w:pPr>
      <w:spacing w:line="360" w:lineRule="auto"/>
    </w:pPr>
    <w:rPr>
      <w:rFonts w:ascii="??" w:hAnsi="??"/>
      <w:color w:val="000000"/>
      <w:kern w:val="0"/>
      <w:sz w:val="28"/>
      <w:szCs w:val="21"/>
      <w:lang w:val="zh-CN"/>
    </w:rPr>
  </w:style>
</w:styles>
</file>

<file path=word/_rels/document.xml.rels><?xml version="1.0" encoding="UTF-8" standalone="yes"?>
<Relationships xmlns="http://schemas.openxmlformats.org/package/2006/relationships"><Relationship Id="rId9" Type="http://schemas.openxmlformats.org/officeDocument/2006/relationships/chart" Target="charts/chart1.xml"/><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8" Type="http://schemas.openxmlformats.org/officeDocument/2006/relationships/fontTable" Target="fontTable.xml"/><Relationship Id="rId47" Type="http://schemas.openxmlformats.org/officeDocument/2006/relationships/customXml" Target="../customXml/item1.xml"/><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png"/><Relationship Id="rId43" Type="http://schemas.openxmlformats.org/officeDocument/2006/relationships/image" Target="media/image28.png"/><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png"/><Relationship Id="rId4" Type="http://schemas.openxmlformats.org/officeDocument/2006/relationships/footer" Target="footer1.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header" Target="head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chart" Target="charts/chart7.xml"/><Relationship Id="rId14" Type="http://schemas.openxmlformats.org/officeDocument/2006/relationships/chart" Target="charts/chart6.xml"/><Relationship Id="rId13" Type="http://schemas.openxmlformats.org/officeDocument/2006/relationships/chart" Target="charts/chart5.xml"/><Relationship Id="rId12" Type="http://schemas.openxmlformats.org/officeDocument/2006/relationships/chart" Target="charts/chart4.xml"/><Relationship Id="rId11" Type="http://schemas.openxmlformats.org/officeDocument/2006/relationships/chart" Target="charts/chart3.xml"/><Relationship Id="rId10" Type="http://schemas.openxmlformats.org/officeDocument/2006/relationships/chart" Target="charts/chart2.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admin\Desktop\2024&#24180;&#20915;&#31639;&#20844;&#24320;%20&#27784;&#21033;&#33778;\&#22270;&#34920;&#24037;&#20855;\&#20915;&#31639;&#22270;&#34920;(1)(1).et"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dmin\Desktop\2024&#24180;&#20915;&#31639;&#20844;&#24320;%20&#27784;&#21033;&#33778;\&#22270;&#34920;&#24037;&#20855;\&#20915;&#31639;&#22270;&#34920;(1)(1).et"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admin\Desktop\2024&#24180;&#20915;&#31639;&#20844;&#24320;%20&#27784;&#21033;&#33778;\&#22270;&#34920;&#24037;&#20855;\&#20915;&#31639;&#22270;&#34920;(1)(1).et"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admin\Desktop\2024&#24180;&#20915;&#31639;&#20844;&#24320;%20&#27784;&#21033;&#33778;\&#22270;&#34920;&#24037;&#20855;\&#20915;&#31639;&#22270;&#34920;(1)(1).et"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admin\Desktop\2024&#24180;&#20915;&#31639;&#20844;&#24320;%20&#27784;&#21033;&#33778;\&#22270;&#34920;&#24037;&#20855;\&#20915;&#31639;&#22270;&#34920;(1)(1).et"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dmin\Desktop\2024&#24180;&#20915;&#31639;&#20844;&#24320;%20&#27784;&#21033;&#33778;\&#22270;&#34920;&#24037;&#20855;\&#20915;&#31639;&#22270;&#34920;(1)(1).et"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admin\Desktop\2024&#24180;&#20915;&#31639;&#20844;&#24320;%20&#27784;&#21033;&#33778;\&#22270;&#34920;&#24037;&#20855;\&#20915;&#31639;&#22270;&#34920;(1)(1).et"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lgn="ctr" defTabSz="914400">
              <a:defRPr lang="zh-CN" sz="1200" b="0" i="0" u="none" strike="noStrike" kern="1200" spc="0" baseline="0">
                <a:solidFill>
                  <a:schemeClr val="tx1">
                    <a:lumMod val="65000"/>
                    <a:lumOff val="35000"/>
                  </a:schemeClr>
                </a:solidFill>
                <a:latin typeface="+mn-lt"/>
                <a:ea typeface="+mn-ea"/>
                <a:cs typeface="+mn-cs"/>
              </a:defRPr>
            </a:pPr>
            <a:r>
              <a:rPr altLang="en-US" sz="1200" b="0" i="0" u="none" strike="noStrike" baseline="0">
                <a:solidFill>
                  <a:srgbClr val="333333"/>
                </a:solidFill>
                <a:latin typeface="宋体" panose="02010600030101010101" charset="-122"/>
                <a:ea typeface="宋体" panose="02010600030101010101" charset="-122"/>
                <a:cs typeface="宋体" panose="02010600030101010101" charset="-122"/>
              </a:rPr>
              <a:t>收、支决算总计变动情况图 </a:t>
            </a:r>
            <a:r>
              <a:rPr lang="en-US" altLang="zh-CN" sz="1200" b="0" i="0" u="none" strike="noStrike" baseline="0">
                <a:solidFill>
                  <a:srgbClr val="333333"/>
                </a:solidFill>
                <a:latin typeface="宋体" panose="02010600030101010101" charset="-122"/>
                <a:ea typeface="宋体" panose="02010600030101010101" charset="-122"/>
                <a:cs typeface="宋体" panose="02010600030101010101" charset="-122"/>
              </a:rPr>
              <a:t>                 </a:t>
            </a:r>
            <a:endParaRPr altLang="en-US" sz="1200" b="0" i="0" u="none" strike="noStrike" baseline="0">
              <a:solidFill>
                <a:srgbClr val="000000"/>
              </a:solidFill>
              <a:effectLst/>
              <a:latin typeface="宋体" panose="02010600030101010101" charset="-122"/>
              <a:ea typeface="宋体" panose="02010600030101010101" charset="-122"/>
              <a:cs typeface="宋体" panose="02010600030101010101" charset="-122"/>
            </a:endParaRPr>
          </a:p>
        </c:rich>
      </c:tx>
      <c:layout>
        <c:manualLayout>
          <c:xMode val="edge"/>
          <c:yMode val="edge"/>
          <c:x val="0.26919332198985"/>
          <c:y val="0.015083213977778"/>
        </c:manualLayout>
      </c:layout>
      <c:overlay val="0"/>
    </c:title>
    <c:autoTitleDeleted val="0"/>
    <c:plotArea>
      <c:layout/>
      <c:barChart>
        <c:barDir val="col"/>
        <c:grouping val="clustered"/>
        <c:varyColors val="0"/>
        <c:ser>
          <c:idx val="0"/>
          <c:order val="0"/>
          <c:tx>
            <c:strRef>
              <c:f>'[决算图表(1)(1).et]Sheet1'!$E$5</c:f>
              <c:strCache>
                <c:ptCount val="1"/>
                <c:pt idx="0">
                  <c:v>2023年</c:v>
                </c:pt>
              </c:strCache>
            </c:strRef>
          </c:tx>
          <c:spPr>
            <a:solidFill>
              <a:schemeClr val="accent1"/>
            </a:solidFill>
            <a:ln>
              <a:noFill/>
            </a:ln>
            <a:effectLst/>
          </c:spPr>
          <c:invertIfNegative val="0"/>
          <c:dLbls>
            <c:numFmt formatCode="General" sourceLinked="1"/>
            <c:spPr>
              <a:noFill/>
              <a:ln>
                <a:noFill/>
              </a:ln>
              <a:effectLst/>
            </c:spPr>
            <c:txPr>
              <a:bodyPr rot="0" spcFirstLastPara="0" vertOverflow="ellipsis" horzOverflow="overflow"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'[决算图表(1)(1).et]Sheet1'!$F$4:$G$4</c:f>
              <c:strCache>
                <c:ptCount val="2"/>
                <c:pt idx="0">
                  <c:v>收入</c:v>
                </c:pt>
                <c:pt idx="1">
                  <c:v>支出</c:v>
                </c:pt>
              </c:strCache>
            </c:strRef>
          </c:cat>
          <c:val>
            <c:numRef>
              <c:f>'[决算图表(1)(1).et]Sheet1'!$F$5:$G$5</c:f>
              <c:numCache>
                <c:formatCode>#,##0.00</c:formatCode>
                <c:ptCount val="2"/>
                <c:pt idx="0">
                  <c:v>39270.19</c:v>
                </c:pt>
                <c:pt idx="1">
                  <c:v>39270.19</c:v>
                </c:pt>
              </c:numCache>
            </c:numRef>
          </c:val>
        </c:ser>
        <c:ser>
          <c:idx val="1"/>
          <c:order val="1"/>
          <c:tx>
            <c:strRef>
              <c:f>'[决算图表(1)(1).et]Sheet1'!$E$6</c:f>
              <c:strCache>
                <c:ptCount val="1"/>
                <c:pt idx="0">
                  <c:v>2024年</c:v>
                </c:pt>
              </c:strCache>
            </c:strRef>
          </c:tx>
          <c:spPr>
            <a:solidFill>
              <a:schemeClr val="accent2"/>
            </a:solidFill>
            <a:ln>
              <a:noFill/>
            </a:ln>
            <a:effectLst/>
          </c:spPr>
          <c:invertIfNegative val="0"/>
          <c:dLbls>
            <c:numFmt formatCode="General" sourceLinked="1"/>
            <c:spPr>
              <a:noFill/>
              <a:ln>
                <a:noFill/>
              </a:ln>
              <a:effectLst/>
            </c:spPr>
            <c:txPr>
              <a:bodyPr rot="0" spcFirstLastPara="0" vertOverflow="ellipsis" horzOverflow="overflow"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'[决算图表(1)(1).et]Sheet1'!$F$4:$G$4</c:f>
              <c:strCache>
                <c:ptCount val="2"/>
                <c:pt idx="0">
                  <c:v>收入</c:v>
                </c:pt>
                <c:pt idx="1">
                  <c:v>支出</c:v>
                </c:pt>
              </c:strCache>
            </c:strRef>
          </c:cat>
          <c:val>
            <c:numRef>
              <c:f>'[决算图表(1)(1).et]Sheet1'!$F$6:$G$6</c:f>
              <c:numCache>
                <c:formatCode>#,##0.00</c:formatCode>
                <c:ptCount val="2"/>
                <c:pt idx="0">
                  <c:v>41149.27</c:v>
                </c:pt>
                <c:pt idx="1">
                  <c:v>41149.27</c:v>
                </c:pt>
              </c:numCache>
            </c:numRef>
          </c:val>
        </c:ser>
        <c:dLbls>
          <c:showLegendKey val="0"/>
          <c:showVal val="0"/>
          <c:showCatName val="0"/>
          <c:showSerName val="0"/>
          <c:showPercent val="0"/>
          <c:showBubbleSize val="0"/>
        </c:dLbls>
        <c:gapWidth val="219"/>
        <c:overlap val="-27"/>
        <c:axId val="534132654"/>
        <c:axId val="102462618"/>
      </c:barChart>
      <c:catAx>
        <c:axId val="534132654"/>
        <c:scaling>
          <c:orientation val="minMax"/>
        </c:scaling>
        <c:delete val="0"/>
        <c:axPos val="b"/>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horzOverflow="overflow"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2462618"/>
        <c:crosses val="autoZero"/>
        <c:auto val="1"/>
        <c:lblAlgn val="ctr"/>
        <c:lblOffset val="100"/>
        <c:noMultiLvlLbl val="0"/>
      </c:catAx>
      <c:valAx>
        <c:axId val="102462618"/>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0" vertOverflow="ellipsis" horzOverflow="overflow"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34132654"/>
        <c:crosses val="autoZero"/>
        <c:crossBetween val="between"/>
      </c:valAx>
      <c:spPr>
        <a:noFill/>
        <a:ln>
          <a:noFill/>
        </a:ln>
        <a:effectLst/>
      </c:spPr>
    </c:plotArea>
    <c:legend>
      <c:legendPos val="r"/>
      <c:layout>
        <c:manualLayout>
          <c:xMode val="edge"/>
          <c:yMode val="edge"/>
          <c:x val="0.3875"/>
          <c:y val="0.9"/>
          <c:w val="0.222"/>
          <c:h val="0.073"/>
        </c:manualLayout>
      </c:layout>
      <c:overlay val="0"/>
      <c:spPr>
        <a:noFill/>
        <a:ln>
          <a:noFill/>
        </a:ln>
        <a:effectLst/>
      </c:spPr>
      <c:txPr>
        <a:bodyPr rot="0" spcFirstLastPara="0" vertOverflow="ellipsis" horzOverflow="overflow"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rgbClr val="F9FBFA"/>
    </a:solidFill>
    <a:ln w="9525" cap="flat" cmpd="sng" algn="ctr">
      <a:solidFill>
        <a:schemeClr val="tx1">
          <a:lumMod val="15000"/>
          <a:lumOff val="85000"/>
        </a:schemeClr>
      </a:solidFill>
      <a:prstDash val="solid"/>
      <a:round/>
    </a:ln>
    <a:effectLst/>
  </c:spPr>
  <c:txPr>
    <a:bodyPr rot="0" spcFirstLastPara="0" vertOverflow="ellipsis" horzOverflow="overflow" vert="horz" wrap="square" anchor="ctr" anchorCtr="1"/>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t>收入决算结构图</a:t>
            </a:r>
            <a:endParaRPr sz="1400" b="0" i="0" u="none" strike="noStrike" baseline="0">
              <a:solidFill>
                <a:srgbClr val="595959">
                  <a:alpha val="100000"/>
                </a:srgbClr>
              </a:solidFill>
              <a:latin typeface="宋体" panose="02010600030101010101" charset="-122"/>
              <a:ea typeface="宋体" panose="02010600030101010101" charset="-122"/>
              <a:cs typeface="宋体" panose="02010600030101010101" charset="-122"/>
            </a:endParaRPr>
          </a:p>
        </c:rich>
      </c:tx>
      <c:layout>
        <c:manualLayout>
          <c:xMode val="edge"/>
          <c:yMode val="edge"/>
          <c:x val="0.415807809551459"/>
          <c:y val="0.0304709141274238"/>
        </c:manualLayout>
      </c:layout>
      <c:overlay val="0"/>
      <c:spPr>
        <a:noFill/>
        <a:ln>
          <a:noFill/>
        </a:ln>
        <a:effectLst/>
      </c:spPr>
    </c:title>
    <c:autoTitleDeleted val="0"/>
    <c:plotArea>
      <c:layout/>
      <c:pieChart>
        <c:varyColors val="1"/>
        <c:ser>
          <c:idx val="0"/>
          <c:order val="0"/>
          <c:explosion val="0"/>
          <c:dPt>
            <c:idx val="0"/>
            <c:bubble3D val="0"/>
            <c:explosion val="0"/>
            <c:spPr>
              <a:solidFill>
                <a:schemeClr val="accent1"/>
              </a:solidFill>
              <a:ln w="19050">
                <a:solidFill>
                  <a:schemeClr val="lt1"/>
                </a:solidFill>
              </a:ln>
              <a:effectLst/>
            </c:spPr>
          </c:dPt>
          <c:dLbls>
            <c:dLbl>
              <c:idx val="0"/>
              <c:layout/>
              <c:numFmt formatCode="General" sourceLinked="1"/>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extLst>
            </c:dLbl>
            <c:numFmt formatCode="General" sourceLinked="1"/>
            <c:spPr>
              <a:noFill/>
              <a:ln w="3175">
                <a:noFill/>
              </a:ln>
              <a:effectLst/>
            </c:spPr>
            <c:txPr>
              <a:bodyPr rot="0" spcFirstLastPara="0" vertOverflow="ellipsis" vert="horz" wrap="square" lIns="38100" tIns="19050" rIns="38100" bIns="19050" anchor="ctr" anchorCtr="1"/>
              <a:lstStyle/>
              <a:p>
                <a:pPr>
                  <a:defRPr lang="zh-CN" sz="1000" b="0" i="0" u="none" strike="noStrike" kern="1200" baseline="0">
                    <a:solidFill>
                      <a:srgbClr val="000000">
                        <a:alpha val="100000"/>
                      </a:srgbClr>
                    </a:solidFill>
                    <a:latin typeface="宋体" panose="02010600030101010101" charset="-122"/>
                    <a:ea typeface="宋体" panose="02010600030101010101" charset="-122"/>
                    <a:cs typeface="宋体" panose="02010600030101010101" charset="-122"/>
                  </a:defRPr>
                </a:pPr>
              </a:p>
            </c:txPr>
            <c:dLblPos val="bestFit"/>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rgbClr val="969696">
                          <a:alpha val="100000"/>
                        </a:srgbClr>
                      </a:solidFill>
                      <a:prstDash val="solid"/>
                      <a:round/>
                    </a:ln>
                  </c:spPr>
                </c15:leaderLines>
              </c:ext>
            </c:extLst>
          </c:dLbls>
          <c:cat>
            <c:strRef>
              <c:f>'[决算图表(1)(1).et]Sheet1'!$A$67</c:f>
              <c:strCache>
                <c:ptCount val="1"/>
                <c:pt idx="0">
                  <c:v>一般公共预算财政拨款收入</c:v>
                </c:pt>
              </c:strCache>
            </c:strRef>
          </c:cat>
          <c:val>
            <c:numRef>
              <c:f>'[决算图表(1)(1).et]Sheet1'!$B$67</c:f>
              <c:numCache>
                <c:formatCode>#,##0.00</c:formatCode>
                <c:ptCount val="1"/>
                <c:pt idx="0">
                  <c:v>41149.27</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0485"/>
          <c:y val="0.748"/>
          <c:w val="0.90275"/>
          <c:h val="0.228"/>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rgbClr val="F9FBFA"/>
    </a:solidFill>
    <a:ln w="9525" cap="flat" cmpd="sng" algn="ctr">
      <a:solidFill>
        <a:schemeClr val="tx1">
          <a:lumMod val="15000"/>
          <a:lumOff val="85000"/>
        </a:schemeClr>
      </a:solidFill>
      <a:prstDash val="solid"/>
      <a:round/>
    </a:ln>
    <a:effectLst/>
  </c:spPr>
  <c:txPr>
    <a:bodyPr wrap="square"/>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t>支出决算结构图</a:t>
            </a:r>
            <a:endParaRPr sz="1400" b="0" i="0" u="none" strike="noStrike" baseline="0">
              <a:solidFill>
                <a:srgbClr val="595959">
                  <a:alpha val="100000"/>
                </a:srgbClr>
              </a:solidFill>
              <a:latin typeface="宋体" panose="02010600030101010101" charset="-122"/>
              <a:ea typeface="宋体" panose="02010600030101010101" charset="-122"/>
              <a:cs typeface="宋体" panose="02010600030101010101" charset="-122"/>
            </a:endParaRPr>
          </a:p>
        </c:rich>
      </c:tx>
      <c:layout/>
      <c:overlay val="0"/>
      <c:spPr>
        <a:noFill/>
        <a:ln>
          <a:noFill/>
        </a:ln>
        <a:effectLst/>
      </c:spPr>
    </c:title>
    <c:autoTitleDeleted val="0"/>
    <c:plotArea>
      <c:layout/>
      <c:pieChart>
        <c:varyColors val="1"/>
        <c:ser>
          <c:idx val="0"/>
          <c:order val="0"/>
          <c:explosion val="0"/>
          <c:dPt>
            <c:idx val="0"/>
            <c:bubble3D val="0"/>
            <c:explosion val="0"/>
            <c:spPr>
              <a:solidFill>
                <a:schemeClr val="accent1"/>
              </a:solidFill>
              <a:ln w="19050">
                <a:solidFill>
                  <a:schemeClr val="lt1"/>
                </a:solidFill>
              </a:ln>
              <a:effectLst/>
            </c:spPr>
          </c:dPt>
          <c:dPt>
            <c:idx val="1"/>
            <c:bubble3D val="0"/>
            <c:explosion val="0"/>
            <c:spPr>
              <a:solidFill>
                <a:schemeClr val="accent2"/>
              </a:solidFill>
              <a:ln w="19050">
                <a:solidFill>
                  <a:schemeClr val="lt1"/>
                </a:solidFill>
              </a:ln>
              <a:effectLst/>
            </c:spPr>
          </c:dPt>
          <c:dLbls>
            <c:dLbl>
              <c:idx val="0"/>
              <c:layout>
                <c:manualLayout>
                  <c:x val="0.130107998838299"/>
                  <c:y val="0.050090898737645"/>
                </c:manualLayout>
              </c:layout>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15:layout/>
                </c:ext>
              </c:extLst>
            </c:dLbl>
            <c:dLbl>
              <c:idx val="1"/>
              <c:layout>
                <c:manualLayout>
                  <c:x val="-0.176025438398435"/>
                  <c:y val="-0.118584208344847"/>
                </c:manualLayout>
              </c:layout>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15:layout/>
                </c:ext>
              </c:extLst>
            </c:dLbl>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rgbClr val="969696">
                          <a:alpha val="100000"/>
                        </a:srgbClr>
                      </a:solidFill>
                      <a:prstDash val="solid"/>
                      <a:round/>
                    </a:ln>
                  </c:spPr>
                </c15:leaderLines>
              </c:ext>
            </c:extLst>
          </c:dLbls>
          <c:cat>
            <c:strRef>
              <c:f>'[决算图表(1)(1).et]Sheet1'!$A$86:$A$87</c:f>
              <c:strCache>
                <c:ptCount val="2"/>
                <c:pt idx="0">
                  <c:v>基本支出</c:v>
                </c:pt>
                <c:pt idx="1">
                  <c:v>项目支出</c:v>
                </c:pt>
              </c:strCache>
            </c:strRef>
          </c:cat>
          <c:val>
            <c:numRef>
              <c:f>'[决算图表(1)(1).et]Sheet1'!$B$86:$B$87</c:f>
              <c:numCache>
                <c:formatCode>General</c:formatCode>
                <c:ptCount val="2"/>
                <c:pt idx="0">
                  <c:v>2931.6</c:v>
                </c:pt>
                <c:pt idx="1">
                  <c:v>38217.68</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0583158914728682"/>
          <c:y val="0.847431818181818"/>
          <c:w val="0.91"/>
          <c:h val="0.132"/>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rgbClr val="F9FBFA"/>
    </a:solidFill>
    <a:ln w="9525" cap="flat" cmpd="sng" algn="ctr">
      <a:solidFill>
        <a:schemeClr val="tx1">
          <a:lumMod val="15000"/>
          <a:lumOff val="85000"/>
        </a:schemeClr>
      </a:solidFill>
      <a:prstDash val="solid"/>
      <a:round/>
    </a:ln>
    <a:effectLst/>
  </c:spPr>
  <c:txPr>
    <a:bodyPr wrap="square"/>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rPr sz="1400" b="0" i="0" u="none" strike="noStrike" baseline="0">
                <a:solidFill>
                  <a:srgbClr val="333333"/>
                </a:solidFill>
                <a:latin typeface="宋体" panose="02010600030101010101" charset="-122"/>
                <a:ea typeface="宋体" panose="02010600030101010101" charset="-122"/>
                <a:cs typeface="宋体" panose="02010600030101010101" charset="-122"/>
              </a:rPr>
              <a:t>财政拨款收、支决算总计变动情况图</a:t>
            </a:r>
            <a:endParaRPr sz="1400" b="0" i="0" u="none" strike="noStrike" baseline="0">
              <a:solidFill>
                <a:srgbClr val="333333"/>
              </a:solidFill>
              <a:latin typeface="宋体" panose="02010600030101010101" charset="-122"/>
              <a:ea typeface="宋体" panose="02010600030101010101" charset="-122"/>
              <a:cs typeface="宋体" panose="02010600030101010101" charset="-122"/>
            </a:endParaRPr>
          </a:p>
          <a:p>
            <a:pPr defTabSz="914400">
              <a:defRPr lang="zh-CN" sz="1400" b="0" i="0" u="none" strike="noStrike" kern="1200" spc="0" baseline="0">
                <a:solidFill>
                  <a:schemeClr val="tx1">
                    <a:lumMod val="65000"/>
                    <a:lumOff val="35000"/>
                  </a:schemeClr>
                </a:solidFill>
                <a:latin typeface="+mn-lt"/>
                <a:ea typeface="+mn-ea"/>
                <a:cs typeface="+mn-cs"/>
              </a:defRPr>
            </a:pPr>
            <a:endParaRPr lang="en-US" altLang="zh-CN" sz="1200" b="0" i="0" u="none" strike="noStrike" baseline="0">
              <a:solidFill>
                <a:srgbClr val="000000"/>
              </a:solidFill>
              <a:latin typeface="宋体" panose="02010600030101010101" charset="-122"/>
              <a:ea typeface="宋体" panose="02010600030101010101" charset="-122"/>
              <a:cs typeface="宋体" panose="02010600030101010101" charset="-122"/>
            </a:endParaRPr>
          </a:p>
        </c:rich>
      </c:tx>
      <c:layout/>
      <c:overlay val="0"/>
      <c:spPr>
        <a:noFill/>
        <a:ln>
          <a:noFill/>
        </a:ln>
        <a:effectLst/>
      </c:spPr>
    </c:title>
    <c:autoTitleDeleted val="0"/>
    <c:plotArea>
      <c:layout>
        <c:manualLayout>
          <c:layoutTarget val="inner"/>
          <c:xMode val="edge"/>
          <c:yMode val="edge"/>
          <c:x val="0.0701105045932632"/>
          <c:y val="0.205156950672646"/>
          <c:w val="0.899001464518706"/>
          <c:h val="0.619843049327354"/>
        </c:manualLayout>
      </c:layout>
      <c:barChart>
        <c:barDir val="col"/>
        <c:grouping val="clustered"/>
        <c:varyColors val="0"/>
        <c:ser>
          <c:idx val="0"/>
          <c:order val="0"/>
          <c:tx>
            <c:strRef>
              <c:f>'[决算图表(1)(1).et]Sheet1'!$E$35</c:f>
              <c:strCache>
                <c:ptCount val="1"/>
                <c:pt idx="0">
                  <c:v>收入</c:v>
                </c:pt>
              </c:strCache>
            </c:strRef>
          </c:tx>
          <c:spPr>
            <a:solidFill>
              <a:schemeClr val="accent1"/>
            </a:solidFill>
            <a:ln>
              <a:noFill/>
            </a:ln>
            <a:effectLst/>
          </c:spPr>
          <c:invertIfNegative val="0"/>
          <c:dLbls>
            <c:dLbl>
              <c:idx val="0"/>
              <c:layout>
                <c:manualLayout>
                  <c:x val="-0.0314766239777812"/>
                  <c:y val="0"/>
                </c:manualLayout>
              </c:layout>
              <c:numFmt formatCode="General" sourceLinked="1"/>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extLst>
                <c:ext xmlns:c15="http://schemas.microsoft.com/office/drawing/2012/chart" uri="{CE6537A1-D6FC-4f65-9D91-7224C49458BB}">
                  <c15:layout/>
                </c:ext>
              </c:extLst>
            </c:dLbl>
            <c:numFmt formatCode="General" sourceLinked="1"/>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'[决算图表(1)(1).et]Sheet1'!$D$36:$D$38</c:f>
              <c:strCache>
                <c:ptCount val="3"/>
                <c:pt idx="0">
                  <c:v>2023年</c:v>
                </c:pt>
                <c:pt idx="1">
                  <c:v>2024年</c:v>
                </c:pt>
              </c:strCache>
            </c:strRef>
          </c:cat>
          <c:val>
            <c:numRef>
              <c:f>'[决算图表(1)(1).et]Sheet1'!$E$36:$E$38</c:f>
              <c:numCache>
                <c:formatCode>#,##0.00</c:formatCode>
                <c:ptCount val="3"/>
                <c:pt idx="0">
                  <c:v>39270.19</c:v>
                </c:pt>
                <c:pt idx="1">
                  <c:v>41149.27</c:v>
                </c:pt>
              </c:numCache>
            </c:numRef>
          </c:val>
        </c:ser>
        <c:ser>
          <c:idx val="1"/>
          <c:order val="1"/>
          <c:tx>
            <c:strRef>
              <c:f>'[决算图表(1)(1).et]Sheet1'!$F$35</c:f>
              <c:strCache>
                <c:ptCount val="1"/>
                <c:pt idx="0">
                  <c:v>支出</c:v>
                </c:pt>
              </c:strCache>
            </c:strRef>
          </c:tx>
          <c:spPr>
            <a:solidFill>
              <a:schemeClr val="accent2"/>
            </a:solidFill>
            <a:ln>
              <a:noFill/>
            </a:ln>
            <a:effectLst/>
          </c:spPr>
          <c:invertIfNegative val="0"/>
          <c:dLbls>
            <c:dLbl>
              <c:idx val="0"/>
              <c:layout>
                <c:manualLayout>
                  <c:x val="0.0370313223268014"/>
                  <c:y val="0.00524704853519895"/>
                </c:manualLayout>
              </c:layout>
              <c:numFmt formatCode="General" sourceLinked="1"/>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555469834902021"/>
                  <c:y val="-0.00787057280279843"/>
                </c:manualLayout>
              </c:layout>
              <c:numFmt formatCode="General" sourceLinked="1"/>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extLst>
                <c:ext xmlns:c15="http://schemas.microsoft.com/office/drawing/2012/chart" uri="{CE6537A1-D6FC-4f65-9D91-7224C49458BB}">
                  <c15:layout/>
                </c:ext>
              </c:extLst>
            </c:dLbl>
            <c:numFmt formatCode="General" sourceLinked="1"/>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'[决算图表(1)(1).et]Sheet1'!$D$36:$D$38</c:f>
              <c:strCache>
                <c:ptCount val="3"/>
                <c:pt idx="0">
                  <c:v>2023年</c:v>
                </c:pt>
                <c:pt idx="1">
                  <c:v>2024年</c:v>
                </c:pt>
              </c:strCache>
            </c:strRef>
          </c:cat>
          <c:val>
            <c:numRef>
              <c:f>'[决算图表(1)(1).et]Sheet1'!$F$36:$F$38</c:f>
              <c:numCache>
                <c:formatCode>#,##0.00</c:formatCode>
                <c:ptCount val="3"/>
                <c:pt idx="0">
                  <c:v>39270.19</c:v>
                </c:pt>
                <c:pt idx="1">
                  <c:v>41149.27</c:v>
                </c:pt>
              </c:numCache>
            </c:numRef>
          </c:val>
        </c:ser>
        <c:dLbls>
          <c:showLegendKey val="0"/>
          <c:showVal val="0"/>
          <c:showCatName val="0"/>
          <c:showSerName val="0"/>
          <c:showPercent val="0"/>
          <c:showBubbleSize val="0"/>
        </c:dLbls>
        <c:gapWidth val="219"/>
        <c:overlap val="-27"/>
        <c:axId val="966053239"/>
        <c:axId val="576127764"/>
      </c:barChart>
      <c:catAx>
        <c:axId val="966053239"/>
        <c:scaling>
          <c:orientation val="minMax"/>
        </c:scaling>
        <c:delete val="0"/>
        <c:axPos val="b"/>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76127764"/>
        <c:crosses val="autoZero"/>
        <c:auto val="1"/>
        <c:lblAlgn val="ctr"/>
        <c:lblOffset val="100"/>
        <c:noMultiLvlLbl val="0"/>
      </c:catAx>
      <c:valAx>
        <c:axId val="57612776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66053239"/>
        <c:crosses val="autoZero"/>
        <c:crossBetween val="between"/>
      </c:valAx>
      <c:spPr>
        <a:noFill/>
        <a:ln>
          <a:noFill/>
        </a:ln>
        <a:effectLst/>
      </c:spPr>
    </c:plotArea>
    <c:legend>
      <c:legendPos val="b"/>
      <c:layout>
        <c:manualLayout>
          <c:xMode val="edge"/>
          <c:yMode val="edge"/>
          <c:x val="0.4035"/>
          <c:y val="0.90075"/>
          <c:w val="0.1925"/>
          <c:h val="0.07275"/>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rgbClr val="F9FBFA"/>
    </a:solidFill>
    <a:ln w="9525" cap="flat" cmpd="sng" algn="ctr">
      <a:noFill/>
      <a:prstDash val="solid"/>
      <a:round/>
    </a:ln>
    <a:effectLst/>
  </c:spPr>
  <c:txPr>
    <a:bodyPr wrap="square"/>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lgn="ctr" defTabSz="914400">
              <a:defRPr lang="zh-CN" sz="1400" b="0" i="0" u="none" strike="noStrike" kern="1200" spc="0" baseline="0">
                <a:solidFill>
                  <a:sysClr val="windowText" lastClr="000000"/>
                </a:solidFill>
                <a:latin typeface="宋体" panose="02010600030101010101" charset="-122"/>
                <a:ea typeface="宋体" panose="02010600030101010101" charset="-122"/>
                <a:cs typeface="宋体" panose="02010600030101010101" charset="-122"/>
                <a:sym typeface="宋体" panose="02010600030101010101" charset="-122"/>
              </a:defRPr>
            </a:pPr>
            <a:r>
              <a:rPr sz="1400" b="0" i="0" u="none" strike="noStrike" baseline="0">
                <a:solidFill>
                  <a:srgbClr val="000000"/>
                </a:solidFill>
                <a:latin typeface="宋体" panose="02010600030101010101" charset="-122"/>
                <a:ea typeface="宋体" panose="02010600030101010101" charset="-122"/>
                <a:cs typeface="宋体" panose="02010600030101010101" charset="-122"/>
                <a:sym typeface="宋体" panose="02010600030101010101" charset="-122"/>
              </a:rPr>
              <a:t>一般公共预算财政拨款支出决算变动情况</a:t>
            </a:r>
            <a:endParaRPr sz="1400" b="0" i="0" u="none" strike="noStrike" baseline="0">
              <a:solidFill>
                <a:srgbClr val="000000"/>
              </a:solidFill>
              <a:latin typeface="宋体" panose="02010600030101010101" charset="-122"/>
              <a:ea typeface="宋体" panose="02010600030101010101" charset="-122"/>
              <a:cs typeface="宋体" panose="02010600030101010101" charset="-122"/>
              <a:sym typeface="宋体" panose="02010600030101010101" charset="-122"/>
            </a:endParaRPr>
          </a:p>
          <a:p>
            <a:pPr algn="ctr" defTabSz="914400">
              <a:defRPr lang="zh-CN" sz="1400" b="0" i="0" u="none" strike="noStrike" kern="1200" spc="0" baseline="0">
                <a:solidFill>
                  <a:sysClr val="windowText" lastClr="000000"/>
                </a:solidFill>
                <a:latin typeface="宋体" panose="02010600030101010101" charset="-122"/>
                <a:ea typeface="宋体" panose="02010600030101010101" charset="-122"/>
                <a:cs typeface="宋体" panose="02010600030101010101" charset="-122"/>
                <a:sym typeface="宋体" panose="02010600030101010101" charset="-122"/>
              </a:defRPr>
            </a:pPr>
            <a:endParaRPr sz="1200" b="0" i="0" u="none" strike="noStrike" baseline="0">
              <a:solidFill>
                <a:srgbClr val="000000"/>
              </a:solidFill>
              <a:effectLst/>
              <a:latin typeface="宋体" panose="02010600030101010101" charset="-122"/>
              <a:ea typeface="宋体" panose="02010600030101010101" charset="-122"/>
              <a:cs typeface="宋体" panose="02010600030101010101" charset="-122"/>
              <a:sym typeface="宋体" panose="02010600030101010101" charset="-122"/>
            </a:endParaRPr>
          </a:p>
        </c:rich>
      </c:tx>
      <c:layout>
        <c:manualLayout>
          <c:xMode val="edge"/>
          <c:yMode val="edge"/>
          <c:x val="0.161259308956127"/>
          <c:y val="0.0436984880782112"/>
        </c:manualLayout>
      </c:layout>
      <c:overlay val="0"/>
    </c:title>
    <c:autoTitleDeleted val="0"/>
    <c:plotArea>
      <c:layout/>
      <c:barChart>
        <c:barDir val="col"/>
        <c:grouping val="clustered"/>
        <c:varyColors val="0"/>
        <c:ser>
          <c:idx val="0"/>
          <c:order val="0"/>
          <c:tx>
            <c:strRef>
              <c:f>'[决算图表(1)(1).et]Sheet1'!$A$111</c:f>
              <c:strCache>
                <c:ptCount val="1"/>
                <c:pt idx="0">
                  <c:v>支出</c:v>
                </c:pt>
              </c:strCache>
            </c:strRef>
          </c:tx>
          <c:spPr>
            <a:solidFill>
              <a:schemeClr val="accent1"/>
            </a:solidFill>
            <a:ln>
              <a:noFill/>
            </a:ln>
            <a:effectLst/>
          </c:spPr>
          <c:invertIfNegative val="0"/>
          <c:dPt>
            <c:idx val="0"/>
            <c:invertIfNegative val="0"/>
            <c:bubble3D val="0"/>
            <c:explosion val="0"/>
            <c:spPr>
              <a:solidFill>
                <a:srgbClr val="C00000"/>
              </a:solidFill>
              <a:ln>
                <a:noFill/>
              </a:ln>
              <a:effectLst/>
            </c:spPr>
          </c:dPt>
          <c:dLbls>
            <c:numFmt formatCode="General" sourceLinked="1"/>
            <c:spPr>
              <a:noFill/>
              <a:ln>
                <a:noFill/>
              </a:ln>
              <a:effectLst/>
            </c:spPr>
            <c:txPr>
              <a:bodyPr rot="0" spcFirstLastPara="0" vertOverflow="ellipsis" horzOverflow="overflow" vert="horz" wrap="square" lIns="38100" tIns="19050" rIns="38100" bIns="19050" anchor="ctr" anchorCtr="1"/>
              <a:lstStyle/>
              <a:p>
                <a:pPr>
                  <a:defRPr lang="zh-CN" sz="900" b="0" i="0" u="none" strike="noStrike" kern="1200" baseline="0">
                    <a:solidFill>
                      <a:sysClr val="windowText" lastClr="000000"/>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'[决算图表(1)(1).et]Sheet1'!$B$110:$C$110</c:f>
              <c:strCache>
                <c:ptCount val="2"/>
                <c:pt idx="0">
                  <c:v>2023年</c:v>
                </c:pt>
                <c:pt idx="1">
                  <c:v>2024年</c:v>
                </c:pt>
              </c:strCache>
            </c:strRef>
          </c:cat>
          <c:val>
            <c:numRef>
              <c:f>'[决算图表(1)(1).et]Sheet1'!$B$111:$C$111</c:f>
              <c:numCache>
                <c:formatCode>General</c:formatCode>
                <c:ptCount val="2"/>
                <c:pt idx="0">
                  <c:v>39270.19</c:v>
                </c:pt>
                <c:pt idx="1" c:formatCode="#,##0.00">
                  <c:v>41149.27</c:v>
                </c:pt>
              </c:numCache>
            </c:numRef>
          </c:val>
        </c:ser>
        <c:dLbls>
          <c:showLegendKey val="0"/>
          <c:showVal val="0"/>
          <c:showCatName val="0"/>
          <c:showSerName val="0"/>
          <c:showPercent val="0"/>
          <c:showBubbleSize val="0"/>
        </c:dLbls>
        <c:gapWidth val="219"/>
        <c:overlap val="-27"/>
        <c:axId val="238742597"/>
        <c:axId val="658766639"/>
      </c:barChart>
      <c:catAx>
        <c:axId val="238742597"/>
        <c:scaling>
          <c:orientation val="minMax"/>
        </c:scaling>
        <c:delete val="0"/>
        <c:axPos val="b"/>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horzOverflow="overflow" vert="horz" wrap="square" anchor="ctr" anchorCtr="1"/>
          <a:lstStyle/>
          <a:p>
            <a:pPr>
              <a:defRPr lang="zh-CN" sz="900" b="0" i="0" u="none" strike="noStrike" kern="1200" baseline="0">
                <a:solidFill>
                  <a:sysClr val="windowText" lastClr="000000"/>
                </a:solidFill>
                <a:latin typeface="+mn-lt"/>
                <a:ea typeface="+mn-ea"/>
                <a:cs typeface="+mn-cs"/>
              </a:defRPr>
            </a:pPr>
          </a:p>
        </c:txPr>
        <c:crossAx val="658766639"/>
        <c:crosses val="autoZero"/>
        <c:auto val="1"/>
        <c:lblAlgn val="ctr"/>
        <c:lblOffset val="100"/>
        <c:noMultiLvlLbl val="0"/>
      </c:catAx>
      <c:valAx>
        <c:axId val="658766639"/>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0" vertOverflow="ellipsis" horzOverflow="overflow" vert="horz" wrap="square" anchor="ctr" anchorCtr="1"/>
          <a:lstStyle/>
          <a:p>
            <a:pPr>
              <a:defRPr lang="zh-CN" sz="900" b="0" i="0" u="none" strike="noStrike" kern="1200" baseline="0">
                <a:solidFill>
                  <a:sysClr val="windowText" lastClr="000000"/>
                </a:solidFill>
                <a:latin typeface="+mn-lt"/>
                <a:ea typeface="+mn-ea"/>
                <a:cs typeface="+mn-cs"/>
              </a:defRPr>
            </a:pPr>
          </a:p>
        </c:txPr>
        <c:crossAx val="238742597"/>
        <c:crosses val="autoZero"/>
        <c:crossBetween val="between"/>
      </c:valAx>
      <c:spPr>
        <a:noFill/>
        <a:ln>
          <a:noFill/>
        </a:ln>
        <a:effectLst/>
      </c:spPr>
    </c:plotArea>
    <c:plotVisOnly val="1"/>
    <c:dispBlanksAs val="gap"/>
    <c:showDLblsOverMax val="0"/>
  </c:chart>
  <c:spPr>
    <a:solidFill>
      <a:srgbClr val="F9FBFA"/>
    </a:solidFill>
    <a:ln w="9525" cap="flat" cmpd="sng" algn="ctr">
      <a:solidFill>
        <a:schemeClr val="tx1">
          <a:lumMod val="15000"/>
          <a:lumOff val="85000"/>
        </a:schemeClr>
      </a:solidFill>
      <a:prstDash val="solid"/>
      <a:round/>
    </a:ln>
    <a:effectLst/>
  </c:spPr>
  <c:txPr>
    <a:bodyPr rot="0" spcFirstLastPara="0" vertOverflow="ellipsis" horzOverflow="overflow" vert="horz" wrap="square" anchor="ctr" anchorCtr="1"/>
    <a:lstStyle/>
    <a:p>
      <a:pPr>
        <a:defRPr lang="zh-CN">
          <a:solidFill>
            <a:sysClr val="windowText" lastClr="000000"/>
          </a:solidFill>
        </a:defRPr>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rPr sz="1400" b="0" i="0" u="none" strike="noStrike" baseline="0">
                <a:solidFill>
                  <a:srgbClr val="333333"/>
                </a:solidFill>
                <a:latin typeface="宋体" panose="02010600030101010101" charset="-122"/>
                <a:ea typeface="宋体" panose="02010600030101010101" charset="-122"/>
                <a:cs typeface="宋体" panose="02010600030101010101" charset="-122"/>
              </a:rPr>
              <a:t>一般公共预算财政拨款支出决算结构图</a:t>
            </a:r>
            <a:endParaRPr sz="1400" b="0" i="0" u="none" strike="noStrike" baseline="0">
              <a:solidFill>
                <a:srgbClr val="333333"/>
              </a:solidFill>
              <a:latin typeface="宋体" panose="02010600030101010101" charset="-122"/>
              <a:ea typeface="宋体" panose="02010600030101010101" charset="-122"/>
              <a:cs typeface="宋体" panose="02010600030101010101" charset="-122"/>
            </a:endParaRPr>
          </a:p>
          <a:p>
            <a:pPr defTabSz="914400">
              <a:defRPr lang="zh-CN" sz="1400" b="0" i="0" u="none" strike="noStrike" kern="1200" spc="0" baseline="0">
                <a:solidFill>
                  <a:schemeClr val="tx1">
                    <a:lumMod val="65000"/>
                    <a:lumOff val="35000"/>
                  </a:schemeClr>
                </a:solidFill>
                <a:latin typeface="+mn-lt"/>
                <a:ea typeface="+mn-ea"/>
                <a:cs typeface="+mn-cs"/>
              </a:defRPr>
            </a:pPr>
            <a:endParaRPr sz="1200" b="0" i="0" u="none" strike="noStrike" baseline="0">
              <a:solidFill>
                <a:srgbClr val="000000"/>
              </a:solidFill>
              <a:latin typeface="宋体" panose="02010600030101010101" charset="-122"/>
              <a:ea typeface="宋体" panose="02010600030101010101" charset="-122"/>
              <a:cs typeface="宋体" panose="02010600030101010101" charset="-122"/>
            </a:endParaRPr>
          </a:p>
        </c:rich>
      </c:tx>
      <c:layout>
        <c:manualLayout>
          <c:xMode val="edge"/>
          <c:yMode val="edge"/>
          <c:x val="0.215468660657812"/>
          <c:y val="0.0303663304699718"/>
        </c:manualLayout>
      </c:layout>
      <c:overlay val="0"/>
      <c:spPr>
        <a:noFill/>
        <a:ln>
          <a:noFill/>
        </a:ln>
        <a:effectLst/>
      </c:spPr>
    </c:title>
    <c:autoTitleDeleted val="0"/>
    <c:plotArea>
      <c:layout/>
      <c:pieChart>
        <c:varyColors val="1"/>
        <c:ser>
          <c:idx val="0"/>
          <c:order val="0"/>
          <c:explosion val="0"/>
          <c:dPt>
            <c:idx val="0"/>
            <c:bubble3D val="0"/>
            <c:explosion val="0"/>
            <c:spPr>
              <a:solidFill>
                <a:schemeClr val="accent1"/>
              </a:solidFill>
              <a:ln w="19050">
                <a:solidFill>
                  <a:schemeClr val="lt1"/>
                </a:solidFill>
              </a:ln>
              <a:effectLst/>
            </c:spPr>
          </c:dPt>
          <c:dPt>
            <c:idx val="1"/>
            <c:bubble3D val="0"/>
            <c:explosion val="0"/>
            <c:spPr>
              <a:solidFill>
                <a:schemeClr val="accent2"/>
              </a:solidFill>
              <a:ln w="19050">
                <a:solidFill>
                  <a:schemeClr val="lt1"/>
                </a:solidFill>
              </a:ln>
              <a:effectLst/>
            </c:spPr>
          </c:dPt>
          <c:dPt>
            <c:idx val="2"/>
            <c:bubble3D val="0"/>
            <c:explosion val="0"/>
            <c:spPr>
              <a:solidFill>
                <a:schemeClr val="accent3"/>
              </a:solidFill>
              <a:ln w="19050">
                <a:solidFill>
                  <a:schemeClr val="lt1"/>
                </a:solidFill>
              </a:ln>
              <a:effectLst/>
            </c:spPr>
          </c:dPt>
          <c:dPt>
            <c:idx val="3"/>
            <c:bubble3D val="0"/>
            <c:explosion val="0"/>
            <c:spPr>
              <a:solidFill>
                <a:schemeClr val="accent4"/>
              </a:solidFill>
              <a:ln w="19050">
                <a:solidFill>
                  <a:schemeClr val="lt1"/>
                </a:solidFill>
              </a:ln>
              <a:effectLst/>
            </c:spPr>
          </c:dPt>
          <c:dLbls>
            <c:dLbl>
              <c:idx val="0"/>
              <c:layout>
                <c:manualLayout>
                  <c:x val="-0.145025482515053"/>
                  <c:y val="-0.0209459689174589"/>
                </c:manualLayout>
              </c:layout>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15:layout/>
                </c:ext>
              </c:extLst>
            </c:dLbl>
            <c:dLbl>
              <c:idx val="1"/>
              <c:layout>
                <c:manualLayout>
                  <c:x val="0.0987676481810378"/>
                  <c:y val="-0.0568700619820337"/>
                </c:manualLayout>
              </c:layout>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15:layout/>
                </c:ext>
              </c:extLst>
            </c:dLbl>
            <c:dLbl>
              <c:idx val="2"/>
              <c:layout>
                <c:manualLayout>
                  <c:x val="0.143857584024635"/>
                  <c:y val="0.0474963288829152"/>
                </c:manualLayout>
              </c:layout>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15:layout/>
                </c:ext>
              </c:extLst>
            </c:dLbl>
            <c:dLbl>
              <c:idx val="3"/>
              <c:layout>
                <c:manualLayout>
                  <c:x val="-0.0738164538383448"/>
                  <c:y val="-0.0219029224021733"/>
                </c:manualLayout>
              </c:layout>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15:layout/>
                </c:ext>
              </c:extLst>
            </c:dLbl>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rgbClr val="969696">
                          <a:alpha val="100000"/>
                        </a:srgbClr>
                      </a:solidFill>
                      <a:prstDash val="solid"/>
                      <a:round/>
                    </a:ln>
                  </c:spPr>
                </c15:leaderLines>
              </c:ext>
            </c:extLst>
          </c:dLbls>
          <c:cat>
            <c:strRef>
              <c:f>'[决算图表(1)(1).et]Sheet1'!$F$63:$F$66</c:f>
              <c:strCache>
                <c:ptCount val="4"/>
                <c:pt idx="0">
                  <c:v>社会保障和就业支出</c:v>
                </c:pt>
                <c:pt idx="1">
                  <c:v>卫生健康支出</c:v>
                </c:pt>
                <c:pt idx="2">
                  <c:v>住房保障支出</c:v>
                </c:pt>
                <c:pt idx="3">
                  <c:v>交通运输支出</c:v>
                </c:pt>
              </c:strCache>
            </c:strRef>
          </c:cat>
          <c:val>
            <c:numRef>
              <c:f>'[决算图表(1)(1).et]Sheet1'!$G$63:$G$66</c:f>
              <c:numCache>
                <c:formatCode>General</c:formatCode>
                <c:ptCount val="4"/>
                <c:pt idx="0">
                  <c:v>291.26</c:v>
                </c:pt>
                <c:pt idx="1">
                  <c:v>97.99</c:v>
                </c:pt>
                <c:pt idx="2">
                  <c:v>140.49</c:v>
                </c:pt>
                <c:pt idx="3" c:formatCode="#,##0.00">
                  <c:v>40619.53</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09775"/>
          <c:y val="0.879"/>
          <c:w val="0.804"/>
          <c:h val="0.10075"/>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rgbClr val="F9FBFA"/>
    </a:solidFill>
    <a:ln w="9525" cap="flat" cmpd="sng" algn="ctr">
      <a:solidFill>
        <a:schemeClr val="tx1">
          <a:lumMod val="15000"/>
          <a:lumOff val="85000"/>
        </a:schemeClr>
      </a:solidFill>
      <a:prstDash val="solid"/>
      <a:round/>
    </a:ln>
    <a:effectLst/>
  </c:spPr>
  <c:txPr>
    <a:bodyPr wrap="square"/>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lgn="ctr" defTabSz="914400">
              <a:defRPr lang="zh-CN" sz="1400" b="0" i="0" u="none" strike="noStrike" kern="1200" spc="0" baseline="0">
                <a:solidFill>
                  <a:schemeClr val="tx1">
                    <a:lumMod val="65000"/>
                    <a:lumOff val="35000"/>
                  </a:schemeClr>
                </a:solidFill>
                <a:latin typeface="+mn-lt"/>
                <a:ea typeface="+mn-ea"/>
                <a:cs typeface="+mn-cs"/>
              </a:defRPr>
            </a:pPr>
            <a:r>
              <a:rPr sz="1400" b="0" i="0" u="none" strike="noStrike" kern="1200" cap="none" spc="0" normalizeH="0" baseline="0">
                <a:solidFill>
                  <a:schemeClr val="tx1">
                    <a:lumMod val="65000"/>
                    <a:lumOff val="35000"/>
                  </a:schemeClr>
                </a:solidFill>
                <a:effectLst/>
                <a:latin typeface="+mn-lt"/>
                <a:ea typeface="+mn-ea"/>
                <a:cs typeface="+mn-cs"/>
              </a:rPr>
              <a:t>“三公”经费财政拨款支出结构图</a:t>
            </a:r>
            <a:endParaRPr sz="1400" b="0" i="0" u="none" strike="noStrike" kern="1200" cap="none" spc="0" normalizeH="0" baseline="0">
              <a:solidFill>
                <a:schemeClr val="tx1">
                  <a:lumMod val="65000"/>
                  <a:lumOff val="35000"/>
                </a:schemeClr>
              </a:solidFill>
              <a:effectLst/>
              <a:latin typeface="+mn-lt"/>
              <a:ea typeface="+mn-ea"/>
              <a:cs typeface="+mn-cs"/>
            </a:endParaRPr>
          </a:p>
        </c:rich>
      </c:tx>
      <c:layout/>
      <c:overlay val="0"/>
    </c:title>
    <c:autoTitleDeleted val="0"/>
    <c:plotArea>
      <c:layout/>
      <c:pieChart>
        <c:varyColors val="1"/>
        <c:ser>
          <c:idx val="0"/>
          <c:order val="0"/>
          <c:spPr>
            <a:solidFill>
              <a:schemeClr val="accent1"/>
            </a:solidFill>
            <a:ln w="19050">
              <a:solidFill>
                <a:srgbClr val="FFFFFF">
                  <a:alpha val="100000"/>
                </a:srgbClr>
              </a:solidFill>
              <a:prstDash val="solid"/>
            </a:ln>
            <a:effectLst/>
          </c:spPr>
          <c:explosion val="0"/>
          <c:dPt>
            <c:idx val="0"/>
            <c:bubble3D val="0"/>
            <c:explosion val="0"/>
            <c:spPr>
              <a:solidFill>
                <a:schemeClr val="accent1"/>
              </a:solidFill>
              <a:ln w="19050">
                <a:solidFill>
                  <a:schemeClr val="lt1"/>
                </a:solidFill>
              </a:ln>
              <a:effectLst/>
            </c:spPr>
          </c:dPt>
          <c:dPt>
            <c:idx val="1"/>
            <c:bubble3D val="0"/>
            <c:explosion val="0"/>
            <c:spPr>
              <a:solidFill>
                <a:schemeClr val="accent2"/>
              </a:solidFill>
              <a:ln w="19050">
                <a:solidFill>
                  <a:schemeClr val="lt1"/>
                </a:solidFill>
              </a:ln>
              <a:effectLst/>
            </c:spPr>
          </c:dPt>
          <c:dPt>
            <c:idx val="2"/>
            <c:bubble3D val="0"/>
            <c:explosion val="0"/>
            <c:spPr>
              <a:solidFill>
                <a:schemeClr val="accent3"/>
              </a:solidFill>
              <a:ln w="19050">
                <a:solidFill>
                  <a:schemeClr val="lt1"/>
                </a:solidFill>
              </a:ln>
              <a:effectLst/>
            </c:spPr>
          </c:dPt>
          <c:dLbls>
            <c:dLbl>
              <c:idx val="0"/>
              <c:layout>
                <c:manualLayout>
                  <c:x val="0.0210130553902449"/>
                  <c:y val="-0.16674126951269"/>
                </c:manualLayout>
              </c:layout>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15:layout/>
                </c:ext>
              </c:extLst>
            </c:dLbl>
            <c:dLbl>
              <c:idx val="1"/>
              <c:layout>
                <c:manualLayout>
                  <c:x val="-0.153408161328301"/>
                  <c:y val="0.0166173539680053"/>
                </c:manualLayout>
              </c:layout>
              <c:numFmt formatCode="0.0%" sourceLinked="0"/>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solidFill>
                      <a:latin typeface="+mn-lt"/>
                      <a:ea typeface="+mn-ea"/>
                      <a:cs typeface="+mn-cs"/>
                    </a:defRPr>
                  </a:pPr>
                </a:p>
              </c:txPr>
              <c:dLblPos val="bestFit"/>
              <c:showLegendKey val="0"/>
              <c:showVal val="1"/>
              <c:showCatName val="0"/>
              <c:showSerName val="0"/>
              <c:showPercent val="1"/>
              <c:showBubbleSize val="0"/>
              <c:extLst>
                <c:ext xmlns:c15="http://schemas.microsoft.com/office/drawing/2012/chart" uri="{CE6537A1-D6FC-4f65-9D91-7224C49458BB}">
                  <c15:layout/>
                </c:ext>
              </c:extLst>
            </c:dLbl>
            <c:numFmt formatCode="0.0%" sourceLinked="0"/>
            <c:spPr>
              <a:noFill/>
              <a:ln>
                <a:noFill/>
              </a:ln>
              <a:effectLst/>
            </c:spPr>
            <c:txPr>
              <a:bodyPr rot="0" spcFirstLastPara="0" vertOverflow="ellipsis" horzOverflow="overflow"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rgbClr val="000000">
                          <a:alpha val="100000"/>
                        </a:srgbClr>
                      </a:solidFill>
                      <a:prstDash val="solid"/>
                      <a:round/>
                    </a:ln>
                  </c:spPr>
                </c15:leaderLines>
              </c:ext>
            </c:extLst>
          </c:dLbls>
          <c:cat>
            <c:strRef>
              <c:f>'[决算图表(1)(1).et]Sheet1'!$A$128:$A$130</c:f>
              <c:strCache>
                <c:ptCount val="3"/>
                <c:pt idx="0">
                  <c:v>公务用车购置及运行维护费</c:v>
                </c:pt>
                <c:pt idx="1">
                  <c:v>公务接待费</c:v>
                </c:pt>
                <c:pt idx="2">
                  <c:v>因公出国（境）费支出决算</c:v>
                </c:pt>
              </c:strCache>
            </c:strRef>
          </c:cat>
          <c:val>
            <c:numRef>
              <c:f>'[决算图表(1)(1).et]Sheet1'!$B$128:$B$130</c:f>
              <c:numCache>
                <c:formatCode>General</c:formatCode>
                <c:ptCount val="3"/>
                <c:pt idx="0">
                  <c:v>517.62</c:v>
                </c:pt>
                <c:pt idx="1">
                  <c:v>0.39</c:v>
                </c:pt>
                <c:pt idx="2">
                  <c:v>0</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1035"/>
          <c:y val="0.834"/>
          <c:w val="0.79275"/>
          <c:h val="0.13825"/>
        </c:manualLayout>
      </c:layout>
      <c:overlay val="0"/>
      <c:spPr>
        <a:noFill/>
        <a:ln>
          <a:noFill/>
        </a:ln>
        <a:effectLst/>
      </c:spPr>
      <c:txPr>
        <a:bodyPr rot="0" spcFirstLastPara="0" vertOverflow="ellipsis" horzOverflow="overflow"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rgbClr val="F9FBFA"/>
    </a:solidFill>
    <a:ln w="9525" cap="flat" cmpd="sng" algn="ctr">
      <a:solidFill>
        <a:srgbClr val="F9FBFA"/>
      </a:solidFill>
      <a:prstDash val="solid"/>
      <a:round/>
    </a:ln>
    <a:effectLst/>
  </c:spPr>
  <c:txPr>
    <a:bodyPr rot="0" spcFirstLastPara="0" vertOverflow="ellipsis" horzOverflow="overflow" vert="horz" wrap="square" anchor="ctr" anchorCtr="1"/>
    <a:lstStyle/>
    <a:p>
      <a:pPr>
        <a:defRPr lang="zh-CN" sz="900" kern="1200">
          <a:solidFill>
            <a:schemeClr val="tx1"/>
          </a:solidFill>
          <a:latin typeface="+mn-lt"/>
          <a:ea typeface="+mn-ea"/>
          <a:cs typeface="+mn-cs"/>
        </a:defRPr>
      </a:pP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四川省财政厅</Company>
  <Pages>34</Pages>
  <Words>7573</Words>
  <Characters>8208</Characters>
  <Lines>60</Lines>
  <Paragraphs>17</Paragraphs>
  <TotalTime>6</TotalTime>
  <ScaleCrop>false</ScaleCrop>
  <LinksUpToDate>false</LinksUpToDate>
  <CharactersWithSpaces>8235</CharactersWithSpaces>
  <Application>WPS Office_11.8.2.11473_F1E327BC-269C-435d-A152-05C5408002CA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2020-08-09T09:49:00Z</dcterms:created>
  <dc:creator>曹颖</dc:creator>
  <cp:lastModifiedBy>Dell</cp:lastModifiedBy>
  <cp:lastPrinted>2025-08-06T17:34:00Z</cp:lastPrinted>
  <dcterms:modified xsi:type="dcterms:W3CDTF">2025-09-19T00:52:43Z</dcterms:modified>
  <dc:title>四川省***</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2052-11.8.2.11473</vt:lpwstr>
  </property>
  <property fmtid="{D5CDD505-2E9C-101B-9397-08002B2CF9AE}" pid="3" name="ICV">
    <vt:lpwstr>E90EFAA11C2741748897E15928A94D5B</vt:lpwstr>
  </property>
  <property fmtid="{D5CDD505-2E9C-101B-9397-08002B2CF9AE}" pid="4" name="KSOTemplateDocerSaveRecord">
    <vt:lpwstr>eyJoZGlkIjoiZjNlZDEwZjgzZTZmMmI5ZTE1ODYzMjM4YzgyM2UyYTEiLCJ1c2VySWQiOiI0MTc2NTcyMTMifQ==</vt:lpwstr>
  </property>
</Properties>
</file>