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line="560" w:lineRule="exact"/>
        <w:ind w:firstLine="1050" w:firstLineChars="500"/>
        <w:jc w:val="both"/>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line="560" w:lineRule="exact"/>
        <w:ind w:firstLine="1050" w:firstLineChars="500"/>
        <w:jc w:val="both"/>
        <w:textAlignment w:val="auto"/>
        <w:rPr>
          <w:rFonts w:hint="default" w:ascii="Times New Roman" w:hAnsi="Times New Roman" w:cs="Times New Roman"/>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2080" w:firstLineChars="400"/>
        <w:jc w:val="center"/>
        <w:textAlignment w:val="auto"/>
        <w:rPr>
          <w:rFonts w:hint="eastAsia" w:ascii="方正黑体_GBK" w:hAnsi="方正黑体_GBK" w:eastAsia="方正黑体_GBK" w:cs="方正黑体_GBK"/>
          <w:sz w:val="52"/>
          <w:szCs w:val="5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bCs/>
          <w:sz w:val="52"/>
          <w:szCs w:val="52"/>
          <w:lang w:val="en-US" w:eastAsia="zh-CN"/>
        </w:rPr>
      </w:pPr>
      <w:r>
        <w:rPr>
          <w:rFonts w:hint="eastAsia" w:ascii="方正黑体_GBK" w:hAnsi="方正黑体_GBK" w:eastAsia="方正黑体_GBK" w:cs="方正黑体_GBK"/>
          <w:b/>
          <w:bCs/>
          <w:sz w:val="52"/>
          <w:szCs w:val="52"/>
          <w:lang w:val="en-US" w:eastAsia="zh-CN"/>
        </w:rPr>
        <w:t>中共阿坝州委社会工作部</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bCs/>
          <w:sz w:val="52"/>
          <w:szCs w:val="5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bCs/>
          <w:sz w:val="52"/>
          <w:szCs w:val="52"/>
        </w:rPr>
      </w:pPr>
      <w:r>
        <w:rPr>
          <w:rFonts w:hint="eastAsia" w:ascii="方正黑体_GBK" w:hAnsi="方正黑体_GBK" w:eastAsia="方正黑体_GBK" w:cs="方正黑体_GBK"/>
          <w:b/>
          <w:bCs/>
          <w:sz w:val="52"/>
          <w:szCs w:val="52"/>
        </w:rPr>
        <w:t>202</w:t>
      </w:r>
      <w:r>
        <w:rPr>
          <w:rFonts w:hint="eastAsia" w:ascii="方正黑体_GBK" w:hAnsi="方正黑体_GBK" w:eastAsia="方正黑体_GBK" w:cs="方正黑体_GBK"/>
          <w:b/>
          <w:bCs/>
          <w:sz w:val="52"/>
          <w:szCs w:val="52"/>
          <w:lang w:val="en-US" w:eastAsia="zh-CN"/>
        </w:rPr>
        <w:t>6</w:t>
      </w:r>
      <w:r>
        <w:rPr>
          <w:rFonts w:hint="eastAsia" w:ascii="方正黑体_GBK" w:hAnsi="方正黑体_GBK" w:eastAsia="方正黑体_GBK" w:cs="方正黑体_GBK"/>
          <w:b/>
          <w:bCs/>
          <w:sz w:val="52"/>
          <w:szCs w:val="52"/>
        </w:rPr>
        <w:t>年部门预算</w:t>
      </w: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1760" w:firstLineChars="400"/>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44"/>
          <w:szCs w:val="44"/>
        </w:rPr>
        <w:sectPr>
          <w:headerReference r:id="rId3"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3120" w:firstLineChars="600"/>
        <w:jc w:val="both"/>
        <w:textAlignment w:val="auto"/>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keepNext w:val="0"/>
        <w:keepLines w:val="0"/>
        <w:pageBreakBefore w:val="0"/>
        <w:kinsoku/>
        <w:wordWrap/>
        <w:overflowPunct/>
        <w:topLinePunct w:val="0"/>
        <w:autoSpaceDE/>
        <w:autoSpaceDN/>
        <w:bidi w:val="0"/>
        <w:adjustRightInd/>
        <w:snapToGrid/>
        <w:spacing w:line="560" w:lineRule="exact"/>
        <w:ind w:firstLine="3080" w:firstLineChars="700"/>
        <w:jc w:val="both"/>
        <w:textAlignment w:val="auto"/>
        <w:rPr>
          <w:rFonts w:hint="default" w:ascii="Times New Roman" w:hAnsi="Times New Roman" w:eastAsia="黑体" w:cs="Times New Roman"/>
          <w:sz w:val="44"/>
          <w:szCs w:val="44"/>
        </w:rPr>
      </w:pPr>
    </w:p>
    <w:p>
      <w:pPr>
        <w:pStyle w:val="9"/>
        <w:keepNext w:val="0"/>
        <w:keepLines w:val="0"/>
        <w:pageBreakBefore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default" w:ascii="Times New Roman" w:hAnsi="Times New Roman" w:eastAsia="楷体" w:cs="Times New Roman"/>
          <w:sz w:val="32"/>
          <w:szCs w:val="32"/>
        </w:rPr>
        <w:t>202</w:t>
      </w:r>
      <w:r>
        <w:rPr>
          <w:rFonts w:hint="default" w:ascii="Times New Roman" w:hAnsi="Times New Roman" w:eastAsia="楷体" w:cs="Times New Roman"/>
          <w:sz w:val="32"/>
          <w:szCs w:val="32"/>
          <w:lang w:val="en-US" w:eastAsia="zh-CN"/>
        </w:rPr>
        <w:t>6</w:t>
      </w:r>
      <w:r>
        <w:rPr>
          <w:rFonts w:hint="default" w:ascii="Times New Roman" w:hAnsi="Times New Roman" w:eastAsia="楷体" w:cs="Times New Roman"/>
          <w:sz w:val="32"/>
          <w:szCs w:val="32"/>
        </w:rPr>
        <w:t>年重点工作</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both"/>
        <w:textAlignment w:val="auto"/>
        <w:rPr>
          <w:rFonts w:hint="default" w:ascii="Times New Roman" w:hAnsi="Times New Roman" w:cs="Times New Roman"/>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both"/>
        <w:textAlignment w:val="auto"/>
        <w:rPr>
          <w:rFonts w:hint="default" w:ascii="Times New Roman" w:hAnsi="Times New Roman" w:cs="Times New Roman"/>
          <w:kern w:val="0"/>
          <w:sz w:val="12"/>
          <w:szCs w:val="1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both"/>
        <w:textAlignment w:val="auto"/>
        <w:rPr>
          <w:rFonts w:hint="default" w:ascii="Times New Roman" w:hAnsi="Times New Roman" w:cs="Times New Roman"/>
          <w:kern w:val="0"/>
          <w:sz w:val="12"/>
          <w:szCs w:val="12"/>
        </w:rPr>
      </w:pPr>
    </w:p>
    <w:p>
      <w:pPr>
        <w:pStyle w:val="9"/>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主要职能。负责统筹指导人民信访工作、人民建议征集工作，统筹推进党建引领基层治理和基层政权建设，健全和落实党建引领基层治理领导体制和工作机制，统一领导全州行业协会商会党的工作，协调推动行业协会商会深化改革和转型发展，指导混合所有制企业、非公有制企业和新经济组织、新社会组织、新就业群体党建工作，指导社会工作人才队伍建设，负责志愿服务等工作。</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（二）202</w:t>
      </w:r>
      <w:r>
        <w:rPr>
          <w:rFonts w:hint="default" w:ascii="Times New Roman" w:hAnsi="Times New Roman" w:eastAsia="楷体" w:cs="Times New Roman"/>
          <w:b/>
          <w:bCs/>
          <w:sz w:val="32"/>
          <w:szCs w:val="32"/>
          <w:lang w:val="en-US" w:eastAsia="zh-CN"/>
        </w:rPr>
        <w:t>6</w:t>
      </w:r>
      <w:r>
        <w:rPr>
          <w:rFonts w:hint="default" w:ascii="Times New Roman" w:hAnsi="Times New Roman" w:eastAsia="楷体" w:cs="Times New Roman"/>
          <w:b/>
          <w:bCs/>
          <w:sz w:val="32"/>
          <w:szCs w:val="32"/>
        </w:rPr>
        <w:t>年重点工作</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left="0" w:leftChars="0" w:rightChars="0" w:firstLine="642" w:firstLineChars="200"/>
        <w:jc w:val="both"/>
        <w:textAlignment w:val="baseline"/>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楷体_GBK" w:cs="Times New Roman"/>
          <w:b/>
          <w:i w:val="0"/>
          <w:color w:val="000000"/>
          <w:sz w:val="32"/>
          <w:szCs w:val="32"/>
          <w:lang w:val="en-US" w:eastAsia="zh-CN"/>
        </w:rPr>
        <w:t>一是聚焦治理能力现代化，构建协同高效的基层治理新格局。</w:t>
      </w:r>
      <w:r>
        <w:rPr>
          <w:rFonts w:hint="default" w:ascii="Times New Roman" w:hAnsi="Times New Roman" w:eastAsia="方正仿宋_GBK" w:cs="Times New Roman"/>
          <w:color w:val="000000"/>
          <w:sz w:val="32"/>
          <w:szCs w:val="32"/>
          <w:lang w:val="en-US" w:eastAsia="zh-CN"/>
        </w:rPr>
        <w:t>牵头推动落实党建引领基层治理协调机制各项任务，强化跨层级跨部门协同联动。深化基层减负工作，严格执行乡镇履职事项清单制度，常态化规范村级组织工作事务、机制牌子和证明事项。完成新一届村（社区）“两委”换届选举，选优配强班子队伍。深入推进城乡社区治理优化提升行动，探索毗邻省、州（市）跨区域基层治理</w:t>
      </w:r>
      <w:r>
        <w:rPr>
          <w:rFonts w:hint="eastAsia" w:ascii="Times New Roman" w:hAnsi="Times New Roman" w:eastAsia="方正仿宋_GBK" w:cs="Times New Roman"/>
          <w:color w:val="000000"/>
          <w:sz w:val="32"/>
          <w:szCs w:val="32"/>
          <w:lang w:val="en-US" w:eastAsia="zh-CN"/>
        </w:rPr>
        <w:t>协同</w:t>
      </w:r>
      <w:r>
        <w:rPr>
          <w:rFonts w:hint="default" w:ascii="Times New Roman" w:hAnsi="Times New Roman" w:eastAsia="方正仿宋_GBK" w:cs="Times New Roman"/>
          <w:color w:val="000000"/>
          <w:sz w:val="32"/>
          <w:szCs w:val="32"/>
          <w:lang w:val="en-US" w:eastAsia="zh-CN"/>
        </w:rPr>
        <w:t>，打造一批具有阿坝特色的治理样板。巩固拓展“骑手友好型社区”建设成果，完善新就业群体融入基层治理机制。持续推进新兴领域“两个覆盖”三年计划，实现工青妇群团组织应建尽建。做强“石榴籽·阿坝新锋”党建品牌，在各行业领域培育特色子品牌。加强党建力量配备，招募21名州级党建专员并落实财政保障。升级打造一批多功能暖“新”之家，探索工业园区、农业园区和楼宇党建新路径。</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left="0" w:leftChars="0" w:rightChars="0" w:firstLine="642" w:firstLineChars="200"/>
        <w:jc w:val="both"/>
        <w:textAlignment w:val="baseline"/>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楷体_GBK" w:cs="Times New Roman"/>
          <w:b/>
          <w:i w:val="0"/>
          <w:color w:val="000000"/>
          <w:sz w:val="32"/>
          <w:szCs w:val="32"/>
          <w:lang w:val="en-US" w:eastAsia="zh-CN"/>
        </w:rPr>
        <w:t>二是优化服务供给体系，提升社会工作专业化精准化水平。</w:t>
      </w:r>
      <w:r>
        <w:rPr>
          <w:rFonts w:hint="default" w:ascii="Times New Roman" w:hAnsi="Times New Roman" w:eastAsia="方正仿宋_GBK" w:cs="Times New Roman"/>
          <w:color w:val="000000"/>
          <w:sz w:val="32"/>
          <w:szCs w:val="32"/>
          <w:lang w:val="en-US" w:eastAsia="zh-CN"/>
        </w:rPr>
        <w:t>贯彻州委十二届七次全会“树牢游客思维”“产业思维”“富民思维”等要求，健全州县志愿服务协调机制，深化“社志融合”发展，推广汶川“无忧食堂”、九寨沟“梨花小课堂”等成功经验。加快县域志愿服务特色站点建设，构建“区域+窗口单位+公共服务设施+社区”服务网络。完善志愿服务积分兑换与公益慈善资源对接平台，深入实施“爱润阿坝·石榴花开”志愿服务品牌建设，推动“一县一品”特色项目培育。出台实施《阿坝州关于加强新时代社会工作人才队伍建设的意见》和《民办社工机构扶持培育办法》。依托“提能力”项目完善县乡村三级社工服务体系，强化乡镇平台枢纽功能。围绕“一老一小一残一困”、新就业群体、预防未成年人犯罪等重点领域开展专业服务。推动行业部门推出政府购买服务项目，支持本地社工机构通过公益创投承接服务。</w:t>
      </w:r>
    </w:p>
    <w:p>
      <w:pPr>
        <w:keepNext w:val="0"/>
        <w:keepLines w:val="0"/>
        <w:pageBreakBefore w:val="0"/>
        <w:widowControl w:val="0"/>
        <w:kinsoku/>
        <w:wordWrap/>
        <w:overflowPunct w:val="0"/>
        <w:topLinePunct w:val="0"/>
        <w:autoSpaceDE/>
        <w:autoSpaceDN/>
        <w:bidi w:val="0"/>
        <w:adjustRightInd/>
        <w:snapToGrid/>
        <w:spacing w:beforeAutospacing="0" w:afterAutospacing="0" w:line="560" w:lineRule="exact"/>
        <w:ind w:left="0" w:leftChars="0" w:rightChars="0" w:firstLine="642" w:firstLineChars="200"/>
        <w:jc w:val="both"/>
        <w:textAlignment w:val="baseline"/>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楷体_GBK" w:cs="Times New Roman"/>
          <w:b/>
          <w:i w:val="0"/>
          <w:color w:val="000000"/>
          <w:sz w:val="32"/>
          <w:szCs w:val="32"/>
          <w:lang w:val="en-US" w:eastAsia="zh-CN"/>
        </w:rPr>
        <w:t>三是夯实人才制度基础，强化社会工作可持续发展支撑。</w:t>
      </w:r>
      <w:r>
        <w:rPr>
          <w:rFonts w:hint="default" w:ascii="Times New Roman" w:hAnsi="Times New Roman" w:eastAsia="方正仿宋_GBK" w:cs="Times New Roman"/>
          <w:color w:val="000000"/>
          <w:sz w:val="32"/>
          <w:szCs w:val="32"/>
          <w:lang w:val="en-US" w:eastAsia="zh-CN"/>
        </w:rPr>
        <w:t>围绕州委十二届七次全会“建强专业人才队伍”的明确要求， 持续实施社工人才“千人培育工程”，重点加强双语社工、应急救援等领域人才培养。建立健全社工人才评价、激励保障和继续教育政策体系，畅通职业发展通道。深化与高校、专业机构合作，借智借力提升专业服务水平。创新“公益+低偿”可持续服务模式，拓展多元资源渠道。分层分类评选推广专业社会工作服务典型案例，发挥示范引领作用。建立需求对接、资源调度、服务供给于一体的综合服务平台，提升民族地区服务响应速度。加强对社工机构的培育扶持和规范管理，提升专业化、规范化水平。健全社会工作人才继续教育体系，有计划培育督导人才。建立汉藏羌多语种志愿服务人才库，破解民族地区服务瓶颈。完善社工机构考核评价机制，将评价结果与评优评先、资金支持相挂钩。</w:t>
      </w:r>
      <w:r>
        <w:rPr>
          <w:rFonts w:hint="default" w:ascii="Times New Roman" w:hAnsi="Times New Roman" w:eastAsia="方正仿宋_GBK" w:cs="Times New Roman"/>
          <w:kern w:val="2"/>
          <w:sz w:val="32"/>
          <w:szCs w:val="32"/>
          <w:lang w:val="en-US" w:eastAsia="zh-CN" w:bidi="ar-SA"/>
        </w:rPr>
        <w:t xml:space="preserve">             </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二 、</w:t>
      </w:r>
      <w:r>
        <w:rPr>
          <w:rFonts w:hint="default" w:ascii="Times New Roman" w:hAnsi="Times New Roman" w:eastAsia="黑体" w:cs="Times New Roman"/>
          <w:sz w:val="32"/>
          <w:szCs w:val="32"/>
        </w:rPr>
        <w:t>部门预算单位构成</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州委社会工作部部门下属二级单位2个，其中行政单位1个，公益性一类事业单位1个。主要包括：中共阿坝州委社会工作部（本级）和阿坝州社会工作服务促进中心。</w:t>
      </w:r>
    </w:p>
    <w:p>
      <w:pPr>
        <w:pStyle w:val="9"/>
        <w:keepNext w:val="0"/>
        <w:keepLines w:val="0"/>
        <w:pageBreakBefore w:val="0"/>
        <w:numPr>
          <w:ilvl w:val="0"/>
          <w:numId w:val="1"/>
        </w:numPr>
        <w:kinsoku/>
        <w:wordWrap/>
        <w:overflowPunct/>
        <w:topLinePunct w:val="0"/>
        <w:autoSpaceDE/>
        <w:autoSpaceDN/>
        <w:bidi w:val="0"/>
        <w:adjustRightInd/>
        <w:snapToGrid/>
        <w:spacing w:line="560" w:lineRule="exact"/>
        <w:ind w:left="720" w:firstLine="0" w:firstLineChars="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收支预算情况说明</w:t>
      </w:r>
    </w:p>
    <w:p>
      <w:pPr>
        <w:pStyle w:val="9"/>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按照综合预算的原则，</w:t>
      </w:r>
      <w:r>
        <w:rPr>
          <w:rFonts w:hint="default" w:ascii="Times New Roman" w:hAnsi="Times New Roman" w:eastAsia="方正仿宋_GBK" w:cs="Times New Roman"/>
          <w:kern w:val="2"/>
          <w:sz w:val="32"/>
          <w:szCs w:val="32"/>
          <w:lang w:val="en-US" w:eastAsia="zh-CN" w:bidi="ar-SA"/>
        </w:rPr>
        <w:t>州</w:t>
      </w:r>
      <w:r>
        <w:rPr>
          <w:rFonts w:hint="default" w:ascii="Times New Roman" w:hAnsi="Times New Roman" w:eastAsia="方正仿宋_GBK" w:cs="Times New Roman"/>
          <w:kern w:val="2"/>
          <w:sz w:val="32"/>
          <w:szCs w:val="32"/>
          <w:lang w:val="en-US" w:eastAsia="zh-CN" w:bidi="ar-SA"/>
        </w:rPr>
        <w:t>委社会工作部所有收入和支出均纳入部门预算管理。收入均为一般公共预算拨款收入；支出包括：一般公共服务支出、社会保障和就业支出、卫生健康支出、住房保障支出。</w:t>
      </w:r>
      <w:r>
        <w:rPr>
          <w:rFonts w:hint="default" w:ascii="Times New Roman" w:hAnsi="Times New Roman" w:eastAsia="方正仿宋_GBK" w:cs="Times New Roman"/>
          <w:kern w:val="2"/>
          <w:sz w:val="32"/>
          <w:szCs w:val="32"/>
          <w:lang w:val="en-US" w:eastAsia="zh-CN" w:bidi="ar-SA"/>
        </w:rPr>
        <w:t>州</w:t>
      </w:r>
      <w:r>
        <w:rPr>
          <w:rFonts w:hint="default" w:ascii="Times New Roman" w:hAnsi="Times New Roman" w:eastAsia="方正仿宋_GBK" w:cs="Times New Roman"/>
          <w:kern w:val="2"/>
          <w:sz w:val="32"/>
          <w:szCs w:val="32"/>
          <w:lang w:val="en-US" w:eastAsia="zh-CN" w:bidi="ar-SA"/>
        </w:rPr>
        <w:t>委社会工作部202</w:t>
      </w:r>
      <w:r>
        <w:rPr>
          <w:rFonts w:hint="default"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年收支预算总数</w:t>
      </w:r>
      <w:r>
        <w:rPr>
          <w:rFonts w:hint="default" w:ascii="Times New Roman" w:hAnsi="Times New Roman" w:eastAsia="方正仿宋_GBK" w:cs="Times New Roman"/>
          <w:kern w:val="2"/>
          <w:sz w:val="32"/>
          <w:szCs w:val="32"/>
          <w:lang w:val="en-US" w:eastAsia="zh-CN" w:bidi="ar-SA"/>
        </w:rPr>
        <w:t>713.79</w:t>
      </w:r>
      <w:r>
        <w:rPr>
          <w:rFonts w:hint="default" w:ascii="Times New Roman" w:hAnsi="Times New Roman" w:eastAsia="方正仿宋_GBK" w:cs="Times New Roman"/>
          <w:kern w:val="2"/>
          <w:sz w:val="32"/>
          <w:szCs w:val="32"/>
          <w:lang w:val="en-US" w:eastAsia="zh-CN" w:bidi="ar-SA"/>
        </w:rPr>
        <w:t>万元，比202</w:t>
      </w:r>
      <w:r>
        <w:rPr>
          <w:rFonts w:hint="default"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年收支预算，增加</w:t>
      </w:r>
      <w:r>
        <w:rPr>
          <w:rFonts w:hint="default" w:ascii="Times New Roman" w:hAnsi="Times New Roman" w:eastAsia="方正仿宋_GBK" w:cs="Times New Roman"/>
          <w:kern w:val="2"/>
          <w:sz w:val="32"/>
          <w:szCs w:val="32"/>
          <w:lang w:val="en-US" w:eastAsia="zh-CN" w:bidi="ar-SA"/>
        </w:rPr>
        <w:t>26.04</w:t>
      </w:r>
      <w:r>
        <w:rPr>
          <w:rFonts w:hint="default" w:ascii="Times New Roman" w:hAnsi="Times New Roman" w:eastAsia="方正仿宋_GBK" w:cs="Times New Roman"/>
          <w:kern w:val="2"/>
          <w:sz w:val="32"/>
          <w:szCs w:val="32"/>
          <w:lang w:val="en-US" w:eastAsia="zh-CN" w:bidi="ar-SA"/>
        </w:rPr>
        <w:t>万元</w:t>
      </w:r>
      <w:r>
        <w:rPr>
          <w:rFonts w:hint="eastAsia" w:ascii="Times New Roman" w:hAnsi="Times New Roman" w:eastAsia="方正仿宋_GBK" w:cs="Times New Roman"/>
          <w:kern w:val="2"/>
          <w:sz w:val="32"/>
          <w:szCs w:val="32"/>
          <w:lang w:val="en-US" w:eastAsia="zh-CN" w:bidi="ar-SA"/>
        </w:rPr>
        <w:t>，增长22%</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numPr>
          <w:ilvl w:val="0"/>
          <w:numId w:val="2"/>
        </w:numPr>
        <w:kinsoku/>
        <w:wordWrap/>
        <w:overflowPunct/>
        <w:topLinePunct w:val="0"/>
        <w:autoSpaceDE/>
        <w:autoSpaceDN/>
        <w:bidi w:val="0"/>
        <w:adjustRightInd/>
        <w:snapToGrid/>
        <w:spacing w:line="560" w:lineRule="exact"/>
        <w:ind w:left="638" w:leftChars="304" w:firstLine="0" w:firstLineChars="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部门202</w:t>
      </w:r>
      <w:r>
        <w:rPr>
          <w:rFonts w:hint="default"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年财政拨款收支总预算</w:t>
      </w:r>
      <w:r>
        <w:rPr>
          <w:rFonts w:hint="default" w:ascii="Times New Roman" w:hAnsi="Times New Roman" w:eastAsia="方正仿宋_GBK" w:cs="Times New Roman"/>
          <w:kern w:val="2"/>
          <w:sz w:val="32"/>
          <w:szCs w:val="32"/>
          <w:lang w:val="en-US" w:eastAsia="zh-CN" w:bidi="ar-SA"/>
        </w:rPr>
        <w:t>713.79</w:t>
      </w:r>
      <w:r>
        <w:rPr>
          <w:rFonts w:hint="default" w:ascii="Times New Roman" w:hAnsi="Times New Roman" w:eastAsia="方正仿宋_GBK" w:cs="Times New Roman"/>
          <w:kern w:val="2"/>
          <w:sz w:val="32"/>
          <w:szCs w:val="32"/>
          <w:lang w:val="en-US" w:eastAsia="zh-CN" w:bidi="ar-SA"/>
        </w:rPr>
        <w:t>万元,比202</w:t>
      </w:r>
      <w:r>
        <w:rPr>
          <w:rFonts w:hint="default" w:ascii="Times New Roman" w:hAnsi="Times New Roman" w:eastAsia="方正仿宋_GBK" w:cs="Times New Roman"/>
          <w:kern w:val="2"/>
          <w:sz w:val="32"/>
          <w:szCs w:val="32"/>
          <w:lang w:val="en-US" w:eastAsia="zh-CN" w:bidi="ar-SA"/>
        </w:rPr>
        <w:t>5</w:t>
      </w:r>
      <w:r>
        <w:rPr>
          <w:rFonts w:hint="default" w:ascii="Times New Roman" w:hAnsi="Times New Roman" w:eastAsia="方正仿宋_GBK" w:cs="Times New Roman"/>
          <w:kern w:val="2"/>
          <w:sz w:val="32"/>
          <w:szCs w:val="32"/>
          <w:lang w:val="en-US" w:eastAsia="zh-CN" w:bidi="ar-SA"/>
        </w:rPr>
        <w:t>年财政拨款收支总预算增加</w:t>
      </w:r>
      <w:r>
        <w:rPr>
          <w:rFonts w:hint="default" w:ascii="Times New Roman" w:hAnsi="Times New Roman" w:eastAsia="方正仿宋_GBK" w:cs="Times New Roman"/>
          <w:kern w:val="2"/>
          <w:sz w:val="32"/>
          <w:szCs w:val="32"/>
          <w:lang w:val="en-US" w:eastAsia="zh-CN" w:bidi="ar-SA"/>
        </w:rPr>
        <w:t>26.04</w:t>
      </w:r>
      <w:r>
        <w:rPr>
          <w:rFonts w:hint="default" w:ascii="Times New Roman" w:hAnsi="Times New Roman" w:eastAsia="方正仿宋_GBK" w:cs="Times New Roman"/>
          <w:kern w:val="2"/>
          <w:sz w:val="32"/>
          <w:szCs w:val="32"/>
          <w:lang w:val="en-US" w:eastAsia="zh-CN" w:bidi="ar-SA"/>
        </w:rPr>
        <w:t>万元</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增长22.13%</w:t>
      </w:r>
      <w:r>
        <w:rPr>
          <w:rFonts w:hint="default" w:ascii="Times New Roman" w:hAnsi="Times New Roman" w:eastAsia="方正仿宋_GBK" w:cs="Times New Roman"/>
          <w:kern w:val="2"/>
          <w:sz w:val="32"/>
          <w:szCs w:val="32"/>
          <w:lang w:val="en-US" w:eastAsia="zh-CN" w:bidi="ar-SA"/>
        </w:rPr>
        <w:t>，主要原因:我部</w:t>
      </w:r>
      <w:r>
        <w:rPr>
          <w:rFonts w:hint="default" w:ascii="Times New Roman" w:hAnsi="Times New Roman" w:eastAsia="方正仿宋_GBK" w:cs="Times New Roman"/>
          <w:kern w:val="2"/>
          <w:sz w:val="32"/>
          <w:szCs w:val="32"/>
          <w:lang w:val="en-US" w:eastAsia="zh-CN" w:bidi="ar-SA"/>
        </w:rPr>
        <w:t>2026年新增两辆公务用车，公务用车运行维护费用增加</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pStyle w:val="10"/>
        <w:keepNext w:val="0"/>
        <w:keepLines w:val="0"/>
        <w:pageBreakBefore w:val="0"/>
        <w:kinsoku/>
        <w:wordWrap/>
        <w:overflowPunct/>
        <w:topLinePunct w:val="0"/>
        <w:autoSpaceDE/>
        <w:autoSpaceDN/>
        <w:bidi w:val="0"/>
        <w:adjustRightInd/>
        <w:snapToGrid/>
        <w:spacing w:before="0" w:line="560" w:lineRule="exact"/>
        <w:ind w:firstLine="660"/>
        <w:jc w:val="both"/>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（一）一般公共预算当年拨款规模变化情况</w:t>
      </w:r>
    </w:p>
    <w:p>
      <w:pPr>
        <w:pStyle w:val="10"/>
        <w:keepNext w:val="0"/>
        <w:keepLines w:val="0"/>
        <w:pageBreakBefore w:val="0"/>
        <w:kinsoku/>
        <w:wordWrap/>
        <w:overflowPunct/>
        <w:topLinePunct w:val="0"/>
        <w:autoSpaceDE/>
        <w:autoSpaceDN/>
        <w:bidi w:val="0"/>
        <w:adjustRightInd/>
        <w:snapToGrid/>
        <w:spacing w:before="0" w:line="560" w:lineRule="exact"/>
        <w:ind w:firstLine="660"/>
        <w:jc w:val="both"/>
        <w:textAlignment w:val="auto"/>
        <w:rPr>
          <w:rFonts w:hint="default" w:ascii="Times New Roman" w:hAnsi="Times New Roman" w:cs="Times New Roman"/>
          <w:kern w:val="2"/>
          <w:sz w:val="32"/>
          <w:szCs w:val="32"/>
        </w:rPr>
      </w:pPr>
      <w:r>
        <w:rPr>
          <w:rFonts w:hint="default" w:ascii="Times New Roman" w:hAnsi="Times New Roman" w:eastAsia="方正仿宋_GBK" w:cs="Times New Roman"/>
          <w:kern w:val="2"/>
          <w:sz w:val="32"/>
          <w:szCs w:val="32"/>
          <w:lang w:val="en-US" w:eastAsia="zh-CN" w:bidi="ar-SA"/>
        </w:rPr>
        <w:t>部门（单位）202</w:t>
      </w:r>
      <w:r>
        <w:rPr>
          <w:rFonts w:hint="default"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kern w:val="2"/>
          <w:sz w:val="32"/>
          <w:szCs w:val="32"/>
          <w:lang w:val="en-US" w:eastAsia="zh-CN" w:bidi="ar-SA"/>
        </w:rPr>
        <w:t>年一般公共预算当年拨款</w:t>
      </w:r>
      <w:r>
        <w:rPr>
          <w:rFonts w:hint="default" w:ascii="Times New Roman" w:hAnsi="Times New Roman" w:eastAsia="方正仿宋_GBK" w:cs="Times New Roman"/>
          <w:kern w:val="2"/>
          <w:sz w:val="32"/>
          <w:szCs w:val="32"/>
          <w:lang w:val="en-US" w:eastAsia="zh-CN" w:bidi="ar-SA"/>
        </w:rPr>
        <w:t>713.79</w:t>
      </w:r>
      <w:r>
        <w:rPr>
          <w:rFonts w:hint="default" w:ascii="Times New Roman" w:hAnsi="Times New Roman" w:eastAsia="方正仿宋_GBK" w:cs="Times New Roman"/>
          <w:kern w:val="2"/>
          <w:sz w:val="32"/>
          <w:szCs w:val="32"/>
          <w:lang w:val="en-US" w:eastAsia="zh-CN" w:bidi="ar-SA"/>
        </w:rPr>
        <w:t>万元，比</w:t>
      </w:r>
      <w:r>
        <w:rPr>
          <w:rFonts w:hint="default" w:ascii="Times New Roman" w:hAnsi="Times New Roman" w:eastAsia="方正仿宋_GBK" w:cs="Times New Roman"/>
          <w:kern w:val="2"/>
          <w:sz w:val="32"/>
          <w:szCs w:val="32"/>
          <w:lang w:val="en-US" w:eastAsia="zh-CN" w:bidi="ar-SA"/>
        </w:rPr>
        <w:t>2025</w:t>
      </w:r>
      <w:r>
        <w:rPr>
          <w:rFonts w:hint="default" w:ascii="Times New Roman" w:hAnsi="Times New Roman" w:eastAsia="方正仿宋_GBK" w:cs="Times New Roman"/>
          <w:kern w:val="2"/>
          <w:sz w:val="32"/>
          <w:szCs w:val="32"/>
          <w:lang w:val="en-US" w:eastAsia="zh-CN" w:bidi="ar-SA"/>
        </w:rPr>
        <w:t>年预算数增加</w:t>
      </w:r>
      <w:r>
        <w:rPr>
          <w:rFonts w:hint="default" w:ascii="Times New Roman" w:hAnsi="Times New Roman" w:eastAsia="方正仿宋_GBK" w:cs="Times New Roman"/>
          <w:kern w:val="2"/>
          <w:sz w:val="32"/>
          <w:szCs w:val="32"/>
          <w:lang w:val="en-US" w:eastAsia="zh-CN" w:bidi="ar-SA"/>
        </w:rPr>
        <w:t>26.04</w:t>
      </w:r>
      <w:r>
        <w:rPr>
          <w:rFonts w:hint="default" w:ascii="Times New Roman" w:hAnsi="Times New Roman" w:eastAsia="方正仿宋_GBK" w:cs="Times New Roman"/>
          <w:kern w:val="2"/>
          <w:sz w:val="32"/>
          <w:szCs w:val="32"/>
          <w:lang w:val="en-US" w:eastAsia="zh-CN" w:bidi="ar-SA"/>
        </w:rPr>
        <w:t>万元，主要原因:</w:t>
      </w:r>
      <w:r>
        <w:rPr>
          <w:rFonts w:hint="default" w:ascii="Times New Roman" w:hAnsi="Times New Roman" w:eastAsia="方正仿宋_GBK" w:cs="Times New Roman"/>
          <w:kern w:val="2"/>
          <w:sz w:val="32"/>
          <w:szCs w:val="32"/>
          <w:lang w:val="en-US" w:eastAsia="zh-CN" w:bidi="ar-SA"/>
        </w:rPr>
        <w:t>我部2026年</w:t>
      </w:r>
      <w:r>
        <w:rPr>
          <w:rFonts w:hint="default" w:ascii="Times New Roman" w:hAnsi="Times New Roman" w:eastAsia="方正仿宋_GBK" w:cs="Times New Roman"/>
          <w:kern w:val="2"/>
          <w:sz w:val="32"/>
          <w:szCs w:val="32"/>
          <w:lang w:val="en-US" w:eastAsia="zh-CN" w:bidi="ar-SA"/>
        </w:rPr>
        <w:t>新增两辆公务用车，</w:t>
      </w:r>
      <w:r>
        <w:rPr>
          <w:rFonts w:hint="eastAsia" w:ascii="Times New Roman" w:hAnsi="Times New Roman" w:eastAsia="方正仿宋_GBK" w:cs="Times New Roman"/>
          <w:kern w:val="2"/>
          <w:sz w:val="32"/>
          <w:szCs w:val="32"/>
          <w:lang w:val="en-US" w:eastAsia="zh-CN" w:bidi="ar-SA"/>
        </w:rPr>
        <w:t>故</w:t>
      </w:r>
      <w:r>
        <w:rPr>
          <w:rFonts w:hint="default" w:ascii="Times New Roman" w:hAnsi="Times New Roman" w:eastAsia="方正仿宋_GBK" w:cs="Times New Roman"/>
          <w:kern w:val="2"/>
          <w:sz w:val="32"/>
          <w:szCs w:val="32"/>
          <w:lang w:val="en-US" w:eastAsia="zh-CN" w:bidi="ar-SA"/>
        </w:rPr>
        <w:t>公务用车运行维护费用增加</w:t>
      </w:r>
      <w:r>
        <w:rPr>
          <w:rFonts w:hint="default" w:ascii="Times New Roman" w:hAnsi="Times New Roman" w:eastAsia="方正仿宋_GBK" w:cs="Times New Roman"/>
          <w:kern w:val="2"/>
          <w:sz w:val="32"/>
          <w:szCs w:val="32"/>
          <w:lang w:val="en-US" w:eastAsia="zh-CN" w:bidi="ar-SA"/>
        </w:rPr>
        <w:t>。　</w:t>
      </w:r>
      <w:r>
        <w:rPr>
          <w:rFonts w:hint="default" w:ascii="Times New Roman" w:hAnsi="Times New Roman" w:cs="Times New Roman"/>
          <w:kern w:val="2"/>
          <w:sz w:val="32"/>
          <w:szCs w:val="32"/>
        </w:rPr>
        <w:t>　</w:t>
      </w:r>
    </w:p>
    <w:p>
      <w:pPr>
        <w:pStyle w:val="10"/>
        <w:keepNext w:val="0"/>
        <w:keepLines w:val="0"/>
        <w:pageBreakBefore w:val="0"/>
        <w:numPr>
          <w:ilvl w:val="0"/>
          <w:numId w:val="3"/>
        </w:numPr>
        <w:kinsoku/>
        <w:wordWrap/>
        <w:overflowPunct/>
        <w:topLinePunct w:val="0"/>
        <w:autoSpaceDE/>
        <w:autoSpaceDN/>
        <w:bidi w:val="0"/>
        <w:adjustRightInd/>
        <w:snapToGrid/>
        <w:spacing w:before="0" w:line="560" w:lineRule="exact"/>
        <w:ind w:left="651" w:leftChars="310"/>
        <w:jc w:val="both"/>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一般公共预算当年拨款结构情况</w:t>
      </w:r>
    </w:p>
    <w:p>
      <w:pPr>
        <w:pStyle w:val="10"/>
        <w:keepNext w:val="0"/>
        <w:keepLines w:val="0"/>
        <w:pageBreakBefore w:val="0"/>
        <w:kinsoku/>
        <w:wordWrap/>
        <w:overflowPunct/>
        <w:topLinePunct w:val="0"/>
        <w:autoSpaceDE/>
        <w:autoSpaceDN/>
        <w:bidi w:val="0"/>
        <w:adjustRightInd/>
        <w:snapToGrid/>
        <w:spacing w:before="0" w:line="560" w:lineRule="exact"/>
        <w:ind w:firstLine="660"/>
        <w:jc w:val="both"/>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lang w:val="en-US" w:eastAsia="zh-CN" w:bidi="ar-SA"/>
        </w:rPr>
        <w:t>一般公共服务支出当年拨款</w:t>
      </w:r>
      <w:r>
        <w:rPr>
          <w:rFonts w:hint="default" w:ascii="Times New Roman" w:hAnsi="Times New Roman" w:eastAsia="方正仿宋_GBK" w:cs="Times New Roman"/>
          <w:kern w:val="2"/>
          <w:sz w:val="32"/>
          <w:szCs w:val="32"/>
          <w:lang w:val="en-US" w:eastAsia="zh-CN" w:bidi="ar-SA"/>
        </w:rPr>
        <w:t>713.79</w:t>
      </w:r>
      <w:r>
        <w:rPr>
          <w:rFonts w:hint="default" w:ascii="Times New Roman" w:hAnsi="Times New Roman" w:eastAsia="方正仿宋_GBK" w:cs="Times New Roman"/>
          <w:kern w:val="2"/>
          <w:sz w:val="32"/>
          <w:szCs w:val="32"/>
          <w:lang w:val="en-US" w:eastAsia="zh-CN" w:bidi="ar-SA"/>
        </w:rPr>
        <w:t>万元；社会保障和就业</w:t>
      </w:r>
      <w:r>
        <w:rPr>
          <w:rFonts w:hint="default" w:ascii="Times New Roman" w:hAnsi="Times New Roman" w:eastAsia="方正仿宋_GBK" w:cs="Times New Roman"/>
          <w:kern w:val="2"/>
          <w:sz w:val="32"/>
          <w:szCs w:val="32"/>
          <w:highlight w:val="none"/>
          <w:lang w:val="en-US" w:eastAsia="zh-CN" w:bidi="ar-SA"/>
        </w:rPr>
        <w:t>支出</w:t>
      </w:r>
      <w:r>
        <w:rPr>
          <w:rFonts w:hint="default" w:ascii="Times New Roman" w:hAnsi="Times New Roman" w:eastAsia="方正仿宋_GBK" w:cs="Times New Roman"/>
          <w:kern w:val="2"/>
          <w:sz w:val="32"/>
          <w:szCs w:val="32"/>
          <w:highlight w:val="none"/>
          <w:lang w:val="en-US" w:eastAsia="zh-CN" w:bidi="ar-SA"/>
        </w:rPr>
        <w:t>40</w:t>
      </w:r>
      <w:r>
        <w:rPr>
          <w:rFonts w:hint="eastAsia" w:ascii="Times New Roman" w:hAnsi="Times New Roman" w:eastAsia="方正仿宋_GBK" w:cs="Times New Roman"/>
          <w:kern w:val="2"/>
          <w:sz w:val="32"/>
          <w:szCs w:val="32"/>
          <w:highlight w:val="none"/>
          <w:lang w:val="en-US" w:eastAsia="zh-CN" w:bidi="ar-SA"/>
        </w:rPr>
        <w:t>7</w:t>
      </w:r>
      <w:r>
        <w:rPr>
          <w:rFonts w:hint="default" w:ascii="Times New Roman" w:hAnsi="Times New Roman" w:eastAsia="方正仿宋_GBK" w:cs="Times New Roman"/>
          <w:kern w:val="2"/>
          <w:sz w:val="32"/>
          <w:szCs w:val="32"/>
          <w:highlight w:val="none"/>
          <w:lang w:val="en-US" w:eastAsia="zh-CN" w:bidi="ar-SA"/>
        </w:rPr>
        <w:t>.2</w:t>
      </w:r>
      <w:r>
        <w:rPr>
          <w:rFonts w:hint="default" w:ascii="Times New Roman" w:hAnsi="Times New Roman" w:eastAsia="方正仿宋_GBK" w:cs="Times New Roman"/>
          <w:kern w:val="2"/>
          <w:sz w:val="32"/>
          <w:szCs w:val="32"/>
          <w:highlight w:val="none"/>
          <w:lang w:val="en-US" w:eastAsia="zh-CN" w:bidi="ar-SA"/>
        </w:rPr>
        <w:t>万元；住房保障支出</w:t>
      </w:r>
      <w:r>
        <w:rPr>
          <w:rFonts w:hint="default" w:ascii="Times New Roman" w:hAnsi="Times New Roman" w:eastAsia="方正仿宋_GBK" w:cs="Times New Roman"/>
          <w:kern w:val="2"/>
          <w:sz w:val="32"/>
          <w:szCs w:val="32"/>
          <w:highlight w:val="none"/>
          <w:lang w:val="en-US" w:eastAsia="zh-CN" w:bidi="ar-SA"/>
        </w:rPr>
        <w:t>2</w:t>
      </w:r>
      <w:r>
        <w:rPr>
          <w:rFonts w:hint="eastAsia" w:ascii="Times New Roman" w:hAnsi="Times New Roman" w:eastAsia="方正仿宋_GBK" w:cs="Times New Roman"/>
          <w:kern w:val="2"/>
          <w:sz w:val="32"/>
          <w:szCs w:val="32"/>
          <w:highlight w:val="none"/>
          <w:lang w:val="en-US" w:eastAsia="zh-CN" w:bidi="ar-SA"/>
        </w:rPr>
        <w:t>9</w:t>
      </w:r>
      <w:r>
        <w:rPr>
          <w:rFonts w:hint="default" w:ascii="Times New Roman" w:hAnsi="Times New Roman" w:eastAsia="方正仿宋_GBK" w:cs="Times New Roman"/>
          <w:kern w:val="2"/>
          <w:sz w:val="32"/>
          <w:szCs w:val="32"/>
          <w:highlight w:val="none"/>
          <w:lang w:val="en-US" w:eastAsia="zh-CN" w:bidi="ar-SA"/>
        </w:rPr>
        <w:t>.59</w:t>
      </w:r>
      <w:r>
        <w:rPr>
          <w:rFonts w:hint="default" w:ascii="Times New Roman" w:hAnsi="Times New Roman" w:eastAsia="方正仿宋_GBK" w:cs="Times New Roman"/>
          <w:kern w:val="2"/>
          <w:sz w:val="32"/>
          <w:szCs w:val="32"/>
          <w:highlight w:val="none"/>
          <w:lang w:val="en-US" w:eastAsia="zh-CN" w:bidi="ar-SA"/>
        </w:rPr>
        <w:t>万元，医疗保障支出</w:t>
      </w:r>
      <w:r>
        <w:rPr>
          <w:rFonts w:hint="default" w:ascii="Times New Roman" w:hAnsi="Times New Roman" w:eastAsia="方正仿宋_GBK" w:cs="Times New Roman"/>
          <w:kern w:val="2"/>
          <w:sz w:val="32"/>
          <w:szCs w:val="32"/>
          <w:highlight w:val="none"/>
          <w:lang w:val="en-US" w:eastAsia="zh-CN" w:bidi="ar-SA"/>
        </w:rPr>
        <w:t>21</w:t>
      </w:r>
      <w:r>
        <w:rPr>
          <w:rFonts w:hint="eastAsia" w:ascii="Times New Roman" w:hAnsi="Times New Roman" w:eastAsia="方正仿宋_GBK" w:cs="Times New Roman"/>
          <w:kern w:val="2"/>
          <w:sz w:val="32"/>
          <w:szCs w:val="32"/>
          <w:highlight w:val="none"/>
          <w:lang w:val="en-US" w:eastAsia="zh-CN" w:bidi="ar-SA"/>
        </w:rPr>
        <w:t>万</w:t>
      </w:r>
      <w:r>
        <w:rPr>
          <w:rFonts w:hint="default" w:ascii="Times New Roman" w:hAnsi="Times New Roman" w:eastAsia="方正仿宋_GBK" w:cs="Times New Roman"/>
          <w:kern w:val="2"/>
          <w:sz w:val="32"/>
          <w:szCs w:val="32"/>
          <w:highlight w:val="none"/>
          <w:lang w:val="en-US" w:eastAsia="zh-CN" w:bidi="ar-SA"/>
        </w:rPr>
        <w:t>元；特定内项目支出</w:t>
      </w:r>
      <w:r>
        <w:rPr>
          <w:rFonts w:hint="default" w:ascii="Times New Roman" w:hAnsi="Times New Roman" w:eastAsia="方正仿宋_GBK" w:cs="Times New Roman"/>
          <w:kern w:val="2"/>
          <w:sz w:val="32"/>
          <w:szCs w:val="32"/>
          <w:highlight w:val="none"/>
          <w:lang w:val="en-US" w:eastAsia="zh-CN" w:bidi="ar-SA"/>
        </w:rPr>
        <w:t>256</w:t>
      </w:r>
      <w:r>
        <w:rPr>
          <w:rFonts w:hint="default" w:ascii="Times New Roman" w:hAnsi="Times New Roman" w:eastAsia="方正仿宋_GBK" w:cs="Times New Roman"/>
          <w:kern w:val="2"/>
          <w:sz w:val="32"/>
          <w:szCs w:val="32"/>
          <w:highlight w:val="none"/>
          <w:lang w:val="en-US" w:eastAsia="zh-CN" w:bidi="ar-SA"/>
        </w:rPr>
        <w:t>万元。</w:t>
      </w:r>
    </w:p>
    <w:p>
      <w:pPr>
        <w:pStyle w:val="10"/>
        <w:keepNext w:val="0"/>
        <w:keepLines w:val="0"/>
        <w:pageBreakBefore w:val="0"/>
        <w:numPr>
          <w:ilvl w:val="0"/>
          <w:numId w:val="3"/>
        </w:numPr>
        <w:kinsoku/>
        <w:wordWrap/>
        <w:overflowPunct/>
        <w:topLinePunct w:val="0"/>
        <w:autoSpaceDE/>
        <w:autoSpaceDN/>
        <w:bidi w:val="0"/>
        <w:adjustRightInd/>
        <w:snapToGrid/>
        <w:spacing w:before="0" w:line="560" w:lineRule="exact"/>
        <w:ind w:left="651" w:leftChars="310"/>
        <w:jc w:val="both"/>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lang w:val="en-US" w:eastAsia="zh-CN"/>
        </w:rPr>
        <w:t>一般公共预算当年拨款具体使</w:t>
      </w:r>
      <w:r>
        <w:rPr>
          <w:rFonts w:hint="default" w:ascii="Times New Roman" w:hAnsi="Times New Roman" w:eastAsia="楷体" w:cs="Times New Roman"/>
          <w:b/>
          <w:bCs/>
          <w:sz w:val="32"/>
          <w:szCs w:val="32"/>
        </w:rPr>
        <w:t>用情况</w:t>
      </w:r>
    </w:p>
    <w:p>
      <w:pPr>
        <w:pStyle w:val="10"/>
        <w:keepNext w:val="0"/>
        <w:keepLines w:val="0"/>
        <w:pageBreakBefore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cs="Times New Roman"/>
          <w:sz w:val="32"/>
          <w:szCs w:val="32"/>
        </w:rPr>
        <w:t>一般公共服务支出</w:t>
      </w:r>
      <w:r>
        <w:rPr>
          <w:rFonts w:hint="default" w:ascii="Times New Roman" w:hAnsi="Times New Roman" w:eastAsia="方正仿宋_GBK" w:cs="Times New Roman"/>
          <w:kern w:val="2"/>
          <w:sz w:val="32"/>
          <w:szCs w:val="32"/>
          <w:lang w:val="en-US" w:eastAsia="zh-CN" w:bidi="ar-SA"/>
        </w:rPr>
        <w:t>713.79</w:t>
      </w:r>
      <w:r>
        <w:rPr>
          <w:rFonts w:hint="default" w:ascii="Times New Roman" w:hAnsi="Times New Roman" w:cs="Times New Roman"/>
          <w:sz w:val="32"/>
          <w:szCs w:val="32"/>
        </w:rPr>
        <w:t>万元；社会保障和就业支</w:t>
      </w:r>
      <w:r>
        <w:rPr>
          <w:rFonts w:hint="default" w:ascii="Times New Roman" w:hAnsi="Times New Roman" w:cs="Times New Roman"/>
          <w:sz w:val="32"/>
          <w:szCs w:val="32"/>
          <w:lang w:val="en-US" w:eastAsia="zh-CN"/>
        </w:rPr>
        <w:t>出</w:t>
      </w:r>
      <w:r>
        <w:rPr>
          <w:rFonts w:hint="eastAsia" w:ascii="Times New Roman" w:hAnsi="Times New Roman" w:cs="Times New Roman"/>
          <w:sz w:val="32"/>
          <w:szCs w:val="32"/>
          <w:lang w:val="en-US" w:eastAsia="zh-CN"/>
        </w:rPr>
        <w:t>408.2</w:t>
      </w:r>
      <w:r>
        <w:rPr>
          <w:rFonts w:hint="default" w:ascii="Times New Roman" w:hAnsi="Times New Roman" w:cs="Times New Roman"/>
          <w:sz w:val="32"/>
          <w:szCs w:val="32"/>
          <w:lang w:val="en-US" w:eastAsia="zh-CN"/>
        </w:rPr>
        <w:t>万元</w:t>
      </w:r>
      <w:r>
        <w:rPr>
          <w:rFonts w:hint="default" w:ascii="Times New Roman" w:hAnsi="Times New Roman" w:cs="Times New Roman"/>
          <w:sz w:val="32"/>
          <w:szCs w:val="32"/>
        </w:rPr>
        <w:t>；住房保障支出</w:t>
      </w:r>
      <w:r>
        <w:rPr>
          <w:rFonts w:hint="default" w:ascii="Times New Roman" w:hAnsi="Times New Roman" w:cs="Times New Roman"/>
          <w:sz w:val="32"/>
          <w:szCs w:val="32"/>
          <w:lang w:val="en-US" w:eastAsia="zh-CN"/>
        </w:rPr>
        <w:t>28.</w:t>
      </w:r>
      <w:r>
        <w:rPr>
          <w:rFonts w:hint="eastAsia" w:ascii="Times New Roman" w:hAnsi="Times New Roman" w:cs="Times New Roman"/>
          <w:sz w:val="32"/>
          <w:szCs w:val="32"/>
          <w:lang w:val="en-US" w:eastAsia="zh-CN"/>
        </w:rPr>
        <w:t>59</w:t>
      </w:r>
      <w:r>
        <w:rPr>
          <w:rFonts w:hint="default" w:ascii="Times New Roman" w:hAnsi="Times New Roman" w:cs="Times New Roman"/>
          <w:sz w:val="32"/>
          <w:szCs w:val="32"/>
        </w:rPr>
        <w:t>万元，</w:t>
      </w:r>
      <w:r>
        <w:rPr>
          <w:rFonts w:hint="default" w:ascii="Times New Roman" w:hAnsi="Times New Roman" w:cs="Times New Roman"/>
          <w:sz w:val="32"/>
          <w:szCs w:val="32"/>
          <w:lang w:val="en-US" w:eastAsia="zh-CN"/>
        </w:rPr>
        <w:t>医疗保障支出</w:t>
      </w:r>
      <w:r>
        <w:rPr>
          <w:rFonts w:hint="eastAsia" w:ascii="Times New Roman" w:hAnsi="Times New Roman" w:cs="Times New Roman"/>
          <w:sz w:val="32"/>
          <w:szCs w:val="32"/>
          <w:lang w:val="en-US" w:eastAsia="zh-CN"/>
        </w:rPr>
        <w:t>21万</w:t>
      </w:r>
      <w:r>
        <w:rPr>
          <w:rFonts w:hint="default" w:ascii="Times New Roman" w:hAnsi="Times New Roman" w:cs="Times New Roman"/>
          <w:sz w:val="32"/>
          <w:szCs w:val="32"/>
          <w:lang w:val="en-US" w:eastAsia="zh-CN"/>
        </w:rPr>
        <w:t>元；特定内项目支出</w:t>
      </w:r>
      <w:r>
        <w:rPr>
          <w:rFonts w:hint="eastAsia" w:ascii="Times New Roman" w:hAnsi="Times New Roman" w:cs="Times New Roman"/>
          <w:sz w:val="32"/>
          <w:szCs w:val="32"/>
          <w:lang w:val="en-US" w:eastAsia="zh-CN"/>
        </w:rPr>
        <w:t>256</w:t>
      </w:r>
      <w:r>
        <w:rPr>
          <w:rFonts w:hint="default" w:ascii="Times New Roman" w:hAnsi="Times New Roman" w:cs="Times New Roman"/>
          <w:sz w:val="32"/>
          <w:szCs w:val="32"/>
          <w:lang w:val="en-US" w:eastAsia="zh-CN"/>
        </w:rPr>
        <w:t>万元</w:t>
      </w:r>
      <w:r>
        <w:rPr>
          <w:rFonts w:hint="default" w:ascii="Times New Roman" w:hAnsi="Times New Roman" w:cs="Times New Roman"/>
          <w:sz w:val="32"/>
          <w:szCs w:val="32"/>
          <w:lang w:eastAsia="zh-CN"/>
        </w:rPr>
        <w:t>。</w:t>
      </w:r>
    </w:p>
    <w:p>
      <w:pPr>
        <w:pStyle w:val="10"/>
        <w:keepNext w:val="0"/>
        <w:keepLines w:val="0"/>
        <w:pageBreakBefore w:val="0"/>
        <w:kinsoku/>
        <w:wordWrap/>
        <w:overflowPunct/>
        <w:topLinePunct w:val="0"/>
        <w:autoSpaceDE/>
        <w:autoSpaceDN/>
        <w:bidi w:val="0"/>
        <w:adjustRightInd/>
        <w:snapToGrid/>
        <w:spacing w:before="0" w:line="560" w:lineRule="exact"/>
        <w:ind w:firstLine="66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部门（单位）</w:t>
      </w:r>
      <w:r>
        <w:rPr>
          <w:rFonts w:hint="default" w:ascii="Times New Roman" w:hAnsi="Times New Roman" w:eastAsia="方正仿宋_GBK" w:cs="Times New Roman"/>
          <w:kern w:val="2"/>
          <w:sz w:val="32"/>
          <w:szCs w:val="32"/>
          <w:lang w:val="en-US" w:eastAsia="zh-CN" w:bidi="ar-SA"/>
        </w:rPr>
        <w:t>2026年</w:t>
      </w:r>
      <w:r>
        <w:rPr>
          <w:rFonts w:hint="default" w:ascii="Times New Roman" w:hAnsi="Times New Roman" w:cs="Times New Roman"/>
          <w:kern w:val="2"/>
          <w:sz w:val="32"/>
          <w:szCs w:val="32"/>
        </w:rPr>
        <w:t>一般公共预算基本支出</w:t>
      </w:r>
      <w:r>
        <w:rPr>
          <w:rFonts w:hint="eastAsia" w:ascii="Times New Roman" w:hAnsi="Times New Roman" w:cs="Times New Roman"/>
          <w:kern w:val="2"/>
          <w:sz w:val="32"/>
          <w:szCs w:val="32"/>
          <w:lang w:val="en-US" w:eastAsia="zh-CN"/>
        </w:rPr>
        <w:t>457.78</w:t>
      </w:r>
      <w:r>
        <w:rPr>
          <w:rFonts w:hint="default" w:ascii="Times New Roman" w:hAnsi="Times New Roman" w:cs="Times New Roman"/>
          <w:kern w:val="2"/>
          <w:sz w:val="32"/>
          <w:szCs w:val="32"/>
        </w:rPr>
        <w:t>万元，其中：人员经费</w:t>
      </w:r>
      <w:r>
        <w:rPr>
          <w:rFonts w:hint="default" w:ascii="Times New Roman" w:hAnsi="Times New Roman" w:cs="Times New Roman"/>
          <w:kern w:val="2"/>
          <w:sz w:val="32"/>
          <w:szCs w:val="32"/>
          <w:lang w:val="en-US" w:eastAsia="zh-CN"/>
        </w:rPr>
        <w:t>391.79</w:t>
      </w:r>
      <w:r>
        <w:rPr>
          <w:rFonts w:hint="default" w:ascii="Times New Roman" w:hAnsi="Times New Roman" w:cs="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kern w:val="2"/>
          <w:sz w:val="32"/>
          <w:szCs w:val="32"/>
          <w:lang w:val="en-US" w:eastAsia="zh-CN"/>
        </w:rPr>
        <w:t>65.99</w:t>
      </w:r>
      <w:r>
        <w:rPr>
          <w:rFonts w:hint="default" w:ascii="Times New Roman" w:hAnsi="Times New Roman" w:cs="Times New Roman"/>
          <w:kern w:val="2"/>
          <w:sz w:val="32"/>
          <w:szCs w:val="32"/>
        </w:rPr>
        <w:t>万元，主要包括：办公费、印刷费、手续费、水费、电费、邮电费、差旅费、维修（护）费、租赁费、会议费、培训费、劳务费、福利费、其他商品和服务支出。</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部门（单位）202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年“三公”经费财政拨款预算数</w:t>
      </w:r>
      <w:r>
        <w:rPr>
          <w:rFonts w:hint="default" w:ascii="Times New Roman" w:hAnsi="Times New Roman" w:cs="Times New Roman"/>
          <w:kern w:val="2"/>
          <w:sz w:val="32"/>
          <w:szCs w:val="32"/>
          <w:lang w:val="en-US" w:eastAsia="zh-CN"/>
        </w:rPr>
        <w:t>39.12</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1.12</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38</w:t>
      </w:r>
      <w:r>
        <w:rPr>
          <w:rFonts w:hint="default" w:ascii="Times New Roman" w:hAnsi="Times New Roman" w:cs="Times New Roman"/>
          <w:kern w:val="2"/>
          <w:sz w:val="32"/>
          <w:szCs w:val="32"/>
        </w:rPr>
        <w:t>万元。</w:t>
      </w:r>
    </w:p>
    <w:p>
      <w:pPr>
        <w:pStyle w:val="10"/>
        <w:keepNext w:val="0"/>
        <w:keepLines w:val="0"/>
        <w:pageBreakBefore w:val="0"/>
        <w:numPr>
          <w:numId w:val="0"/>
        </w:numPr>
        <w:kinsoku/>
        <w:wordWrap/>
        <w:overflowPunct/>
        <w:topLinePunct w:val="0"/>
        <w:autoSpaceDE/>
        <w:autoSpaceDN/>
        <w:bidi w:val="0"/>
        <w:adjustRightInd/>
        <w:snapToGrid/>
        <w:spacing w:before="0" w:line="560" w:lineRule="exact"/>
        <w:ind w:firstLine="642" w:firstLineChars="200"/>
        <w:jc w:val="both"/>
        <w:textAlignment w:val="auto"/>
        <w:rPr>
          <w:rFonts w:hint="eastAsia" w:ascii="Times New Roman" w:hAnsi="Times New Roman" w:eastAsia="楷体" w:cs="Times New Roman"/>
          <w:b/>
          <w:bCs/>
          <w:sz w:val="32"/>
          <w:szCs w:val="32"/>
          <w:lang w:val="en-US" w:eastAsia="zh-CN"/>
        </w:rPr>
      </w:pPr>
      <w:r>
        <w:rPr>
          <w:rFonts w:hint="eastAsia" w:ascii="Times New Roman" w:hAnsi="Times New Roman" w:eastAsia="楷体" w:cs="Times New Roman"/>
          <w:b/>
          <w:bCs/>
          <w:sz w:val="32"/>
          <w:szCs w:val="32"/>
          <w:lang w:val="en-US" w:eastAsia="zh-CN"/>
        </w:rPr>
        <w:t>（一）2026年因公出国（境）经费0万元。</w:t>
      </w:r>
    </w:p>
    <w:p>
      <w:pPr>
        <w:pStyle w:val="10"/>
        <w:keepNext w:val="0"/>
        <w:keepLines w:val="0"/>
        <w:pageBreakBefore w:val="0"/>
        <w:numPr>
          <w:ilvl w:val="0"/>
          <w:numId w:val="0"/>
        </w:numPr>
        <w:kinsoku/>
        <w:wordWrap/>
        <w:overflowPunct/>
        <w:topLinePunct w:val="0"/>
        <w:autoSpaceDE/>
        <w:autoSpaceDN/>
        <w:bidi w:val="0"/>
        <w:adjustRightInd/>
        <w:snapToGrid/>
        <w:spacing w:before="0" w:line="560" w:lineRule="exact"/>
        <w:ind w:firstLine="642" w:firstLineChars="200"/>
        <w:jc w:val="both"/>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（二）2026年公务接待经费1.12万元。较2025年预算经费增加0.17万元，增长</w:t>
      </w:r>
      <w:r>
        <w:rPr>
          <w:rFonts w:hint="eastAsia" w:ascii="Times New Roman" w:hAnsi="Times New Roman" w:eastAsia="楷体" w:cs="Times New Roman"/>
          <w:b/>
          <w:bCs/>
          <w:sz w:val="32"/>
          <w:szCs w:val="32"/>
          <w:lang w:val="en-US" w:eastAsia="zh-CN"/>
        </w:rPr>
        <w:t>17.9</w:t>
      </w:r>
      <w:r>
        <w:rPr>
          <w:rFonts w:hint="default" w:ascii="Times New Roman" w:hAnsi="Times New Roman" w:eastAsia="楷体" w:cs="Times New Roman"/>
          <w:b/>
          <w:bCs/>
          <w:sz w:val="32"/>
          <w:szCs w:val="32"/>
          <w:lang w:val="en-US" w:eastAsia="zh-CN"/>
        </w:rPr>
        <w:t>%。</w:t>
      </w:r>
    </w:p>
    <w:p>
      <w:pPr>
        <w:pStyle w:val="10"/>
        <w:keepNext w:val="0"/>
        <w:keepLines w:val="0"/>
        <w:pageBreakBefore w:val="0"/>
        <w:numPr>
          <w:ilvl w:val="0"/>
          <w:numId w:val="0"/>
        </w:numPr>
        <w:kinsoku/>
        <w:wordWrap/>
        <w:overflowPunct/>
        <w:topLinePunct w:val="0"/>
        <w:autoSpaceDE/>
        <w:autoSpaceDN/>
        <w:bidi w:val="0"/>
        <w:adjustRightInd/>
        <w:snapToGrid/>
        <w:spacing w:before="0" w:line="560" w:lineRule="exact"/>
        <w:ind w:firstLine="642" w:firstLineChars="200"/>
        <w:jc w:val="both"/>
        <w:textAlignment w:val="auto"/>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（三）2026年公务用车购置及运行维护费38万元。较2025年预算经费增加2.4万元，增长</w:t>
      </w:r>
      <w:r>
        <w:rPr>
          <w:rFonts w:hint="eastAsia" w:ascii="Times New Roman" w:hAnsi="Times New Roman" w:eastAsia="楷体" w:cs="Times New Roman"/>
          <w:b/>
          <w:bCs/>
          <w:sz w:val="32"/>
          <w:szCs w:val="32"/>
          <w:lang w:val="en-US" w:eastAsia="zh-CN"/>
        </w:rPr>
        <w:t>6</w:t>
      </w:r>
      <w:r>
        <w:rPr>
          <w:rFonts w:hint="default" w:ascii="Times New Roman" w:hAnsi="Times New Roman" w:eastAsia="楷体" w:cs="Times New Roman"/>
          <w:b/>
          <w:bCs/>
          <w:sz w:val="32"/>
          <w:szCs w:val="32"/>
          <w:lang w:val="en-US" w:eastAsia="zh-CN"/>
        </w:rPr>
        <w:t>%，主要原因我部2026年新增两辆公务用车，公务用车运行维护费用增加。</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部门（单位）202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年政府性基金预算拨款安排的支出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万元。较202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rPr>
        <w:t>减少</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万元，增长</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default" w:ascii="Times New Roman" w:hAnsi="Times New Roman" w:cs="Times New Roman"/>
          <w:color w:val="FF0000"/>
          <w:kern w:val="2"/>
          <w:sz w:val="32"/>
          <w:szCs w:val="32"/>
          <w:highlight w:val="none"/>
        </w:rPr>
      </w:pPr>
      <w:r>
        <w:rPr>
          <w:rFonts w:hint="default" w:ascii="Times New Roman" w:hAnsi="Times New Roman" w:eastAsia="楷体" w:cs="Times New Roman"/>
          <w:b/>
          <w:bCs/>
          <w:kern w:val="2"/>
          <w:sz w:val="32"/>
          <w:szCs w:val="32"/>
        </w:rPr>
        <w:t>（一）机关运行经费</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cs="Times New Roman"/>
          <w:kern w:val="2"/>
          <w:sz w:val="32"/>
          <w:szCs w:val="32"/>
          <w:highlight w:val="none"/>
        </w:rPr>
        <w:t xml:space="preserve"> 部门（单位）202</w:t>
      </w:r>
      <w:r>
        <w:rPr>
          <w:rFonts w:hint="default" w:ascii="Times New Roman" w:hAnsi="Times New Roman" w:cs="Times New Roman"/>
          <w:kern w:val="2"/>
          <w:sz w:val="32"/>
          <w:szCs w:val="32"/>
          <w:highlight w:val="none"/>
          <w:lang w:val="en-US" w:eastAsia="zh-CN"/>
        </w:rPr>
        <w:t>6</w:t>
      </w:r>
      <w:r>
        <w:rPr>
          <w:rFonts w:hint="default" w:ascii="Times New Roman" w:hAnsi="Times New Roman" w:cs="Times New Roman"/>
          <w:kern w:val="2"/>
          <w:sz w:val="32"/>
          <w:szCs w:val="32"/>
          <w:highlight w:val="none"/>
        </w:rPr>
        <w:t>年机关运行经费财政拨款预算为</w:t>
      </w:r>
      <w:r>
        <w:rPr>
          <w:rFonts w:hint="default" w:ascii="Times New Roman" w:hAnsi="Times New Roman" w:cs="Times New Roman"/>
          <w:kern w:val="2"/>
          <w:sz w:val="32"/>
          <w:szCs w:val="32"/>
          <w:highlight w:val="none"/>
          <w:lang w:val="en-US" w:eastAsia="zh-CN"/>
        </w:rPr>
        <w:t>65.99</w:t>
      </w:r>
      <w:r>
        <w:rPr>
          <w:rFonts w:hint="default" w:ascii="Times New Roman" w:hAnsi="Times New Roman" w:cs="Times New Roman"/>
          <w:kern w:val="2"/>
          <w:sz w:val="32"/>
          <w:szCs w:val="32"/>
          <w:highlight w:val="none"/>
        </w:rPr>
        <w:t>万元，比202</w:t>
      </w:r>
      <w:r>
        <w:rPr>
          <w:rFonts w:hint="default" w:ascii="Times New Roman" w:hAnsi="Times New Roman" w:cs="Times New Roman"/>
          <w:kern w:val="2"/>
          <w:sz w:val="32"/>
          <w:szCs w:val="32"/>
          <w:highlight w:val="none"/>
          <w:lang w:val="en-US" w:eastAsia="zh-CN"/>
        </w:rPr>
        <w:t>5</w:t>
      </w:r>
      <w:r>
        <w:rPr>
          <w:rFonts w:hint="default" w:ascii="Times New Roman" w:hAnsi="Times New Roman" w:cs="Times New Roman"/>
          <w:kern w:val="2"/>
          <w:sz w:val="32"/>
          <w:szCs w:val="32"/>
          <w:highlight w:val="none"/>
        </w:rPr>
        <w:t>年预算</w:t>
      </w:r>
      <w:r>
        <w:rPr>
          <w:rFonts w:hint="default" w:ascii="Times New Roman" w:hAnsi="Times New Roman" w:cs="Times New Roman"/>
          <w:sz w:val="32"/>
          <w:szCs w:val="32"/>
          <w:highlight w:val="none"/>
        </w:rPr>
        <w:t>增加</w:t>
      </w:r>
      <w:r>
        <w:rPr>
          <w:rFonts w:hint="default" w:ascii="Times New Roman" w:hAnsi="Times New Roman" w:cs="Times New Roman"/>
          <w:kern w:val="2"/>
          <w:sz w:val="32"/>
          <w:szCs w:val="32"/>
          <w:highlight w:val="none"/>
          <w:lang w:val="en-US" w:eastAsia="zh-CN"/>
        </w:rPr>
        <w:t>13.33</w:t>
      </w:r>
      <w:r>
        <w:rPr>
          <w:rFonts w:hint="default" w:ascii="Times New Roman" w:hAnsi="Times New Roman" w:cs="Times New Roman"/>
          <w:color w:val="000000"/>
          <w:kern w:val="2"/>
          <w:sz w:val="32"/>
          <w:szCs w:val="32"/>
          <w:highlight w:val="none"/>
        </w:rPr>
        <w:t>万元</w:t>
      </w:r>
      <w:r>
        <w:rPr>
          <w:rFonts w:hint="default" w:ascii="Times New Roman" w:hAnsi="Times New Roman" w:cs="Times New Roman"/>
          <w:color w:val="000000"/>
          <w:kern w:val="2"/>
          <w:sz w:val="32"/>
          <w:szCs w:val="32"/>
          <w:highlight w:val="none"/>
          <w:lang w:eastAsia="zh-CN"/>
        </w:rPr>
        <w:t>，</w:t>
      </w:r>
      <w:r>
        <w:rPr>
          <w:rFonts w:hint="default" w:ascii="Times New Roman" w:hAnsi="Times New Roman" w:cs="Times New Roman"/>
          <w:kern w:val="2"/>
          <w:sz w:val="32"/>
          <w:szCs w:val="32"/>
        </w:rPr>
        <w:t>增长</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w:t>
      </w:r>
      <w:r>
        <w:rPr>
          <w:rFonts w:hint="default" w:ascii="Times New Roman" w:hAnsi="Times New Roman" w:cs="Times New Roman"/>
          <w:kern w:val="2"/>
          <w:sz w:val="32"/>
          <w:szCs w:val="32"/>
          <w:highlight w:val="none"/>
          <w:lang w:val="en-US" w:eastAsia="zh-CN" w:bidi="ar-SA"/>
        </w:rPr>
        <w:t>。</w:t>
      </w:r>
      <w:r>
        <w:rPr>
          <w:rFonts w:hint="default" w:ascii="Times New Roman" w:hAnsi="Times New Roman" w:cs="Times New Roman"/>
          <w:color w:val="000000"/>
          <w:kern w:val="2"/>
          <w:sz w:val="32"/>
          <w:szCs w:val="32"/>
          <w:highlight w:val="none"/>
        </w:rPr>
        <w:t xml:space="preserve"> </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楷体" w:cs="Times New Roman"/>
          <w:b/>
          <w:bCs/>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w:t>
      </w:r>
      <w:r>
        <w:rPr>
          <w:rFonts w:hint="default" w:ascii="Times New Roman" w:hAnsi="Times New Roman" w:cs="Times New Roman"/>
          <w:kern w:val="2"/>
          <w:sz w:val="32"/>
          <w:szCs w:val="32"/>
        </w:rPr>
        <w:t>部门（单位）</w:t>
      </w:r>
      <w:r>
        <w:rPr>
          <w:rFonts w:hint="default" w:ascii="Times New Roman" w:hAnsi="Times New Roman" w:cs="Times New Roman"/>
          <w:color w:val="000000"/>
          <w:kern w:val="2"/>
          <w:sz w:val="32"/>
          <w:szCs w:val="32"/>
        </w:rPr>
        <w:t>安排政府采购预算</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（三）国有资产占有使用情况</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cs="Times New Roman"/>
          <w:kern w:val="2"/>
          <w:sz w:val="32"/>
          <w:szCs w:val="32"/>
          <w:highlight w:val="none"/>
        </w:rPr>
      </w:pPr>
      <w:r>
        <w:rPr>
          <w:rFonts w:hint="default" w:ascii="Times New Roman" w:hAnsi="Times New Roman" w:cs="Times New Roman"/>
          <w:kern w:val="2"/>
          <w:sz w:val="32"/>
          <w:szCs w:val="32"/>
          <w:highlight w:val="none"/>
        </w:rPr>
        <w:t>截至202</w:t>
      </w:r>
      <w:r>
        <w:rPr>
          <w:rFonts w:hint="default" w:ascii="Times New Roman" w:hAnsi="Times New Roman" w:cs="Times New Roman"/>
          <w:kern w:val="2"/>
          <w:sz w:val="32"/>
          <w:szCs w:val="32"/>
          <w:highlight w:val="none"/>
          <w:lang w:val="en-US" w:eastAsia="zh-CN"/>
        </w:rPr>
        <w:t>5</w:t>
      </w:r>
      <w:r>
        <w:rPr>
          <w:rFonts w:hint="default" w:ascii="Times New Roman" w:hAnsi="Times New Roman" w:cs="Times New Roman"/>
          <w:kern w:val="2"/>
          <w:sz w:val="32"/>
          <w:szCs w:val="32"/>
          <w:highlight w:val="none"/>
        </w:rPr>
        <w:t>年12月31日，我单位固定资产</w:t>
      </w:r>
      <w:r>
        <w:rPr>
          <w:rFonts w:hint="eastAsia" w:ascii="Times New Roman" w:hAnsi="Times New Roman" w:cs="Times New Roman"/>
          <w:kern w:val="2"/>
          <w:sz w:val="32"/>
          <w:szCs w:val="32"/>
          <w:highlight w:val="none"/>
          <w:lang w:val="en-US" w:eastAsia="zh-CN"/>
        </w:rPr>
        <w:t>184.53</w:t>
      </w:r>
      <w:r>
        <w:rPr>
          <w:rFonts w:hint="default" w:ascii="Times New Roman" w:hAnsi="Times New Roman" w:cs="Times New Roman"/>
          <w:kern w:val="2"/>
          <w:sz w:val="32"/>
          <w:szCs w:val="32"/>
          <w:highlight w:val="none"/>
        </w:rPr>
        <w:t>万元。</w:t>
      </w:r>
    </w:p>
    <w:p>
      <w:pPr>
        <w:pStyle w:val="10"/>
        <w:keepNext w:val="0"/>
        <w:keepLines w:val="0"/>
        <w:pageBreakBefore w:val="0"/>
        <w:kinsoku/>
        <w:wordWrap/>
        <w:overflowPunct/>
        <w:topLinePunct w:val="0"/>
        <w:autoSpaceDE/>
        <w:autoSpaceDN/>
        <w:bidi w:val="0"/>
        <w:adjustRightInd/>
        <w:snapToGrid/>
        <w:spacing w:before="0" w:line="560" w:lineRule="exact"/>
        <w:ind w:firstLine="642" w:firstLineChars="200"/>
        <w:jc w:val="both"/>
        <w:textAlignment w:val="auto"/>
        <w:rPr>
          <w:rFonts w:hint="default" w:ascii="Times New Roman" w:hAnsi="Times New Roman" w:eastAsia="黑体" w:cs="Times New Roman"/>
          <w:sz w:val="32"/>
          <w:szCs w:val="32"/>
        </w:rPr>
      </w:pPr>
      <w:r>
        <w:rPr>
          <w:rFonts w:hint="default" w:ascii="Times New Roman" w:hAnsi="Times New Roman" w:eastAsia="楷体" w:cs="Times New Roman"/>
          <w:b/>
          <w:bCs/>
          <w:kern w:val="2"/>
          <w:sz w:val="32"/>
          <w:szCs w:val="32"/>
        </w:rPr>
        <w:t>（四）绩效目标设置情况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年部门（单位）通用项目和专用项目均按要求实行绩效目标管理，涉及一般公共预算当年拨款</w:t>
      </w:r>
      <w:r>
        <w:rPr>
          <w:rFonts w:hint="default" w:ascii="Times New Roman" w:hAnsi="Times New Roman" w:eastAsia="方正仿宋_GBK" w:cs="Times New Roman"/>
          <w:kern w:val="2"/>
          <w:sz w:val="32"/>
          <w:szCs w:val="32"/>
          <w:lang w:val="en-US" w:eastAsia="zh-CN" w:bidi="ar-SA"/>
        </w:rPr>
        <w:t>713.79</w:t>
      </w:r>
      <w:r>
        <w:rPr>
          <w:rFonts w:hint="default" w:ascii="Times New Roman" w:hAnsi="Times New Roman" w:cs="Times New Roman"/>
          <w:kern w:val="2"/>
          <w:sz w:val="32"/>
          <w:szCs w:val="32"/>
        </w:rPr>
        <w:t>万元。</w:t>
      </w:r>
    </w:p>
    <w:p>
      <w:pPr>
        <w:pStyle w:val="10"/>
        <w:keepNext w:val="0"/>
        <w:keepLines w:val="0"/>
        <w:pageBreakBefore w:val="0"/>
        <w:kinsoku/>
        <w:wordWrap/>
        <w:overflowPunct/>
        <w:topLinePunct w:val="0"/>
        <w:autoSpaceDE/>
        <w:autoSpaceDN/>
        <w:bidi w:val="0"/>
        <w:adjustRightInd/>
        <w:snapToGrid/>
        <w:spacing w:before="0" w:line="560" w:lineRule="exact"/>
        <w:ind w:firstLine="640" w:firstLineChars="200"/>
        <w:jc w:val="both"/>
        <w:textAlignment w:val="auto"/>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宋体" w:cs="Times New Roman"/>
          <w:b/>
          <w:bCs/>
          <w:sz w:val="16"/>
        </w:rPr>
        <w:t xml:space="preserve"> </w:t>
      </w:r>
      <w:r>
        <w:rPr>
          <w:rFonts w:hint="default" w:ascii="Times New Roman" w:hAnsi="Times New Roman" w:eastAsia="楷体" w:cs="Times New Roman"/>
          <w:b/>
          <w:bCs/>
          <w:kern w:val="2"/>
          <w:sz w:val="32"/>
          <w:szCs w:val="32"/>
        </w:rPr>
        <w:t>（一）财政拨款收入</w:t>
      </w:r>
      <w:r>
        <w:rPr>
          <w:rFonts w:hint="default" w:ascii="Times New Roman" w:hAnsi="Times New Roman" w:cs="Times New Roman"/>
          <w:b/>
          <w:bCs/>
          <w:kern w:val="2"/>
          <w:sz w:val="32"/>
          <w:szCs w:val="32"/>
        </w:rPr>
        <w:t>：</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b/>
          <w:bCs/>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b/>
          <w:bCs/>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 w:cs="Times New Roman"/>
          <w:b/>
          <w:bCs/>
          <w:kern w:val="2"/>
          <w:sz w:val="32"/>
          <w:szCs w:val="32"/>
        </w:rPr>
        <w:t>（四）其他收入：</w:t>
      </w:r>
      <w:r>
        <w:rPr>
          <w:rFonts w:hint="default" w:ascii="Times New Roman" w:hAnsi="Times New Roman" w:cs="Times New Roman"/>
          <w:kern w:val="2"/>
          <w:sz w:val="32"/>
          <w:szCs w:val="32"/>
        </w:rPr>
        <w:t>指除上述</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财政拨款收入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事业单位经营收入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 w:cs="Times New Roman"/>
          <w:b/>
          <w:bCs/>
          <w:kern w:val="2"/>
          <w:sz w:val="32"/>
          <w:szCs w:val="32"/>
        </w:rPr>
        <w:t>（</w:t>
      </w:r>
      <w:r>
        <w:rPr>
          <w:rFonts w:hint="default" w:ascii="Times New Roman" w:hAnsi="Times New Roman" w:eastAsia="楷体" w:cs="Times New Roman"/>
          <w:b/>
          <w:bCs/>
          <w:kern w:val="2"/>
          <w:sz w:val="32"/>
          <w:szCs w:val="32"/>
        </w:rPr>
        <w:t>五）用事业基金弥补收支差额</w:t>
      </w:r>
      <w:r>
        <w:rPr>
          <w:rFonts w:hint="default" w:ascii="Times New Roman" w:hAnsi="Times New Roman" w:cs="Times New Roman"/>
          <w:kern w:val="2"/>
          <w:sz w:val="32"/>
          <w:szCs w:val="32"/>
        </w:rPr>
        <w:t>：指所属事业单位在预计用当年的</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财政拨款收入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事业单位经营收入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其他收入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 w:cs="Times New Roman"/>
          <w:b/>
          <w:bCs/>
          <w:kern w:val="2"/>
          <w:sz w:val="32"/>
          <w:szCs w:val="32"/>
        </w:rPr>
        <w:t>（六）上年结转：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7C3FE2"/>
    <w:multiLevelType w:val="singleLevel"/>
    <w:tmpl w:val="F17C3FE2"/>
    <w:lvl w:ilvl="0" w:tentative="0">
      <w:start w:val="3"/>
      <w:numFmt w:val="chineseCounting"/>
      <w:suff w:val="nothing"/>
      <w:lvlText w:val="%1、"/>
      <w:lvlJc w:val="left"/>
      <w:rPr>
        <w:rFonts w:hint="eastAsia"/>
      </w:rPr>
    </w:lvl>
  </w:abstractNum>
  <w:abstractNum w:abstractNumId="1">
    <w:nsid w:val="2B045F0E"/>
    <w:multiLevelType w:val="singleLevel"/>
    <w:tmpl w:val="2B045F0E"/>
    <w:lvl w:ilvl="0" w:tentative="0">
      <w:start w:val="4"/>
      <w:numFmt w:val="chineseCounting"/>
      <w:suff w:val="nothing"/>
      <w:lvlText w:val="%1、"/>
      <w:lvlJc w:val="left"/>
      <w:rPr>
        <w:rFonts w:hint="eastAsia"/>
      </w:rPr>
    </w:lvl>
  </w:abstractNum>
  <w:abstractNum w:abstractNumId="2">
    <w:nsid w:val="72E87DEB"/>
    <w:multiLevelType w:val="singleLevel"/>
    <w:tmpl w:val="72E87DEB"/>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2F238E0"/>
    <w:rsid w:val="032F7C2A"/>
    <w:rsid w:val="075C73C2"/>
    <w:rsid w:val="0E3270CE"/>
    <w:rsid w:val="121E094C"/>
    <w:rsid w:val="15220305"/>
    <w:rsid w:val="1A953AA2"/>
    <w:rsid w:val="1CFE43F4"/>
    <w:rsid w:val="1DAD0520"/>
    <w:rsid w:val="1DF7BAF2"/>
    <w:rsid w:val="234D61B7"/>
    <w:rsid w:val="2A5E7E2D"/>
    <w:rsid w:val="2BBD5E27"/>
    <w:rsid w:val="370F16D6"/>
    <w:rsid w:val="3B67F315"/>
    <w:rsid w:val="3B9F0BBC"/>
    <w:rsid w:val="3ECC2AA4"/>
    <w:rsid w:val="3FFF2742"/>
    <w:rsid w:val="400E49F6"/>
    <w:rsid w:val="417E7959"/>
    <w:rsid w:val="42656C4B"/>
    <w:rsid w:val="447B4624"/>
    <w:rsid w:val="466F1F67"/>
    <w:rsid w:val="471E19B5"/>
    <w:rsid w:val="4AA5064D"/>
    <w:rsid w:val="4B97572B"/>
    <w:rsid w:val="4FFE4A87"/>
    <w:rsid w:val="51A258E6"/>
    <w:rsid w:val="53204D14"/>
    <w:rsid w:val="54776BB6"/>
    <w:rsid w:val="573E1C0D"/>
    <w:rsid w:val="5ACD9052"/>
    <w:rsid w:val="5BBF7E39"/>
    <w:rsid w:val="5BDD9ECF"/>
    <w:rsid w:val="5BF9129C"/>
    <w:rsid w:val="5CDD77D2"/>
    <w:rsid w:val="5E2A6A47"/>
    <w:rsid w:val="5E734892"/>
    <w:rsid w:val="5EDA6F3C"/>
    <w:rsid w:val="5EFB8055"/>
    <w:rsid w:val="5FB7625D"/>
    <w:rsid w:val="617A7CE6"/>
    <w:rsid w:val="67024A05"/>
    <w:rsid w:val="691B590A"/>
    <w:rsid w:val="69935DE8"/>
    <w:rsid w:val="6B43383E"/>
    <w:rsid w:val="6CFFAC70"/>
    <w:rsid w:val="707E5E7F"/>
    <w:rsid w:val="70916EC4"/>
    <w:rsid w:val="72414095"/>
    <w:rsid w:val="726C71D7"/>
    <w:rsid w:val="73EEB1A1"/>
    <w:rsid w:val="777E9BA5"/>
    <w:rsid w:val="77CDAF7D"/>
    <w:rsid w:val="77DD751F"/>
    <w:rsid w:val="77EA9C95"/>
    <w:rsid w:val="7A38615A"/>
    <w:rsid w:val="7BB153E0"/>
    <w:rsid w:val="7C131926"/>
    <w:rsid w:val="7E6F9E90"/>
    <w:rsid w:val="7F3B91CC"/>
    <w:rsid w:val="7F6708F4"/>
    <w:rsid w:val="7F6F6423"/>
    <w:rsid w:val="7FEBAFB6"/>
    <w:rsid w:val="8FFF7BA4"/>
    <w:rsid w:val="ADEB4D03"/>
    <w:rsid w:val="AED7FCCE"/>
    <w:rsid w:val="BAAF7570"/>
    <w:rsid w:val="BB89A110"/>
    <w:rsid w:val="BBF7F155"/>
    <w:rsid w:val="BDBF6DA0"/>
    <w:rsid w:val="CBFFCC67"/>
    <w:rsid w:val="DBBFDA62"/>
    <w:rsid w:val="DDFD1FAE"/>
    <w:rsid w:val="DFD22619"/>
    <w:rsid w:val="DFFE8C94"/>
    <w:rsid w:val="EC7DDA2A"/>
    <w:rsid w:val="EEF33371"/>
    <w:rsid w:val="EF5D07D0"/>
    <w:rsid w:val="EF9FAE0B"/>
    <w:rsid w:val="EFFFEA90"/>
    <w:rsid w:val="F586E038"/>
    <w:rsid w:val="F6A6476D"/>
    <w:rsid w:val="FAD7FE39"/>
    <w:rsid w:val="FC1687AB"/>
    <w:rsid w:val="FDFC34DC"/>
    <w:rsid w:val="FF1F70B3"/>
    <w:rsid w:val="FFBE19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948</Words>
  <Characters>1034</Characters>
  <Lines>124</Lines>
  <Paragraphs>51</Paragraphs>
  <TotalTime>36</TotalTime>
  <ScaleCrop>false</ScaleCrop>
  <LinksUpToDate>false</LinksUpToDate>
  <CharactersWithSpaces>1060</CharactersWithSpaces>
  <Application>WPS Office_11.8.2.10953_F1E327BC-269C-435d-A152-05C5408002CA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admin</cp:lastModifiedBy>
  <cp:lastPrinted>2026-01-29T10:00:12Z</cp:lastPrinted>
  <dcterms:modified xsi:type="dcterms:W3CDTF">2026-01-29T10:45:07Z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KSOTemplateDocerSaveRecord">
    <vt:lpwstr>eyJoZGlkIjoiYzlkZmNlM2JmYzM3ZjdhOGViODlhNWNiOTI0NjRmY2YiLCJ1c2VySWQiOiIzMDA5Njk0NTEifQ==</vt:lpwstr>
  </property>
  <property fmtid="{D5CDD505-2E9C-101B-9397-08002B2CF9AE}" pid="4" name="ICV">
    <vt:lpwstr>6DA236C8582540BC8722B77ACA3CC1FF_12</vt:lpwstr>
  </property>
</Properties>
</file>