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7CE12">
      <w:pPr>
        <w:keepNext w:val="0"/>
        <w:keepLines w:val="0"/>
        <w:pageBreakBefore w:val="0"/>
        <w:kinsoku/>
        <w:wordWrap/>
        <w:overflowPunct/>
        <w:topLinePunct w:val="0"/>
        <w:autoSpaceDE/>
        <w:autoSpaceDN/>
        <w:bidi w:val="0"/>
        <w:adjustRightInd/>
        <w:snapToGrid/>
        <w:spacing w:line="560" w:lineRule="exact"/>
        <w:jc w:val="both"/>
        <w:textAlignment w:val="auto"/>
      </w:pPr>
    </w:p>
    <w:p w14:paraId="159C93E4">
      <w:pPr>
        <w:keepNext w:val="0"/>
        <w:keepLines w:val="0"/>
        <w:pageBreakBefore w:val="0"/>
        <w:kinsoku/>
        <w:wordWrap/>
        <w:overflowPunct/>
        <w:topLinePunct w:val="0"/>
        <w:autoSpaceDE/>
        <w:autoSpaceDN/>
        <w:bidi w:val="0"/>
        <w:adjustRightInd/>
        <w:snapToGrid/>
        <w:spacing w:line="560" w:lineRule="exact"/>
        <w:jc w:val="both"/>
        <w:textAlignment w:val="auto"/>
      </w:pPr>
    </w:p>
    <w:p w14:paraId="18532D6C">
      <w:pPr>
        <w:keepNext w:val="0"/>
        <w:keepLines w:val="0"/>
        <w:pageBreakBefore w:val="0"/>
        <w:kinsoku/>
        <w:wordWrap/>
        <w:overflowPunct/>
        <w:topLinePunct w:val="0"/>
        <w:autoSpaceDE/>
        <w:autoSpaceDN/>
        <w:bidi w:val="0"/>
        <w:adjustRightInd/>
        <w:snapToGrid/>
        <w:spacing w:line="560" w:lineRule="exact"/>
        <w:jc w:val="both"/>
        <w:textAlignment w:val="auto"/>
      </w:pPr>
    </w:p>
    <w:p w14:paraId="4D2C9279">
      <w:pPr>
        <w:keepNext w:val="0"/>
        <w:keepLines w:val="0"/>
        <w:pageBreakBefore w:val="0"/>
        <w:kinsoku/>
        <w:wordWrap/>
        <w:overflowPunct/>
        <w:topLinePunct w:val="0"/>
        <w:autoSpaceDE/>
        <w:autoSpaceDN/>
        <w:bidi w:val="0"/>
        <w:adjustRightInd/>
        <w:snapToGrid/>
        <w:spacing w:line="560" w:lineRule="exact"/>
        <w:ind w:firstLine="1050" w:firstLineChars="500"/>
        <w:jc w:val="both"/>
        <w:textAlignment w:val="auto"/>
      </w:pPr>
    </w:p>
    <w:p w14:paraId="29B5E62D">
      <w:pPr>
        <w:keepNext w:val="0"/>
        <w:keepLines w:val="0"/>
        <w:pageBreakBefore w:val="0"/>
        <w:kinsoku/>
        <w:wordWrap/>
        <w:overflowPunct/>
        <w:topLinePunct w:val="0"/>
        <w:autoSpaceDE/>
        <w:autoSpaceDN/>
        <w:bidi w:val="0"/>
        <w:adjustRightInd/>
        <w:snapToGrid/>
        <w:spacing w:line="560" w:lineRule="exact"/>
        <w:ind w:firstLine="1050" w:firstLineChars="500"/>
        <w:jc w:val="both"/>
        <w:textAlignment w:val="auto"/>
      </w:pPr>
    </w:p>
    <w:p w14:paraId="55A57C9B">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ascii="黑体" w:eastAsia="黑体"/>
          <w:sz w:val="44"/>
          <w:szCs w:val="44"/>
        </w:rPr>
      </w:pPr>
    </w:p>
    <w:p w14:paraId="761B5FD3">
      <w:pPr>
        <w:keepNext w:val="0"/>
        <w:keepLines w:val="0"/>
        <w:pageBreakBefore w:val="0"/>
        <w:kinsoku/>
        <w:wordWrap/>
        <w:overflowPunct/>
        <w:topLinePunct w:val="0"/>
        <w:autoSpaceDE/>
        <w:autoSpaceDN/>
        <w:bidi w:val="0"/>
        <w:adjustRightInd/>
        <w:snapToGrid/>
        <w:spacing w:line="560" w:lineRule="exact"/>
        <w:ind w:firstLine="1760" w:firstLineChars="400"/>
        <w:jc w:val="center"/>
        <w:textAlignment w:val="auto"/>
        <w:rPr>
          <w:rFonts w:ascii="黑体" w:eastAsia="黑体"/>
          <w:sz w:val="44"/>
          <w:szCs w:val="44"/>
        </w:rPr>
      </w:pPr>
    </w:p>
    <w:p w14:paraId="1B2D55A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eastAsia="黑体"/>
          <w:sz w:val="44"/>
          <w:szCs w:val="44"/>
          <w:lang w:val="en-US" w:eastAsia="zh-CN"/>
        </w:rPr>
      </w:pPr>
      <w:r>
        <w:rPr>
          <w:rFonts w:hint="eastAsia" w:ascii="黑体" w:eastAsia="黑体"/>
          <w:sz w:val="44"/>
          <w:szCs w:val="44"/>
          <w:lang w:val="en-US" w:eastAsia="zh-CN"/>
        </w:rPr>
        <w:t>中共阿坝州委社会工作部</w:t>
      </w:r>
    </w:p>
    <w:p w14:paraId="00074A65">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01D1F1B5">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ascii="黑体" w:eastAsia="黑体"/>
          <w:sz w:val="44"/>
          <w:szCs w:val="44"/>
        </w:rPr>
      </w:pPr>
    </w:p>
    <w:p w14:paraId="426CEF78">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ascii="黑体" w:eastAsia="黑体"/>
          <w:sz w:val="44"/>
          <w:szCs w:val="44"/>
        </w:rPr>
      </w:pPr>
    </w:p>
    <w:p w14:paraId="7554C0C0">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ascii="黑体" w:eastAsia="黑体"/>
          <w:sz w:val="44"/>
          <w:szCs w:val="44"/>
        </w:rPr>
      </w:pPr>
    </w:p>
    <w:p w14:paraId="70CB7F11">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ascii="黑体" w:eastAsia="黑体"/>
          <w:sz w:val="44"/>
          <w:szCs w:val="44"/>
        </w:rPr>
      </w:pPr>
    </w:p>
    <w:p w14:paraId="171B4E13">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ascii="黑体" w:eastAsia="黑体"/>
          <w:sz w:val="44"/>
          <w:szCs w:val="44"/>
        </w:rPr>
      </w:pPr>
    </w:p>
    <w:p w14:paraId="2F0B1767">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ascii="黑体" w:eastAsia="黑体"/>
          <w:sz w:val="44"/>
          <w:szCs w:val="44"/>
        </w:rPr>
      </w:pPr>
    </w:p>
    <w:p w14:paraId="78787255">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ascii="黑体" w:eastAsia="黑体"/>
          <w:sz w:val="44"/>
          <w:szCs w:val="44"/>
        </w:rPr>
      </w:pPr>
    </w:p>
    <w:p w14:paraId="2BD82D33">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ascii="黑体" w:eastAsia="黑体"/>
          <w:sz w:val="44"/>
          <w:szCs w:val="44"/>
        </w:rPr>
      </w:pPr>
    </w:p>
    <w:p w14:paraId="0E959E91">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ascii="黑体" w:eastAsia="黑体"/>
          <w:sz w:val="44"/>
          <w:szCs w:val="44"/>
        </w:rPr>
      </w:pPr>
    </w:p>
    <w:p w14:paraId="3A86C7E4">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ascii="黑体" w:eastAsia="黑体"/>
          <w:sz w:val="44"/>
          <w:szCs w:val="44"/>
        </w:rPr>
      </w:pPr>
    </w:p>
    <w:p w14:paraId="416D1C2E">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ascii="黑体" w:eastAsia="黑体"/>
          <w:sz w:val="44"/>
          <w:szCs w:val="44"/>
        </w:rPr>
      </w:pPr>
    </w:p>
    <w:p w14:paraId="7AD2E5F3">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ascii="黑体" w:eastAsia="黑体"/>
          <w:sz w:val="44"/>
          <w:szCs w:val="44"/>
        </w:rPr>
      </w:pPr>
    </w:p>
    <w:p w14:paraId="4B7766F1">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ascii="黑体" w:eastAsia="黑体"/>
          <w:sz w:val="44"/>
          <w:szCs w:val="44"/>
        </w:rPr>
      </w:pPr>
    </w:p>
    <w:p w14:paraId="70C45581">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ascii="黑体" w:eastAsia="黑体"/>
          <w:sz w:val="44"/>
          <w:szCs w:val="44"/>
        </w:rPr>
      </w:pPr>
    </w:p>
    <w:p w14:paraId="1B49DC7E">
      <w:pPr>
        <w:keepNext w:val="0"/>
        <w:keepLines w:val="0"/>
        <w:pageBreakBefore w:val="0"/>
        <w:kinsoku/>
        <w:wordWrap/>
        <w:overflowPunct/>
        <w:topLinePunct w:val="0"/>
        <w:autoSpaceDE/>
        <w:autoSpaceDN/>
        <w:bidi w:val="0"/>
        <w:adjustRightInd/>
        <w:snapToGrid/>
        <w:spacing w:line="560" w:lineRule="exact"/>
        <w:jc w:val="both"/>
        <w:textAlignment w:val="auto"/>
        <w:rPr>
          <w:rFonts w:ascii="黑体" w:eastAsia="黑体"/>
          <w:sz w:val="44"/>
          <w:szCs w:val="44"/>
        </w:rPr>
      </w:pPr>
    </w:p>
    <w:p w14:paraId="235CAAC5">
      <w:pPr>
        <w:keepNext w:val="0"/>
        <w:keepLines w:val="0"/>
        <w:pageBreakBefore w:val="0"/>
        <w:kinsoku/>
        <w:wordWrap/>
        <w:overflowPunct/>
        <w:topLinePunct w:val="0"/>
        <w:autoSpaceDE/>
        <w:autoSpaceDN/>
        <w:bidi w:val="0"/>
        <w:adjustRightInd/>
        <w:snapToGrid/>
        <w:spacing w:line="560" w:lineRule="exact"/>
        <w:ind w:firstLine="3120" w:firstLineChars="600"/>
        <w:jc w:val="both"/>
        <w:textAlignment w:val="auto"/>
        <w:rPr>
          <w:rFonts w:ascii="黑体" w:eastAsia="黑体"/>
          <w:sz w:val="52"/>
          <w:szCs w:val="52"/>
        </w:rPr>
      </w:pPr>
      <w:r>
        <w:rPr>
          <w:rFonts w:hint="eastAsia" w:ascii="黑体" w:eastAsia="黑体"/>
          <w:sz w:val="52"/>
          <w:szCs w:val="52"/>
        </w:rPr>
        <w:t>目录</w:t>
      </w:r>
    </w:p>
    <w:p w14:paraId="5376CC35">
      <w:pPr>
        <w:keepNext w:val="0"/>
        <w:keepLines w:val="0"/>
        <w:pageBreakBefore w:val="0"/>
        <w:kinsoku/>
        <w:wordWrap/>
        <w:overflowPunct/>
        <w:topLinePunct w:val="0"/>
        <w:autoSpaceDE/>
        <w:autoSpaceDN/>
        <w:bidi w:val="0"/>
        <w:adjustRightInd/>
        <w:snapToGrid/>
        <w:spacing w:line="560" w:lineRule="exact"/>
        <w:ind w:firstLine="3080" w:firstLineChars="700"/>
        <w:jc w:val="both"/>
        <w:textAlignment w:val="auto"/>
        <w:rPr>
          <w:rFonts w:ascii="黑体" w:eastAsia="黑体"/>
          <w:sz w:val="44"/>
          <w:szCs w:val="44"/>
        </w:rPr>
      </w:pPr>
    </w:p>
    <w:p w14:paraId="1070F011">
      <w:pPr>
        <w:pStyle w:val="9"/>
        <w:keepNext w:val="0"/>
        <w:keepLines w:val="0"/>
        <w:pageBreakBefore w:val="0"/>
        <w:kinsoku/>
        <w:wordWrap/>
        <w:overflowPunct/>
        <w:topLinePunct w:val="0"/>
        <w:autoSpaceDE/>
        <w:autoSpaceDN/>
        <w:bidi w:val="0"/>
        <w:adjustRightInd/>
        <w:snapToGrid/>
        <w:spacing w:line="560" w:lineRule="exact"/>
        <w:ind w:firstLine="0" w:firstLineChars="0"/>
        <w:jc w:val="both"/>
        <w:textAlignment w:val="auto"/>
        <w:rPr>
          <w:rFonts w:ascii="黑体" w:eastAsia="黑体"/>
          <w:sz w:val="32"/>
          <w:szCs w:val="32"/>
        </w:rPr>
      </w:pPr>
      <w:r>
        <w:rPr>
          <w:rFonts w:hint="eastAsia" w:ascii="黑体" w:eastAsia="黑体"/>
          <w:sz w:val="32"/>
          <w:szCs w:val="32"/>
        </w:rPr>
        <w:t>一、基本职能及主要工作</w:t>
      </w:r>
    </w:p>
    <w:p w14:paraId="3FEED335">
      <w:pPr>
        <w:keepNext w:val="0"/>
        <w:keepLines w:val="0"/>
        <w:pageBreakBefore w:val="0"/>
        <w:kinsoku/>
        <w:wordWrap/>
        <w:overflowPunct/>
        <w:topLinePunct w:val="0"/>
        <w:autoSpaceDE/>
        <w:autoSpaceDN/>
        <w:bidi w:val="0"/>
        <w:adjustRightInd/>
        <w:snapToGrid/>
        <w:spacing w:line="560" w:lineRule="exact"/>
        <w:jc w:val="both"/>
        <w:textAlignment w:val="auto"/>
        <w:rPr>
          <w:rFonts w:ascii="楷体" w:eastAsia="楷体"/>
          <w:sz w:val="32"/>
          <w:szCs w:val="32"/>
        </w:rPr>
      </w:pPr>
      <w:r>
        <w:rPr>
          <w:rFonts w:hint="eastAsia" w:ascii="楷体" w:eastAsia="楷体"/>
          <w:sz w:val="32"/>
          <w:szCs w:val="32"/>
        </w:rPr>
        <w:t>（一）部门职能简介</w:t>
      </w:r>
    </w:p>
    <w:p w14:paraId="33D59086">
      <w:pPr>
        <w:keepNext w:val="0"/>
        <w:keepLines w:val="0"/>
        <w:pageBreakBefore w:val="0"/>
        <w:kinsoku/>
        <w:wordWrap/>
        <w:overflowPunct/>
        <w:topLinePunct w:val="0"/>
        <w:autoSpaceDE/>
        <w:autoSpaceDN/>
        <w:bidi w:val="0"/>
        <w:adjustRightInd/>
        <w:snapToGrid/>
        <w:spacing w:line="560" w:lineRule="exact"/>
        <w:jc w:val="both"/>
        <w:textAlignment w:val="auto"/>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2EDF20F4">
      <w:pPr>
        <w:keepNext w:val="0"/>
        <w:keepLines w:val="0"/>
        <w:pageBreakBefore w:val="0"/>
        <w:kinsoku/>
        <w:wordWrap/>
        <w:overflowPunct/>
        <w:topLinePunct w:val="0"/>
        <w:autoSpaceDE/>
        <w:autoSpaceDN/>
        <w:bidi w:val="0"/>
        <w:adjustRightInd/>
        <w:snapToGrid/>
        <w:spacing w:line="560" w:lineRule="exact"/>
        <w:jc w:val="both"/>
        <w:textAlignment w:val="auto"/>
        <w:rPr>
          <w:rFonts w:ascii="黑体" w:eastAsia="黑体"/>
          <w:sz w:val="32"/>
          <w:szCs w:val="32"/>
        </w:rPr>
      </w:pPr>
      <w:r>
        <w:rPr>
          <w:rFonts w:hint="eastAsia" w:ascii="黑体" w:eastAsia="黑体"/>
          <w:sz w:val="32"/>
          <w:szCs w:val="32"/>
        </w:rPr>
        <w:t>二、部门预算单位构成</w:t>
      </w:r>
    </w:p>
    <w:p w14:paraId="1DB5F813">
      <w:pPr>
        <w:keepNext w:val="0"/>
        <w:keepLines w:val="0"/>
        <w:pageBreakBefore w:val="0"/>
        <w:kinsoku/>
        <w:wordWrap/>
        <w:overflowPunct/>
        <w:topLinePunct w:val="0"/>
        <w:autoSpaceDE/>
        <w:autoSpaceDN/>
        <w:bidi w:val="0"/>
        <w:adjustRightInd/>
        <w:snapToGrid/>
        <w:spacing w:line="560" w:lineRule="exact"/>
        <w:jc w:val="both"/>
        <w:textAlignment w:val="auto"/>
        <w:rPr>
          <w:rFonts w:ascii="黑体" w:eastAsia="黑体"/>
          <w:sz w:val="32"/>
          <w:szCs w:val="32"/>
        </w:rPr>
      </w:pPr>
      <w:r>
        <w:rPr>
          <w:rFonts w:hint="eastAsia" w:ascii="黑体" w:eastAsia="黑体"/>
          <w:sz w:val="32"/>
          <w:szCs w:val="32"/>
        </w:rPr>
        <w:t>三、收支预算情况说明</w:t>
      </w:r>
    </w:p>
    <w:p w14:paraId="7FE7EDB0">
      <w:pPr>
        <w:keepNext w:val="0"/>
        <w:keepLines w:val="0"/>
        <w:pageBreakBefore w:val="0"/>
        <w:kinsoku/>
        <w:wordWrap/>
        <w:overflowPunct/>
        <w:topLinePunct w:val="0"/>
        <w:autoSpaceDE/>
        <w:autoSpaceDN/>
        <w:bidi w:val="0"/>
        <w:adjustRightInd/>
        <w:snapToGrid/>
        <w:spacing w:line="560" w:lineRule="exact"/>
        <w:jc w:val="both"/>
        <w:textAlignment w:val="auto"/>
        <w:rPr>
          <w:rFonts w:ascii="楷体" w:eastAsia="楷体"/>
          <w:sz w:val="32"/>
          <w:szCs w:val="32"/>
        </w:rPr>
      </w:pPr>
      <w:r>
        <w:rPr>
          <w:rFonts w:hint="eastAsia" w:ascii="楷体" w:eastAsia="楷体"/>
          <w:sz w:val="32"/>
          <w:szCs w:val="32"/>
        </w:rPr>
        <w:t>（一）收入预算情况</w:t>
      </w:r>
    </w:p>
    <w:p w14:paraId="5C57C493">
      <w:pPr>
        <w:keepNext w:val="0"/>
        <w:keepLines w:val="0"/>
        <w:pageBreakBefore w:val="0"/>
        <w:kinsoku/>
        <w:wordWrap/>
        <w:overflowPunct/>
        <w:topLinePunct w:val="0"/>
        <w:autoSpaceDE/>
        <w:autoSpaceDN/>
        <w:bidi w:val="0"/>
        <w:adjustRightInd/>
        <w:snapToGrid/>
        <w:spacing w:line="560" w:lineRule="exact"/>
        <w:jc w:val="both"/>
        <w:textAlignment w:val="auto"/>
        <w:rPr>
          <w:rFonts w:ascii="楷体" w:eastAsia="楷体"/>
          <w:sz w:val="32"/>
          <w:szCs w:val="32"/>
        </w:rPr>
      </w:pPr>
      <w:r>
        <w:rPr>
          <w:rFonts w:hint="eastAsia" w:ascii="楷体" w:eastAsia="楷体"/>
          <w:sz w:val="32"/>
          <w:szCs w:val="32"/>
        </w:rPr>
        <w:t>（二）支出预算情况</w:t>
      </w:r>
    </w:p>
    <w:p w14:paraId="2E87B964">
      <w:pPr>
        <w:keepNext w:val="0"/>
        <w:keepLines w:val="0"/>
        <w:pageBreakBefore w:val="0"/>
        <w:kinsoku/>
        <w:wordWrap/>
        <w:overflowPunct/>
        <w:topLinePunct w:val="0"/>
        <w:autoSpaceDE/>
        <w:autoSpaceDN/>
        <w:bidi w:val="0"/>
        <w:adjustRightInd/>
        <w:snapToGrid/>
        <w:spacing w:line="560" w:lineRule="exact"/>
        <w:jc w:val="both"/>
        <w:textAlignment w:val="auto"/>
        <w:rPr>
          <w:rFonts w:ascii="黑体" w:eastAsia="黑体"/>
          <w:sz w:val="32"/>
          <w:szCs w:val="32"/>
        </w:rPr>
      </w:pPr>
      <w:r>
        <w:rPr>
          <w:rFonts w:hint="eastAsia" w:ascii="黑体" w:eastAsia="黑体"/>
          <w:sz w:val="32"/>
          <w:szCs w:val="32"/>
        </w:rPr>
        <w:t>四、财政拨款收支预算情况说明</w:t>
      </w:r>
    </w:p>
    <w:p w14:paraId="0517D651">
      <w:pPr>
        <w:keepNext w:val="0"/>
        <w:keepLines w:val="0"/>
        <w:pageBreakBefore w:val="0"/>
        <w:kinsoku/>
        <w:wordWrap/>
        <w:overflowPunct/>
        <w:topLinePunct w:val="0"/>
        <w:autoSpaceDE/>
        <w:autoSpaceDN/>
        <w:bidi w:val="0"/>
        <w:adjustRightInd/>
        <w:snapToGrid/>
        <w:spacing w:line="560" w:lineRule="exact"/>
        <w:jc w:val="both"/>
        <w:textAlignment w:val="auto"/>
        <w:rPr>
          <w:rFonts w:ascii="黑体" w:eastAsia="黑体"/>
          <w:sz w:val="32"/>
          <w:szCs w:val="32"/>
        </w:rPr>
      </w:pPr>
      <w:r>
        <w:rPr>
          <w:rFonts w:hint="eastAsia" w:ascii="黑体" w:eastAsia="黑体"/>
          <w:sz w:val="32"/>
          <w:szCs w:val="32"/>
        </w:rPr>
        <w:t>五、一般公共预算当年拨款情况说明</w:t>
      </w:r>
    </w:p>
    <w:p w14:paraId="62836B89">
      <w:pPr>
        <w:keepNext w:val="0"/>
        <w:keepLines w:val="0"/>
        <w:pageBreakBefore w:val="0"/>
        <w:kinsoku/>
        <w:wordWrap/>
        <w:overflowPunct/>
        <w:topLinePunct w:val="0"/>
        <w:autoSpaceDE/>
        <w:autoSpaceDN/>
        <w:bidi w:val="0"/>
        <w:adjustRightInd/>
        <w:snapToGrid/>
        <w:spacing w:line="560" w:lineRule="exact"/>
        <w:jc w:val="both"/>
        <w:textAlignment w:val="auto"/>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4A6551A4">
      <w:pPr>
        <w:keepNext w:val="0"/>
        <w:keepLines w:val="0"/>
        <w:pageBreakBefore w:val="0"/>
        <w:kinsoku/>
        <w:wordWrap/>
        <w:overflowPunct/>
        <w:topLinePunct w:val="0"/>
        <w:autoSpaceDE/>
        <w:autoSpaceDN/>
        <w:bidi w:val="0"/>
        <w:adjustRightInd/>
        <w:snapToGrid/>
        <w:spacing w:line="560" w:lineRule="exact"/>
        <w:jc w:val="both"/>
        <w:textAlignment w:val="auto"/>
        <w:rPr>
          <w:rFonts w:ascii="黑体" w:eastAsia="黑体"/>
          <w:sz w:val="32"/>
          <w:szCs w:val="32"/>
        </w:rPr>
      </w:pPr>
    </w:p>
    <w:p w14:paraId="70A280B5">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right="300"/>
        <w:jc w:val="both"/>
        <w:textAlignment w:val="auto"/>
        <w:rPr>
          <w:rFonts w:ascii="??" w:hAnsi="??" w:cs="宋体"/>
          <w:kern w:val="0"/>
          <w:sz w:val="12"/>
          <w:szCs w:val="12"/>
        </w:rPr>
      </w:pPr>
    </w:p>
    <w:p w14:paraId="4B53CDDB">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right="300"/>
        <w:jc w:val="both"/>
        <w:textAlignment w:val="auto"/>
        <w:rPr>
          <w:rFonts w:ascii="??" w:hAnsi="??" w:cs="宋体"/>
          <w:kern w:val="0"/>
          <w:sz w:val="12"/>
          <w:szCs w:val="12"/>
        </w:rPr>
      </w:pPr>
    </w:p>
    <w:p w14:paraId="16CD069C">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right="300"/>
        <w:jc w:val="both"/>
        <w:textAlignment w:val="auto"/>
        <w:rPr>
          <w:rFonts w:ascii="??" w:hAnsi="??" w:cs="宋体"/>
          <w:kern w:val="0"/>
          <w:sz w:val="12"/>
          <w:szCs w:val="12"/>
        </w:rPr>
      </w:pPr>
      <w:bookmarkStart w:id="0" w:name="_GoBack"/>
      <w:bookmarkEnd w:id="0"/>
    </w:p>
    <w:p w14:paraId="01C11273">
      <w:pPr>
        <w:pStyle w:val="9"/>
        <w:keepNext w:val="0"/>
        <w:keepLines w:val="0"/>
        <w:pageBreakBefore w:val="0"/>
        <w:kinsoku/>
        <w:wordWrap/>
        <w:overflowPunct/>
        <w:topLinePunct w:val="0"/>
        <w:autoSpaceDE/>
        <w:autoSpaceDN/>
        <w:bidi w:val="0"/>
        <w:adjustRightInd/>
        <w:snapToGrid/>
        <w:spacing w:line="560" w:lineRule="exact"/>
        <w:jc w:val="both"/>
        <w:textAlignment w:val="auto"/>
        <w:rPr>
          <w:rFonts w:ascii="黑体" w:eastAsia="黑体"/>
          <w:sz w:val="32"/>
          <w:szCs w:val="32"/>
        </w:rPr>
      </w:pPr>
      <w:r>
        <w:rPr>
          <w:rFonts w:hint="eastAsia" w:ascii="黑体" w:eastAsia="黑体"/>
          <w:sz w:val="32"/>
          <w:szCs w:val="32"/>
        </w:rPr>
        <w:t>一、基本职能及主要工作</w:t>
      </w:r>
    </w:p>
    <w:p w14:paraId="2498ECF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 w:eastAsia="楷体"/>
          <w:sz w:val="32"/>
          <w:szCs w:val="32"/>
        </w:rPr>
      </w:pPr>
      <w:r>
        <w:rPr>
          <w:rFonts w:hint="eastAsia" w:ascii="楷体" w:eastAsia="楷体"/>
          <w:sz w:val="32"/>
          <w:szCs w:val="32"/>
        </w:rPr>
        <w:t>（一）部门职能简介</w:t>
      </w:r>
    </w:p>
    <w:p w14:paraId="49B4D5A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outlineLvl w:val="9"/>
        <w:rPr>
          <w:rFonts w:hint="default" w:eastAsia="方正仿宋_GBK"/>
          <w:sz w:val="32"/>
          <w:szCs w:val="32"/>
        </w:rPr>
      </w:pPr>
      <w:r>
        <w:rPr>
          <w:rFonts w:hint="default" w:eastAsia="方正仿宋_GBK"/>
          <w:sz w:val="32"/>
          <w:szCs w:val="32"/>
        </w:rPr>
        <w:t>主要职能。负责统筹指导人民信访工作、人民建议征集工作，统筹推进党建引领基层治理和基层政权建设，健全和落实党建引领基层治理领导体制和工作机制，统一领导全州行业协会商会党的工作，协调推动行业协会商会深化改革和转型发展，指导混合所有制企业、非公有制企业和新经济组织、新社会组织、新就业群体党建工作，指导社会工作人才队伍建设，负责志愿服务等工作。</w:t>
      </w:r>
    </w:p>
    <w:p w14:paraId="67D02B0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754D9272">
      <w:pPr>
        <w:pStyle w:val="9"/>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K" w:cs="Times New Roman"/>
          <w:kern w:val="2"/>
          <w:sz w:val="32"/>
          <w:szCs w:val="32"/>
          <w:lang w:val="en-US" w:eastAsia="zh-CN" w:bidi="ar-SA"/>
        </w:rPr>
      </w:pPr>
      <w:r>
        <w:rPr>
          <w:rFonts w:hint="default" w:ascii="Calibri" w:hAnsi="Calibri" w:eastAsia="方正仿宋_GBK" w:cs="Times New Roman"/>
          <w:kern w:val="2"/>
          <w:sz w:val="32"/>
          <w:szCs w:val="32"/>
          <w:lang w:val="en-US" w:eastAsia="zh-CN" w:bidi="ar-SA"/>
        </w:rPr>
        <w:t>州委社会工作部将立足阿坝实际、坚持问题导向，坚决贯彻 落实中央、省委社会工作会议和州委十二届五次、六次全会精神， 锚定建设民族地区高质量发展阿坝典范的目标，聚焦破解社会工 作资源整合难点、堵点，紧扣群众工作、依法治州、产业发展三 件大事，突出新兴领域党的建设、党建引领基层治理和基层政权 建设、凝聚服务群众三大重点，全力以赴推动新时代阿坝社会工作高质量发展。</w:t>
      </w:r>
      <w:r>
        <w:rPr>
          <w:rFonts w:hint="eastAsia" w:eastAsia="方正仿宋_GBK" w:cs="Times New Roman"/>
          <w:kern w:val="2"/>
          <w:sz w:val="32"/>
          <w:szCs w:val="32"/>
          <w:lang w:val="en-US" w:eastAsia="zh-CN" w:bidi="ar-SA"/>
        </w:rPr>
        <w:t xml:space="preserve">                </w:t>
      </w:r>
    </w:p>
    <w:p w14:paraId="614F4529">
      <w:pPr>
        <w:pStyle w:val="9"/>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eastAsia="黑体"/>
          <w:sz w:val="32"/>
          <w:szCs w:val="32"/>
        </w:rPr>
      </w:pPr>
      <w:r>
        <w:rPr>
          <w:rFonts w:hint="eastAsia" w:ascii="黑体" w:eastAsia="黑体"/>
          <w:sz w:val="32"/>
          <w:szCs w:val="32"/>
          <w:lang w:val="en-US" w:eastAsia="zh-CN"/>
        </w:rPr>
        <w:t>二 、</w:t>
      </w:r>
      <w:r>
        <w:rPr>
          <w:rFonts w:hint="eastAsia" w:ascii="黑体" w:eastAsia="黑体"/>
          <w:sz w:val="32"/>
          <w:szCs w:val="32"/>
        </w:rPr>
        <w:t>部门预算单位构成</w:t>
      </w:r>
    </w:p>
    <w:p w14:paraId="2C6C57A5">
      <w:pPr>
        <w:pStyle w:val="9"/>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黑体" w:eastAsia="黑体"/>
          <w:sz w:val="32"/>
          <w:szCs w:val="32"/>
          <w:lang w:val="en-US" w:eastAsia="zh-CN"/>
        </w:rPr>
      </w:pPr>
      <w:r>
        <w:rPr>
          <w:rFonts w:hint="eastAsia" w:ascii="Calibri" w:hAnsi="Calibri" w:eastAsia="方正仿宋_GBK" w:cs="Times New Roman"/>
          <w:kern w:val="2"/>
          <w:sz w:val="32"/>
          <w:szCs w:val="32"/>
          <w:lang w:val="en-US" w:eastAsia="zh-CN" w:bidi="ar-SA"/>
        </w:rPr>
        <w:t>州委社会工作部部门下属二级单位2个，其中行政单位1个，公益性一类事业单位1个。主要包括：中共阿坝州委社会工作部（本级）和阿坝州社会工作服务促进中心。</w:t>
      </w:r>
    </w:p>
    <w:p w14:paraId="41691D8D">
      <w:pPr>
        <w:pStyle w:val="9"/>
        <w:keepNext w:val="0"/>
        <w:keepLines w:val="0"/>
        <w:pageBreakBefore w:val="0"/>
        <w:numPr>
          <w:ilvl w:val="0"/>
          <w:numId w:val="1"/>
        </w:numPr>
        <w:kinsoku/>
        <w:wordWrap/>
        <w:overflowPunct/>
        <w:topLinePunct w:val="0"/>
        <w:autoSpaceDE/>
        <w:autoSpaceDN/>
        <w:bidi w:val="0"/>
        <w:adjustRightInd/>
        <w:snapToGrid/>
        <w:spacing w:line="560" w:lineRule="exact"/>
        <w:ind w:left="720" w:firstLine="0" w:firstLineChars="0"/>
        <w:jc w:val="both"/>
        <w:textAlignment w:val="auto"/>
        <w:rPr>
          <w:rFonts w:hint="eastAsia" w:ascii="黑体" w:eastAsia="黑体"/>
          <w:sz w:val="32"/>
          <w:szCs w:val="32"/>
        </w:rPr>
      </w:pPr>
      <w:r>
        <w:rPr>
          <w:rFonts w:hint="eastAsia" w:ascii="黑体" w:eastAsia="黑体"/>
          <w:sz w:val="32"/>
          <w:szCs w:val="32"/>
        </w:rPr>
        <w:t>收支预算情况说明</w:t>
      </w:r>
    </w:p>
    <w:p w14:paraId="2F4A203D">
      <w:pPr>
        <w:pStyle w:val="9"/>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Calibri" w:hAnsi="Calibri" w:eastAsia="方正仿宋_GBK" w:cs="Times New Roman"/>
          <w:kern w:val="2"/>
          <w:sz w:val="32"/>
          <w:szCs w:val="32"/>
          <w:lang w:val="en-US" w:eastAsia="zh-CN" w:bidi="ar-SA"/>
        </w:rPr>
      </w:pPr>
      <w:r>
        <w:rPr>
          <w:rFonts w:hint="eastAsia" w:ascii="Calibri" w:hAnsi="Calibri" w:eastAsia="方正仿宋_GBK" w:cs="Times New Roman"/>
          <w:kern w:val="2"/>
          <w:sz w:val="32"/>
          <w:szCs w:val="32"/>
          <w:lang w:val="en-US" w:eastAsia="zh-CN" w:bidi="ar-SA"/>
        </w:rPr>
        <w:t>按照综合预算的原则，</w:t>
      </w:r>
      <w:r>
        <w:rPr>
          <w:rFonts w:hint="eastAsia" w:eastAsia="方正仿宋_GBK" w:cs="Times New Roman"/>
          <w:kern w:val="2"/>
          <w:sz w:val="32"/>
          <w:szCs w:val="32"/>
          <w:lang w:val="en-US" w:eastAsia="zh-CN" w:bidi="ar-SA"/>
        </w:rPr>
        <w:t>州</w:t>
      </w:r>
      <w:r>
        <w:rPr>
          <w:rFonts w:hint="eastAsia" w:ascii="Calibri" w:hAnsi="Calibri" w:eastAsia="方正仿宋_GBK" w:cs="Times New Roman"/>
          <w:kern w:val="2"/>
          <w:sz w:val="32"/>
          <w:szCs w:val="32"/>
          <w:lang w:val="en-US" w:eastAsia="zh-CN" w:bidi="ar-SA"/>
        </w:rPr>
        <w:t>委社会工作部所有收入和支出均纳入部门预算管理。收入均为一般公共预算拨款收入；支出包括：一般公共服务支出、社会保障和就业支出、卫生健康支出、住房保障支出。省委社会工作部2025年收支预算总数687.75万元，比2024年收支预算，增加687.75万元，主要原因是我部为2024年新组建成立部门，</w:t>
      </w:r>
      <w:r>
        <w:rPr>
          <w:rFonts w:hint="eastAsia" w:eastAsia="方正仿宋_GBK" w:cs="Times New Roman"/>
          <w:kern w:val="2"/>
          <w:sz w:val="32"/>
          <w:szCs w:val="32"/>
          <w:lang w:val="en-US" w:eastAsia="zh-CN" w:bidi="ar-SA"/>
        </w:rPr>
        <w:t>2024年无年初预算。</w:t>
      </w:r>
    </w:p>
    <w:p w14:paraId="64702BA0">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cs="仿宋_GB2312"/>
          <w:kern w:val="2"/>
          <w:sz w:val="32"/>
          <w:szCs w:val="32"/>
        </w:rPr>
      </w:pPr>
      <w:r>
        <w:rPr>
          <w:rFonts w:hint="eastAsia" w:ascii="楷体" w:eastAsia="楷体"/>
          <w:sz w:val="32"/>
          <w:szCs w:val="32"/>
        </w:rPr>
        <w:t>（一）收入预算情况</w:t>
      </w:r>
      <w:r>
        <w:rPr>
          <w:rFonts w:hint="eastAsia" w:ascii="楷体" w:eastAsia="楷体"/>
          <w:sz w:val="32"/>
          <w:szCs w:val="32"/>
          <w:lang w:eastAsia="zh-CN"/>
        </w:rPr>
        <w:t>，</w:t>
      </w:r>
      <w:r>
        <w:rPr>
          <w:rFonts w:hint="eastAsia" w:ascii="Calibri" w:hAnsi="Calibri" w:eastAsia="方正仿宋_GBK" w:cs="Times New Roman"/>
          <w:kern w:val="2"/>
          <w:sz w:val="32"/>
          <w:szCs w:val="32"/>
          <w:lang w:val="en-US" w:eastAsia="zh-CN" w:bidi="ar-SA"/>
        </w:rPr>
        <w:t>部门（单位）2025年一般公共预算当年拨款收入687.75万元，</w:t>
      </w:r>
      <w:r>
        <w:rPr>
          <w:rFonts w:hint="eastAsia" w:cs="仿宋_GB2312"/>
          <w:kern w:val="2"/>
          <w:sz w:val="32"/>
          <w:szCs w:val="32"/>
        </w:rPr>
        <w:t>其中：人员经费</w:t>
      </w:r>
      <w:r>
        <w:rPr>
          <w:rFonts w:hint="eastAsia" w:cs="仿宋_GB2312"/>
          <w:kern w:val="2"/>
          <w:sz w:val="32"/>
          <w:szCs w:val="32"/>
          <w:lang w:val="en-US" w:eastAsia="zh-CN"/>
        </w:rPr>
        <w:t>431.67</w:t>
      </w:r>
      <w:r>
        <w:rPr>
          <w:rFonts w:hint="eastAsia" w:cs="仿宋_GB2312"/>
          <w:kern w:val="2"/>
          <w:sz w:val="32"/>
          <w:szCs w:val="32"/>
        </w:rPr>
        <w:t>万元，</w:t>
      </w:r>
    </w:p>
    <w:p w14:paraId="74003E5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Calibri" w:hAnsi="Calibri" w:eastAsia="方正仿宋_GBK" w:cs="Times New Roman"/>
          <w:kern w:val="2"/>
          <w:sz w:val="32"/>
          <w:szCs w:val="32"/>
          <w:lang w:val="en-US" w:eastAsia="zh-CN" w:bidi="ar-SA"/>
        </w:rPr>
      </w:pPr>
      <w:r>
        <w:rPr>
          <w:rFonts w:hint="eastAsia" w:ascii="Calibri" w:hAnsi="Calibri" w:eastAsia="方正仿宋_GBK" w:cs="Times New Roman"/>
          <w:kern w:val="2"/>
          <w:sz w:val="32"/>
          <w:szCs w:val="32"/>
          <w:lang w:val="en-US" w:eastAsia="zh-CN" w:bidi="ar-SA"/>
        </w:rPr>
        <w:t>公用经费256.08万元</w:t>
      </w:r>
      <w:r>
        <w:rPr>
          <w:rFonts w:hint="eastAsia" w:eastAsia="方正仿宋_GBK" w:cs="Times New Roman"/>
          <w:kern w:val="2"/>
          <w:sz w:val="32"/>
          <w:szCs w:val="32"/>
          <w:lang w:val="en-US" w:eastAsia="zh-CN" w:bidi="ar-SA"/>
        </w:rPr>
        <w:t>。</w:t>
      </w:r>
    </w:p>
    <w:p w14:paraId="1D100739">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cs="仿宋_GB2312"/>
          <w:kern w:val="2"/>
          <w:sz w:val="32"/>
          <w:szCs w:val="32"/>
        </w:rPr>
      </w:pPr>
      <w:r>
        <w:rPr>
          <w:rFonts w:hint="eastAsia" w:ascii="楷体" w:eastAsia="楷体" w:cs="仿宋_GB2312"/>
          <w:sz w:val="32"/>
          <w:szCs w:val="32"/>
        </w:rPr>
        <w:t>（二）支出预算情况</w:t>
      </w:r>
      <w:r>
        <w:rPr>
          <w:rFonts w:hint="eastAsia" w:ascii="楷体" w:eastAsia="楷体" w:cs="仿宋_GB2312"/>
          <w:sz w:val="32"/>
          <w:szCs w:val="32"/>
          <w:lang w:eastAsia="zh-CN"/>
        </w:rPr>
        <w:t>，</w:t>
      </w:r>
      <w:r>
        <w:rPr>
          <w:rFonts w:hint="eastAsia" w:ascii="Calibri" w:hAnsi="Calibri" w:eastAsia="方正仿宋_GBK" w:cs="Times New Roman"/>
          <w:kern w:val="2"/>
          <w:sz w:val="32"/>
          <w:szCs w:val="32"/>
          <w:lang w:val="en-US" w:eastAsia="zh-CN" w:bidi="ar-SA"/>
        </w:rPr>
        <w:t>部门（单位）2025年一般公共预算当年拨款收入687.75万元，</w:t>
      </w:r>
      <w:r>
        <w:rPr>
          <w:rFonts w:hint="eastAsia" w:cs="仿宋_GB2312"/>
          <w:kern w:val="2"/>
          <w:sz w:val="32"/>
          <w:szCs w:val="32"/>
        </w:rPr>
        <w:t>其中：人员经费</w:t>
      </w:r>
      <w:r>
        <w:rPr>
          <w:rFonts w:hint="eastAsia" w:cs="仿宋_GB2312"/>
          <w:kern w:val="2"/>
          <w:sz w:val="32"/>
          <w:szCs w:val="32"/>
          <w:lang w:val="en-US" w:eastAsia="zh-CN"/>
        </w:rPr>
        <w:t>431.67</w:t>
      </w:r>
      <w:r>
        <w:rPr>
          <w:rFonts w:hint="eastAsia" w:cs="仿宋_GB2312"/>
          <w:kern w:val="2"/>
          <w:sz w:val="32"/>
          <w:szCs w:val="32"/>
        </w:rPr>
        <w:t>万元，</w:t>
      </w:r>
    </w:p>
    <w:p w14:paraId="3405DB4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Calibri" w:hAnsi="Calibri" w:eastAsia="方正仿宋_GBK" w:cs="Times New Roman"/>
          <w:kern w:val="2"/>
          <w:sz w:val="32"/>
          <w:szCs w:val="32"/>
          <w:lang w:val="en-US" w:eastAsia="zh-CN" w:bidi="ar-SA"/>
        </w:rPr>
      </w:pPr>
      <w:r>
        <w:rPr>
          <w:rFonts w:hint="eastAsia" w:ascii="Calibri" w:hAnsi="Calibri" w:eastAsia="方正仿宋_GBK" w:cs="Times New Roman"/>
          <w:kern w:val="2"/>
          <w:sz w:val="32"/>
          <w:szCs w:val="32"/>
          <w:lang w:val="en-US" w:eastAsia="zh-CN" w:bidi="ar-SA"/>
        </w:rPr>
        <w:t>公用经费256.08万元</w:t>
      </w:r>
      <w:r>
        <w:rPr>
          <w:rFonts w:hint="eastAsia" w:eastAsia="方正仿宋_GBK" w:cs="Times New Roman"/>
          <w:kern w:val="2"/>
          <w:sz w:val="32"/>
          <w:szCs w:val="32"/>
          <w:lang w:val="en-US" w:eastAsia="zh-CN" w:bidi="ar-SA"/>
        </w:rPr>
        <w:t>。</w:t>
      </w:r>
    </w:p>
    <w:p w14:paraId="17B44727">
      <w:pPr>
        <w:keepNext w:val="0"/>
        <w:keepLines w:val="0"/>
        <w:pageBreakBefore w:val="0"/>
        <w:numPr>
          <w:ilvl w:val="0"/>
          <w:numId w:val="2"/>
        </w:numPr>
        <w:kinsoku/>
        <w:wordWrap/>
        <w:overflowPunct/>
        <w:topLinePunct w:val="0"/>
        <w:autoSpaceDE/>
        <w:autoSpaceDN/>
        <w:bidi w:val="0"/>
        <w:adjustRightInd/>
        <w:snapToGrid/>
        <w:spacing w:line="560" w:lineRule="exact"/>
        <w:ind w:left="638" w:leftChars="304" w:firstLine="0" w:firstLineChars="0"/>
        <w:jc w:val="both"/>
        <w:textAlignment w:val="auto"/>
        <w:rPr>
          <w:rFonts w:hint="eastAsia" w:ascii="黑体" w:eastAsia="黑体"/>
          <w:sz w:val="32"/>
          <w:szCs w:val="32"/>
        </w:rPr>
      </w:pPr>
      <w:r>
        <w:rPr>
          <w:rFonts w:hint="eastAsia" w:ascii="黑体" w:eastAsia="黑体"/>
          <w:sz w:val="32"/>
          <w:szCs w:val="32"/>
        </w:rPr>
        <w:t>财政拨款收支预算情况说明</w:t>
      </w:r>
    </w:p>
    <w:p w14:paraId="6C740E58">
      <w:pPr>
        <w:keepNext w:val="0"/>
        <w:keepLines w:val="0"/>
        <w:pageBreakBefore w:val="0"/>
        <w:numPr>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Calibri" w:hAnsi="Calibri" w:eastAsia="方正仿宋_GBK" w:cs="Times New Roman"/>
          <w:kern w:val="2"/>
          <w:sz w:val="32"/>
          <w:szCs w:val="32"/>
          <w:lang w:val="en-US" w:eastAsia="zh-CN" w:bidi="ar-SA"/>
        </w:rPr>
      </w:pPr>
      <w:r>
        <w:rPr>
          <w:rFonts w:hint="eastAsia" w:ascii="Calibri" w:hAnsi="Calibri" w:eastAsia="方正仿宋_GBK" w:cs="Times New Roman"/>
          <w:kern w:val="2"/>
          <w:sz w:val="32"/>
          <w:szCs w:val="32"/>
          <w:lang w:val="en-US" w:eastAsia="zh-CN" w:bidi="ar-SA"/>
        </w:rPr>
        <w:t>部门2025年财政拨款收支总预算687.75万元,比2024年财政拨款收支总预算增加577.02万元，主要原因:我部为2024年新成立单位,2025年为第一年编制部门预算,无历年数据可对比。</w:t>
      </w:r>
    </w:p>
    <w:p w14:paraId="3A7AD98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黑体" w:eastAsia="黑体"/>
          <w:sz w:val="32"/>
          <w:szCs w:val="32"/>
        </w:rPr>
      </w:pPr>
      <w:r>
        <w:rPr>
          <w:rFonts w:hint="eastAsia" w:ascii="黑体" w:eastAsia="黑体"/>
          <w:sz w:val="32"/>
          <w:szCs w:val="32"/>
        </w:rPr>
        <w:t>五、一般公共预算当年拨款情况说明</w:t>
      </w:r>
    </w:p>
    <w:p w14:paraId="27EDC91B">
      <w:pPr>
        <w:pStyle w:val="10"/>
        <w:keepNext w:val="0"/>
        <w:keepLines w:val="0"/>
        <w:pageBreakBefore w:val="0"/>
        <w:kinsoku/>
        <w:wordWrap/>
        <w:overflowPunct/>
        <w:topLinePunct w:val="0"/>
        <w:autoSpaceDE/>
        <w:autoSpaceDN/>
        <w:bidi w:val="0"/>
        <w:adjustRightInd/>
        <w:snapToGrid/>
        <w:spacing w:before="0" w:line="560" w:lineRule="exact"/>
        <w:ind w:firstLine="660"/>
        <w:jc w:val="both"/>
        <w:textAlignment w:val="auto"/>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33BB1DA4">
      <w:pPr>
        <w:pStyle w:val="10"/>
        <w:keepNext w:val="0"/>
        <w:keepLines w:val="0"/>
        <w:pageBreakBefore w:val="0"/>
        <w:kinsoku/>
        <w:wordWrap/>
        <w:overflowPunct/>
        <w:topLinePunct w:val="0"/>
        <w:autoSpaceDE/>
        <w:autoSpaceDN/>
        <w:bidi w:val="0"/>
        <w:adjustRightInd/>
        <w:snapToGrid/>
        <w:spacing w:before="0" w:line="560" w:lineRule="exact"/>
        <w:ind w:firstLine="660"/>
        <w:jc w:val="both"/>
        <w:textAlignment w:val="auto"/>
        <w:rPr>
          <w:rFonts w:cs="仿宋_GB2312"/>
          <w:kern w:val="2"/>
          <w:sz w:val="32"/>
          <w:szCs w:val="32"/>
        </w:rPr>
      </w:pPr>
      <w:r>
        <w:rPr>
          <w:rFonts w:hint="eastAsia" w:cs="仿宋_GB2312"/>
          <w:kern w:val="2"/>
          <w:sz w:val="32"/>
          <w:szCs w:val="32"/>
        </w:rPr>
        <w:t>部门（单位）</w:t>
      </w:r>
      <w:r>
        <w:rPr>
          <w:rFonts w:hint="eastAsia" w:cs="宋体"/>
          <w:sz w:val="32"/>
          <w:szCs w:val="32"/>
        </w:rPr>
        <w:t>2025年一般公共预算当年拨款</w:t>
      </w:r>
      <w:r>
        <w:rPr>
          <w:rFonts w:hint="eastAsia" w:cs="宋体"/>
          <w:sz w:val="32"/>
          <w:szCs w:val="32"/>
          <w:lang w:val="en-US" w:eastAsia="zh-CN"/>
        </w:rPr>
        <w:t>687.75</w:t>
      </w:r>
      <w:r>
        <w:rPr>
          <w:rFonts w:hint="eastAsia" w:cs="宋体"/>
          <w:sz w:val="32"/>
          <w:szCs w:val="32"/>
        </w:rPr>
        <w:t>万元，比2024年预算数增加</w:t>
      </w:r>
      <w:r>
        <w:rPr>
          <w:rFonts w:hint="eastAsia" w:ascii="仿宋_GB2312" w:eastAsia="仿宋_GB2312"/>
          <w:sz w:val="32"/>
          <w:szCs w:val="32"/>
          <w:lang w:val="en-US" w:eastAsia="zh-CN"/>
        </w:rPr>
        <w:t>577.02</w:t>
      </w:r>
      <w:r>
        <w:rPr>
          <w:rFonts w:hint="eastAsia" w:cs="宋体"/>
          <w:sz w:val="32"/>
          <w:szCs w:val="32"/>
        </w:rPr>
        <w:t>万元，主要原因:</w:t>
      </w:r>
      <w:r>
        <w:rPr>
          <w:rFonts w:hint="eastAsia" w:ascii="仿宋_GB2312" w:eastAsia="仿宋_GB2312"/>
          <w:sz w:val="32"/>
          <w:szCs w:val="32"/>
          <w:lang w:val="en-US" w:eastAsia="zh-CN"/>
        </w:rPr>
        <w:t>我部</w:t>
      </w:r>
      <w:r>
        <w:rPr>
          <w:rFonts w:hint="eastAsia" w:ascii="仿宋_GB2312" w:eastAsia="仿宋_GB2312" w:cs="Times New Roman"/>
          <w:sz w:val="32"/>
          <w:szCs w:val="32"/>
        </w:rPr>
        <w:t>为2024年</w:t>
      </w:r>
      <w:r>
        <w:rPr>
          <w:rFonts w:hint="eastAsia" w:cs="Times New Roman"/>
          <w:sz w:val="32"/>
          <w:szCs w:val="32"/>
          <w:lang w:val="en-US" w:eastAsia="zh-CN"/>
        </w:rPr>
        <w:t>5月</w:t>
      </w:r>
      <w:r>
        <w:rPr>
          <w:rFonts w:hint="eastAsia" w:ascii="仿宋_GB2312" w:eastAsia="仿宋_GB2312" w:cs="Times New Roman"/>
          <w:sz w:val="32"/>
          <w:szCs w:val="32"/>
        </w:rPr>
        <w:t>新成立单位</w:t>
      </w:r>
      <w:r>
        <w:rPr>
          <w:rFonts w:hint="eastAsia" w:cs="Times New Roman"/>
          <w:sz w:val="32"/>
          <w:szCs w:val="32"/>
          <w:lang w:eastAsia="zh-CN"/>
        </w:rPr>
        <w:t>，</w:t>
      </w:r>
      <w:r>
        <w:rPr>
          <w:rFonts w:hint="eastAsia" w:cs="Times New Roman"/>
          <w:sz w:val="32"/>
          <w:szCs w:val="32"/>
          <w:lang w:val="en-US" w:eastAsia="zh-CN"/>
        </w:rPr>
        <w:t>2024年经费10月下达</w:t>
      </w:r>
      <w:r>
        <w:rPr>
          <w:rFonts w:hint="eastAsia" w:ascii="仿宋_GB2312" w:eastAsia="仿宋_GB2312" w:cs="Times New Roman"/>
          <w:sz w:val="32"/>
          <w:szCs w:val="32"/>
        </w:rPr>
        <w:t>,2025年为第一年编制部门预算,</w:t>
      </w:r>
      <w:r>
        <w:rPr>
          <w:rFonts w:hint="eastAsia" w:cs="Times New Roman"/>
          <w:sz w:val="32"/>
          <w:szCs w:val="32"/>
          <w:lang w:val="en-US" w:eastAsia="zh-CN"/>
        </w:rPr>
        <w:t>故2025年预算增长较大。</w:t>
      </w:r>
      <w:r>
        <w:rPr>
          <w:rFonts w:hint="eastAsia" w:cs="仿宋_GB2312"/>
          <w:kern w:val="2"/>
          <w:sz w:val="32"/>
          <w:szCs w:val="32"/>
        </w:rPr>
        <w:t>　　</w:t>
      </w:r>
    </w:p>
    <w:p w14:paraId="5B95FD83">
      <w:pPr>
        <w:pStyle w:val="10"/>
        <w:keepNext w:val="0"/>
        <w:keepLines w:val="0"/>
        <w:pageBreakBefore w:val="0"/>
        <w:numPr>
          <w:ilvl w:val="0"/>
          <w:numId w:val="3"/>
        </w:numPr>
        <w:kinsoku/>
        <w:wordWrap/>
        <w:overflowPunct/>
        <w:topLinePunct w:val="0"/>
        <w:autoSpaceDE/>
        <w:autoSpaceDN/>
        <w:bidi w:val="0"/>
        <w:adjustRightInd/>
        <w:snapToGrid/>
        <w:spacing w:before="0" w:line="560" w:lineRule="exact"/>
        <w:ind w:left="651" w:leftChars="310"/>
        <w:jc w:val="both"/>
        <w:textAlignment w:val="auto"/>
        <w:rPr>
          <w:rFonts w:hint="eastAsia" w:ascii="楷体" w:eastAsia="楷体" w:cs="宋体"/>
          <w:sz w:val="32"/>
          <w:szCs w:val="32"/>
        </w:rPr>
      </w:pPr>
      <w:r>
        <w:rPr>
          <w:rFonts w:hint="eastAsia" w:ascii="楷体" w:eastAsia="楷体" w:cs="宋体"/>
          <w:sz w:val="32"/>
          <w:szCs w:val="32"/>
        </w:rPr>
        <w:t>一般公共预算当年拨款结构情况</w:t>
      </w:r>
    </w:p>
    <w:p w14:paraId="064D8A07">
      <w:pPr>
        <w:pStyle w:val="10"/>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eastAsia" w:eastAsia="仿宋_GB2312" w:cs="仿宋_GB2312"/>
          <w:kern w:val="2"/>
          <w:sz w:val="32"/>
          <w:szCs w:val="32"/>
          <w:lang w:val="en-US" w:eastAsia="zh-CN"/>
        </w:rPr>
      </w:pPr>
      <w:r>
        <w:rPr>
          <w:rFonts w:hint="eastAsia" w:cs="宋体"/>
          <w:sz w:val="32"/>
          <w:szCs w:val="32"/>
        </w:rPr>
        <w:t>一般公共服务支出</w:t>
      </w:r>
      <w:r>
        <w:rPr>
          <w:rFonts w:hint="eastAsia" w:cs="宋体"/>
          <w:sz w:val="32"/>
          <w:szCs w:val="32"/>
          <w:lang w:val="en-US" w:eastAsia="zh-CN"/>
        </w:rPr>
        <w:t>当年拨款687.75</w:t>
      </w:r>
      <w:r>
        <w:rPr>
          <w:rFonts w:hint="eastAsia" w:cs="宋体"/>
          <w:sz w:val="32"/>
          <w:szCs w:val="32"/>
        </w:rPr>
        <w:t>万元；社会保障和就业支</w:t>
      </w:r>
      <w:r>
        <w:rPr>
          <w:rFonts w:hint="eastAsia" w:cs="宋体"/>
          <w:sz w:val="32"/>
          <w:szCs w:val="32"/>
          <w:lang w:val="en-US" w:eastAsia="zh-CN"/>
        </w:rPr>
        <w:t>出451.59万元</w:t>
      </w:r>
      <w:r>
        <w:rPr>
          <w:rFonts w:hint="eastAsia" w:cs="宋体"/>
          <w:sz w:val="32"/>
          <w:szCs w:val="32"/>
        </w:rPr>
        <w:t>；住房保障支出</w:t>
      </w:r>
      <w:r>
        <w:rPr>
          <w:rFonts w:hint="eastAsia" w:cs="宋体"/>
          <w:sz w:val="32"/>
          <w:szCs w:val="32"/>
          <w:lang w:val="en-US" w:eastAsia="zh-CN"/>
        </w:rPr>
        <w:t>28.02</w:t>
      </w:r>
      <w:r>
        <w:rPr>
          <w:rFonts w:hint="eastAsia" w:cs="宋体"/>
          <w:sz w:val="32"/>
          <w:szCs w:val="32"/>
        </w:rPr>
        <w:t>万元，</w:t>
      </w:r>
      <w:r>
        <w:rPr>
          <w:rFonts w:hint="eastAsia" w:cs="宋体"/>
          <w:sz w:val="32"/>
          <w:szCs w:val="32"/>
          <w:lang w:val="en-US" w:eastAsia="zh-CN"/>
        </w:rPr>
        <w:t>医疗保障支出48.14元；特定内项目支出160万元</w:t>
      </w:r>
      <w:r>
        <w:rPr>
          <w:rFonts w:hint="eastAsia" w:cs="宋体"/>
          <w:sz w:val="32"/>
          <w:szCs w:val="32"/>
          <w:lang w:eastAsia="zh-CN"/>
        </w:rPr>
        <w:t>。</w:t>
      </w:r>
    </w:p>
    <w:p w14:paraId="2A847738">
      <w:pPr>
        <w:pStyle w:val="10"/>
        <w:keepNext w:val="0"/>
        <w:keepLines w:val="0"/>
        <w:pageBreakBefore w:val="0"/>
        <w:kinsoku/>
        <w:wordWrap/>
        <w:overflowPunct/>
        <w:topLinePunct w:val="0"/>
        <w:autoSpaceDE/>
        <w:autoSpaceDN/>
        <w:bidi w:val="0"/>
        <w:adjustRightInd/>
        <w:snapToGrid/>
        <w:spacing w:before="0" w:line="560" w:lineRule="exact"/>
        <w:ind w:firstLine="660"/>
        <w:jc w:val="both"/>
        <w:textAlignment w:val="auto"/>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492C5AA6">
      <w:pPr>
        <w:pStyle w:val="10"/>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eastAsia" w:eastAsia="仿宋_GB2312" w:cs="仿宋_GB2312"/>
          <w:kern w:val="2"/>
          <w:sz w:val="32"/>
          <w:szCs w:val="32"/>
          <w:lang w:val="en-US" w:eastAsia="zh-CN"/>
        </w:rPr>
      </w:pPr>
      <w:r>
        <w:rPr>
          <w:rFonts w:hint="eastAsia" w:cs="宋体"/>
          <w:sz w:val="32"/>
          <w:szCs w:val="32"/>
        </w:rPr>
        <w:t>一般公共服务支出</w:t>
      </w:r>
      <w:r>
        <w:rPr>
          <w:rFonts w:hint="eastAsia" w:cs="宋体"/>
          <w:sz w:val="32"/>
          <w:szCs w:val="32"/>
          <w:lang w:val="en-US" w:eastAsia="zh-CN"/>
        </w:rPr>
        <w:t>687.75</w:t>
      </w:r>
      <w:r>
        <w:rPr>
          <w:rFonts w:hint="eastAsia" w:cs="宋体"/>
          <w:sz w:val="32"/>
          <w:szCs w:val="32"/>
        </w:rPr>
        <w:t>万元；社会保障和就业支</w:t>
      </w:r>
      <w:r>
        <w:rPr>
          <w:rFonts w:hint="eastAsia" w:cs="宋体"/>
          <w:sz w:val="32"/>
          <w:szCs w:val="32"/>
          <w:lang w:val="en-US" w:eastAsia="zh-CN"/>
        </w:rPr>
        <w:t>出451.59万元</w:t>
      </w:r>
      <w:r>
        <w:rPr>
          <w:rFonts w:hint="eastAsia" w:cs="宋体"/>
          <w:sz w:val="32"/>
          <w:szCs w:val="32"/>
        </w:rPr>
        <w:t>；住房保障支出</w:t>
      </w:r>
      <w:r>
        <w:rPr>
          <w:rFonts w:hint="eastAsia" w:cs="宋体"/>
          <w:sz w:val="32"/>
          <w:szCs w:val="32"/>
          <w:lang w:val="en-US" w:eastAsia="zh-CN"/>
        </w:rPr>
        <w:t>28.02</w:t>
      </w:r>
      <w:r>
        <w:rPr>
          <w:rFonts w:hint="eastAsia" w:cs="宋体"/>
          <w:sz w:val="32"/>
          <w:szCs w:val="32"/>
        </w:rPr>
        <w:t>万元，</w:t>
      </w:r>
      <w:r>
        <w:rPr>
          <w:rFonts w:hint="eastAsia" w:cs="宋体"/>
          <w:sz w:val="32"/>
          <w:szCs w:val="32"/>
          <w:lang w:val="en-US" w:eastAsia="zh-CN"/>
        </w:rPr>
        <w:t>医疗保障支出48.14元；特定内项目支出160万元</w:t>
      </w:r>
      <w:r>
        <w:rPr>
          <w:rFonts w:hint="eastAsia" w:cs="宋体"/>
          <w:sz w:val="32"/>
          <w:szCs w:val="32"/>
          <w:lang w:eastAsia="zh-CN"/>
        </w:rPr>
        <w:t>。</w:t>
      </w:r>
    </w:p>
    <w:p w14:paraId="4796D2A5">
      <w:pPr>
        <w:pStyle w:val="10"/>
        <w:keepNext w:val="0"/>
        <w:keepLines w:val="0"/>
        <w:pageBreakBefore w:val="0"/>
        <w:kinsoku/>
        <w:wordWrap/>
        <w:overflowPunct/>
        <w:topLinePunct w:val="0"/>
        <w:autoSpaceDE/>
        <w:autoSpaceDN/>
        <w:bidi w:val="0"/>
        <w:adjustRightInd/>
        <w:snapToGrid/>
        <w:spacing w:before="0" w:line="560" w:lineRule="exact"/>
        <w:ind w:firstLine="660"/>
        <w:jc w:val="both"/>
        <w:textAlignment w:val="auto"/>
        <w:rPr>
          <w:rFonts w:ascii="黑体" w:eastAsia="黑体"/>
          <w:sz w:val="32"/>
          <w:szCs w:val="32"/>
        </w:rPr>
      </w:pPr>
      <w:r>
        <w:rPr>
          <w:rFonts w:hint="eastAsia" w:ascii="黑体" w:eastAsia="黑体"/>
          <w:sz w:val="32"/>
          <w:szCs w:val="32"/>
        </w:rPr>
        <w:t>六、一般公共预算基本支出情况说明</w:t>
      </w:r>
    </w:p>
    <w:p w14:paraId="731DDAA1">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cs="仿宋_GB2312"/>
          <w:kern w:val="2"/>
          <w:sz w:val="32"/>
          <w:szCs w:val="32"/>
        </w:rPr>
      </w:pPr>
      <w:r>
        <w:rPr>
          <w:rFonts w:hint="eastAsia" w:cs="仿宋_GB2312"/>
          <w:kern w:val="2"/>
          <w:sz w:val="32"/>
          <w:szCs w:val="32"/>
        </w:rPr>
        <w:t>部门（单位）2025年一般公共预算基本支出</w:t>
      </w:r>
      <w:r>
        <w:rPr>
          <w:rFonts w:hint="eastAsia" w:cs="宋体"/>
          <w:sz w:val="32"/>
          <w:szCs w:val="32"/>
          <w:lang w:val="en-US" w:eastAsia="zh-CN"/>
        </w:rPr>
        <w:t>687.75</w:t>
      </w:r>
      <w:r>
        <w:rPr>
          <w:rFonts w:hint="eastAsia" w:cs="仿宋_GB2312"/>
          <w:kern w:val="2"/>
          <w:sz w:val="32"/>
          <w:szCs w:val="32"/>
        </w:rPr>
        <w:t>万元，其中：人员经费</w:t>
      </w:r>
      <w:r>
        <w:rPr>
          <w:rFonts w:hint="eastAsia" w:cs="仿宋_GB2312"/>
          <w:kern w:val="2"/>
          <w:sz w:val="32"/>
          <w:szCs w:val="32"/>
          <w:lang w:val="en-US" w:eastAsia="zh-CN"/>
        </w:rPr>
        <w:t>431.67</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2AF9C48E">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256.08</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3791C475">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cs="仿宋_GB2312"/>
          <w:kern w:val="2"/>
          <w:sz w:val="32"/>
          <w:szCs w:val="32"/>
        </w:rPr>
      </w:pPr>
      <w:r>
        <w:rPr>
          <w:rFonts w:hint="eastAsia" w:cs="仿宋_GB2312"/>
          <w:kern w:val="2"/>
          <w:sz w:val="32"/>
          <w:szCs w:val="32"/>
        </w:rPr>
        <w:t>部门（单位）2025年“三公”经费财政拨款预算数</w:t>
      </w:r>
      <w:r>
        <w:rPr>
          <w:rFonts w:hint="eastAsia" w:cs="仿宋_GB2312"/>
          <w:kern w:val="2"/>
          <w:sz w:val="32"/>
          <w:szCs w:val="32"/>
          <w:lang w:val="en-US" w:eastAsia="zh-CN"/>
        </w:rPr>
        <w:t>33.55</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0.95</w:t>
      </w:r>
      <w:r>
        <w:rPr>
          <w:rFonts w:hint="eastAsia" w:cs="仿宋_GB2312"/>
          <w:kern w:val="2"/>
          <w:sz w:val="32"/>
          <w:szCs w:val="32"/>
        </w:rPr>
        <w:t>万元，公务用车购置及运行维护费</w:t>
      </w:r>
      <w:r>
        <w:rPr>
          <w:rFonts w:hint="eastAsia" w:cs="仿宋_GB2312"/>
          <w:kern w:val="2"/>
          <w:sz w:val="32"/>
          <w:szCs w:val="32"/>
          <w:lang w:val="en-US" w:eastAsia="zh-CN"/>
        </w:rPr>
        <w:t>32.6</w:t>
      </w:r>
      <w:r>
        <w:rPr>
          <w:rFonts w:hint="eastAsia" w:cs="仿宋_GB2312"/>
          <w:kern w:val="2"/>
          <w:sz w:val="32"/>
          <w:szCs w:val="32"/>
        </w:rPr>
        <w:t>万元。</w:t>
      </w:r>
    </w:p>
    <w:p w14:paraId="2FFE33CB">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cs="仿宋_GB2312"/>
          <w:kern w:val="2"/>
          <w:sz w:val="32"/>
          <w:szCs w:val="32"/>
        </w:rPr>
      </w:pPr>
      <w:r>
        <w:rPr>
          <w:rFonts w:hint="eastAsia" w:ascii="楷体" w:hAnsi="Calibri" w:eastAsia="楷体" w:cs="仿宋_GB2312"/>
          <w:kern w:val="2"/>
          <w:sz w:val="32"/>
          <w:szCs w:val="32"/>
          <w:lang w:val="en-US" w:eastAsia="zh-CN" w:bidi="ar-SA"/>
        </w:rPr>
        <w:t>（一）</w:t>
      </w:r>
      <w:r>
        <w:rPr>
          <w:rFonts w:hint="eastAsia" w:cs="仿宋_GB2312"/>
          <w:kern w:val="2"/>
          <w:sz w:val="32"/>
          <w:szCs w:val="32"/>
        </w:rPr>
        <w:t>2025年因公出国（境）经费</w:t>
      </w:r>
      <w:r>
        <w:rPr>
          <w:rFonts w:hint="eastAsia" w:cs="仿宋_GB2312"/>
          <w:kern w:val="2"/>
          <w:sz w:val="32"/>
          <w:szCs w:val="32"/>
          <w:lang w:val="en-US" w:eastAsia="zh-CN"/>
        </w:rPr>
        <w:t>0</w:t>
      </w:r>
      <w:r>
        <w:rPr>
          <w:rFonts w:hint="eastAsia" w:cs="仿宋_GB2312"/>
          <w:kern w:val="2"/>
          <w:sz w:val="32"/>
          <w:szCs w:val="32"/>
        </w:rPr>
        <w:t>万元。</w:t>
      </w:r>
    </w:p>
    <w:p w14:paraId="7DB7EDD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仿宋_GB2312"/>
          <w:kern w:val="2"/>
          <w:sz w:val="32"/>
          <w:szCs w:val="32"/>
          <w:lang w:val="en-US" w:eastAsia="zh-CN" w:bidi="ar-SA"/>
        </w:rPr>
      </w:pPr>
      <w:r>
        <w:rPr>
          <w:rFonts w:hint="eastAsia" w:ascii="楷体" w:hAnsi="Calibri" w:eastAsia="楷体" w:cs="仿宋_GB2312"/>
          <w:kern w:val="2"/>
          <w:sz w:val="32"/>
          <w:szCs w:val="32"/>
          <w:lang w:val="en-US" w:eastAsia="zh-CN" w:bidi="ar-SA"/>
        </w:rPr>
        <w:t>（二）</w:t>
      </w:r>
      <w:r>
        <w:rPr>
          <w:rFonts w:hint="eastAsia" w:ascii="仿宋_GB2312" w:hAnsi="Calibri" w:eastAsia="仿宋_GB2312" w:cs="仿宋_GB2312"/>
          <w:kern w:val="2"/>
          <w:sz w:val="32"/>
          <w:szCs w:val="32"/>
          <w:lang w:val="en-US" w:eastAsia="zh-CN" w:bidi="ar-SA"/>
        </w:rPr>
        <w:t>2025年公务接待经费0.95万元</w:t>
      </w:r>
      <w:r>
        <w:rPr>
          <w:rFonts w:hint="eastAsia" w:cs="仿宋_GB2312"/>
          <w:color w:val="000000"/>
          <w:kern w:val="2"/>
          <w:sz w:val="32"/>
          <w:szCs w:val="32"/>
        </w:rPr>
        <w:t>。</w:t>
      </w:r>
      <w:r>
        <w:rPr>
          <w:rFonts w:hint="eastAsia" w:ascii="仿宋_GB2312" w:hAnsi="Calibri" w:eastAsia="仿宋_GB2312" w:cs="仿宋_GB2312"/>
          <w:kern w:val="2"/>
          <w:sz w:val="32"/>
          <w:szCs w:val="32"/>
          <w:lang w:val="en-US" w:eastAsia="zh-CN" w:bidi="ar-SA"/>
        </w:rPr>
        <w:t>较2024年预算经费增加0.95万元，增长100%，主要原因我部为2024年新成立单位,2025年为第一年编制部门预算,无历年数据可对比。</w:t>
      </w:r>
    </w:p>
    <w:p w14:paraId="17AD41E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仿宋_GB2312"/>
          <w:kern w:val="2"/>
          <w:sz w:val="32"/>
          <w:szCs w:val="32"/>
          <w:lang w:val="en-US" w:eastAsia="zh-CN" w:bidi="ar-SA"/>
        </w:rPr>
      </w:pPr>
      <w:r>
        <w:rPr>
          <w:rFonts w:hint="eastAsia" w:ascii="楷体" w:hAnsi="Calibri" w:eastAsia="楷体" w:cs="仿宋_GB2312"/>
          <w:kern w:val="2"/>
          <w:sz w:val="32"/>
          <w:szCs w:val="32"/>
          <w:lang w:val="en-US" w:eastAsia="zh-CN" w:bidi="ar-SA"/>
        </w:rPr>
        <w:t>（三）</w:t>
      </w:r>
      <w:r>
        <w:rPr>
          <w:rFonts w:hint="eastAsia" w:ascii="仿宋_GB2312" w:hAnsi="Calibri" w:eastAsia="仿宋_GB2312" w:cs="仿宋_GB2312"/>
          <w:kern w:val="2"/>
          <w:sz w:val="32"/>
          <w:szCs w:val="32"/>
          <w:lang w:val="en-US" w:eastAsia="zh-CN" w:bidi="ar-SA"/>
        </w:rPr>
        <w:t>2025年公务用车购置及运行维护费32.6万元。较2024年预算经费增加32.6万元，增长100%，主要原因我部为2024年新成立单位,2025年为第一年编制部门预算,无历年数据可对比。</w:t>
      </w:r>
    </w:p>
    <w:p w14:paraId="6D2455BA">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0875764">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cs="仿宋_GB2312"/>
          <w:kern w:val="2"/>
          <w:sz w:val="32"/>
          <w:szCs w:val="32"/>
        </w:rPr>
      </w:pPr>
      <w:r>
        <w:rPr>
          <w:rFonts w:hint="eastAsia" w:cs="仿宋_GB2312"/>
          <w:kern w:val="2"/>
          <w:sz w:val="32"/>
          <w:szCs w:val="32"/>
        </w:rPr>
        <w:t>部门（单位）2025年政府性基金预算拨款安排的支出</w:t>
      </w:r>
      <w:r>
        <w:rPr>
          <w:rFonts w:hint="eastAsia" w:cs="仿宋_GB2312"/>
          <w:kern w:val="2"/>
          <w:sz w:val="32"/>
          <w:szCs w:val="32"/>
          <w:lang w:val="en-US" w:eastAsia="zh-CN"/>
        </w:rPr>
        <w:t>0</w:t>
      </w:r>
      <w:r>
        <w:rPr>
          <w:rFonts w:hint="eastAsia" w:cs="仿宋_GB2312"/>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181CAB93">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ascii="黑体" w:eastAsia="黑体"/>
          <w:sz w:val="32"/>
          <w:szCs w:val="32"/>
        </w:rPr>
      </w:pPr>
      <w:r>
        <w:rPr>
          <w:rFonts w:hint="eastAsia" w:ascii="黑体" w:eastAsia="黑体"/>
          <w:sz w:val="32"/>
          <w:szCs w:val="32"/>
        </w:rPr>
        <w:t>九、其他重要事项的情况说明</w:t>
      </w:r>
    </w:p>
    <w:p w14:paraId="73556B6B">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cs="仿宋_GB2312"/>
          <w:color w:val="FF0000"/>
          <w:kern w:val="2"/>
          <w:sz w:val="32"/>
          <w:szCs w:val="32"/>
          <w:highlight w:val="none"/>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highlight w:val="none"/>
        </w:rPr>
        <w:t xml:space="preserve"> 部门（单位）2025年机关运行经费财政拨款预算为</w:t>
      </w:r>
      <w:r>
        <w:rPr>
          <w:rFonts w:hint="eastAsia" w:cs="仿宋_GB2312"/>
          <w:kern w:val="2"/>
          <w:sz w:val="32"/>
          <w:szCs w:val="32"/>
          <w:highlight w:val="none"/>
          <w:lang w:val="en-US" w:eastAsia="zh-CN"/>
        </w:rPr>
        <w:t>256.08</w:t>
      </w:r>
      <w:r>
        <w:rPr>
          <w:rFonts w:hint="eastAsia" w:cs="仿宋_GB2312"/>
          <w:kern w:val="2"/>
          <w:sz w:val="32"/>
          <w:szCs w:val="32"/>
          <w:highlight w:val="none"/>
        </w:rPr>
        <w:t>万元，比2024年预算</w:t>
      </w:r>
      <w:r>
        <w:rPr>
          <w:rFonts w:hint="eastAsia" w:cs="宋体"/>
          <w:sz w:val="32"/>
          <w:szCs w:val="32"/>
          <w:highlight w:val="none"/>
        </w:rPr>
        <w:t>增加</w:t>
      </w:r>
      <w:r>
        <w:rPr>
          <w:rFonts w:hint="eastAsia" w:cs="仿宋_GB2312"/>
          <w:kern w:val="2"/>
          <w:sz w:val="32"/>
          <w:szCs w:val="32"/>
          <w:highlight w:val="none"/>
          <w:lang w:val="en-US" w:eastAsia="zh-CN"/>
        </w:rPr>
        <w:t>256.08</w:t>
      </w:r>
      <w:r>
        <w:rPr>
          <w:rFonts w:hint="eastAsia" w:cs="仿宋_GB2312"/>
          <w:color w:val="000000"/>
          <w:kern w:val="2"/>
          <w:sz w:val="32"/>
          <w:szCs w:val="32"/>
          <w:highlight w:val="none"/>
        </w:rPr>
        <w:t>万元，</w:t>
      </w:r>
      <w:r>
        <w:rPr>
          <w:rFonts w:hint="eastAsia" w:ascii="仿宋_GB2312" w:hAnsi="Calibri" w:eastAsia="仿宋_GB2312" w:cs="仿宋_GB2312"/>
          <w:kern w:val="2"/>
          <w:sz w:val="32"/>
          <w:szCs w:val="32"/>
          <w:highlight w:val="none"/>
          <w:lang w:val="en-US" w:eastAsia="zh-CN" w:bidi="ar-SA"/>
        </w:rPr>
        <w:t>主要原因我部为2024年新成立单位,2025年为第一年编制部门预算</w:t>
      </w:r>
      <w:r>
        <w:rPr>
          <w:rFonts w:hint="eastAsia" w:cs="仿宋_GB2312"/>
          <w:kern w:val="2"/>
          <w:sz w:val="32"/>
          <w:szCs w:val="32"/>
          <w:highlight w:val="none"/>
          <w:lang w:val="en-US" w:eastAsia="zh-CN" w:bidi="ar-SA"/>
        </w:rPr>
        <w:t>。</w:t>
      </w:r>
      <w:r>
        <w:rPr>
          <w:rFonts w:hint="eastAsia" w:cs="仿宋_GB2312"/>
          <w:color w:val="000000"/>
          <w:kern w:val="2"/>
          <w:sz w:val="32"/>
          <w:szCs w:val="32"/>
          <w:highlight w:val="none"/>
        </w:rPr>
        <w:t xml:space="preserve"> </w:t>
      </w:r>
    </w:p>
    <w:p w14:paraId="6217BC2E">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eastAsia" w:eastAsia="仿宋_GB2312" w:cs="仿宋_GB2312"/>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07EBCED0">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ascii="楷体" w:eastAsia="楷体" w:cs="仿宋_GB2312"/>
          <w:kern w:val="2"/>
          <w:sz w:val="32"/>
          <w:szCs w:val="32"/>
        </w:rPr>
      </w:pPr>
      <w:r>
        <w:rPr>
          <w:rFonts w:hint="eastAsia" w:ascii="楷体" w:eastAsia="楷体" w:cs="仿宋_GB2312"/>
          <w:kern w:val="2"/>
          <w:sz w:val="32"/>
          <w:szCs w:val="32"/>
        </w:rPr>
        <w:t>（三）国有资产占有使用情况</w:t>
      </w:r>
    </w:p>
    <w:p w14:paraId="3413D574">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0</w:t>
      </w:r>
      <w:r>
        <w:rPr>
          <w:rFonts w:hint="eastAsia" w:cs="仿宋_GB2312"/>
          <w:kern w:val="2"/>
          <w:sz w:val="32"/>
          <w:szCs w:val="32"/>
        </w:rPr>
        <w:t>万元。</w:t>
      </w:r>
    </w:p>
    <w:p w14:paraId="20BAF924">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2025年部门（单位）通用项目和专用项目均按要求实行绩效目标管理，涉及一般公共预算当年拨款</w:t>
      </w:r>
      <w:r>
        <w:rPr>
          <w:rFonts w:hint="eastAsia" w:cs="仿宋_GB2312"/>
          <w:kern w:val="2"/>
          <w:sz w:val="32"/>
          <w:szCs w:val="32"/>
          <w:lang w:val="en-US" w:eastAsia="zh-CN"/>
        </w:rPr>
        <w:t>687.75</w:t>
      </w:r>
      <w:r>
        <w:rPr>
          <w:rFonts w:hint="eastAsia" w:cs="仿宋_GB2312"/>
          <w:kern w:val="2"/>
          <w:sz w:val="32"/>
          <w:szCs w:val="32"/>
        </w:rPr>
        <w:t>万元。</w:t>
      </w:r>
    </w:p>
    <w:p w14:paraId="63EFF45C">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7D5CE7B9">
      <w:pPr>
        <w:keepNext w:val="0"/>
        <w:keepLines w:val="0"/>
        <w:pageBreakBefore w:val="0"/>
        <w:kinsoku/>
        <w:wordWrap/>
        <w:overflowPunct/>
        <w:topLinePunct w:val="0"/>
        <w:autoSpaceDE/>
        <w:autoSpaceDN/>
        <w:bidi w:val="0"/>
        <w:adjustRightInd/>
        <w:snapToGrid/>
        <w:spacing w:line="560" w:lineRule="exact"/>
        <w:jc w:val="both"/>
        <w:textAlignment w:val="auto"/>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DEA71">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7C3FE2"/>
    <w:multiLevelType w:val="singleLevel"/>
    <w:tmpl w:val="F17C3FE2"/>
    <w:lvl w:ilvl="0" w:tentative="0">
      <w:start w:val="3"/>
      <w:numFmt w:val="chineseCounting"/>
      <w:suff w:val="nothing"/>
      <w:lvlText w:val="%1、"/>
      <w:lvlJc w:val="left"/>
      <w:rPr>
        <w:rFonts w:hint="eastAsia"/>
      </w:rPr>
    </w:lvl>
  </w:abstractNum>
  <w:abstractNum w:abstractNumId="1">
    <w:nsid w:val="2B045F0E"/>
    <w:multiLevelType w:val="singleLevel"/>
    <w:tmpl w:val="2B045F0E"/>
    <w:lvl w:ilvl="0" w:tentative="0">
      <w:start w:val="4"/>
      <w:numFmt w:val="chineseCounting"/>
      <w:suff w:val="nothing"/>
      <w:lvlText w:val="%1、"/>
      <w:lvlJc w:val="left"/>
      <w:rPr>
        <w:rFonts w:hint="eastAsia"/>
      </w:rPr>
    </w:lvl>
  </w:abstractNum>
  <w:abstractNum w:abstractNumId="2">
    <w:nsid w:val="72E87DEB"/>
    <w:multiLevelType w:val="singleLevel"/>
    <w:tmpl w:val="72E87DEB"/>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2F238E0"/>
    <w:rsid w:val="032F7C2A"/>
    <w:rsid w:val="075C73C2"/>
    <w:rsid w:val="0E3270CE"/>
    <w:rsid w:val="121E094C"/>
    <w:rsid w:val="15220305"/>
    <w:rsid w:val="1A953AA2"/>
    <w:rsid w:val="1CFE43F4"/>
    <w:rsid w:val="1DAD0520"/>
    <w:rsid w:val="234D61B7"/>
    <w:rsid w:val="2A5E7E2D"/>
    <w:rsid w:val="2BBD5E27"/>
    <w:rsid w:val="370F16D6"/>
    <w:rsid w:val="3ECC2AA4"/>
    <w:rsid w:val="400E49F6"/>
    <w:rsid w:val="417E7959"/>
    <w:rsid w:val="42656C4B"/>
    <w:rsid w:val="447B4624"/>
    <w:rsid w:val="466F1F67"/>
    <w:rsid w:val="471E19B5"/>
    <w:rsid w:val="4AA5064D"/>
    <w:rsid w:val="4B97572B"/>
    <w:rsid w:val="4FFE4A87"/>
    <w:rsid w:val="51A258E6"/>
    <w:rsid w:val="53204D14"/>
    <w:rsid w:val="54776BB6"/>
    <w:rsid w:val="573E1C0D"/>
    <w:rsid w:val="5BF9129C"/>
    <w:rsid w:val="5CDD77D2"/>
    <w:rsid w:val="5E2A6A47"/>
    <w:rsid w:val="5E734892"/>
    <w:rsid w:val="5EDA6F3C"/>
    <w:rsid w:val="617A7CE6"/>
    <w:rsid w:val="67024A05"/>
    <w:rsid w:val="691B590A"/>
    <w:rsid w:val="69935DE8"/>
    <w:rsid w:val="6B43383E"/>
    <w:rsid w:val="707E5E7F"/>
    <w:rsid w:val="70916EC4"/>
    <w:rsid w:val="72414095"/>
    <w:rsid w:val="726C71D7"/>
    <w:rsid w:val="7BB153E0"/>
    <w:rsid w:val="7C1319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7</Pages>
  <Words>948</Words>
  <Characters>1034</Characters>
  <Lines>124</Lines>
  <Paragraphs>51</Paragraphs>
  <TotalTime>4</TotalTime>
  <ScaleCrop>false</ScaleCrop>
  <LinksUpToDate>false</LinksUpToDate>
  <CharactersWithSpaces>1060</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WPS_1504838290</cp:lastModifiedBy>
  <cp:lastPrinted>2018-01-30T09:39:00Z</cp:lastPrinted>
  <dcterms:modified xsi:type="dcterms:W3CDTF">2025-04-01T09:02:49Z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eyJoZGlkIjoiYzlkZmNlM2JmYzM3ZjdhOGViODlhNWNiOTI0NjRmY2YiLCJ1c2VySWQiOiIzMDA5Njk0NTEifQ==</vt:lpwstr>
  </property>
  <property fmtid="{D5CDD505-2E9C-101B-9397-08002B2CF9AE}" pid="4" name="ICV">
    <vt:lpwstr>6DA236C8582540BC8722B77ACA3CC1FF_12</vt:lpwstr>
  </property>
</Properties>
</file>