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38E24B">
      <w:pPr>
        <w:rPr>
          <w:rFonts w:ascii="黑体" w:eastAsia="黑体"/>
          <w:sz w:val="32"/>
          <w:szCs w:val="32"/>
        </w:rPr>
      </w:pPr>
      <w:r>
        <w:rPr>
          <w:rFonts w:ascii="黑体" w:eastAsia="黑体"/>
          <w:sz w:val="32"/>
          <w:szCs w:val="32"/>
        </w:rPr>
        <w:t>附件</w:t>
      </w:r>
      <w:r>
        <w:rPr>
          <w:rFonts w:hint="eastAsia" w:ascii="黑体" w:eastAsia="黑体"/>
          <w:sz w:val="32"/>
          <w:szCs w:val="32"/>
        </w:rPr>
        <w:t>2</w:t>
      </w:r>
    </w:p>
    <w:p w14:paraId="20677B1A"/>
    <w:p w14:paraId="60A2D015"/>
    <w:p w14:paraId="13CA1023"/>
    <w:p w14:paraId="706FE8DC">
      <w:pPr>
        <w:ind w:firstLine="1050" w:firstLineChars="500"/>
      </w:pPr>
    </w:p>
    <w:p w14:paraId="2EB772A2">
      <w:pPr>
        <w:ind w:firstLine="1050" w:firstLineChars="500"/>
      </w:pPr>
    </w:p>
    <w:p w14:paraId="6766BFDF">
      <w:pPr>
        <w:ind w:firstLine="1760" w:firstLineChars="400"/>
        <w:rPr>
          <w:rFonts w:ascii="黑体" w:eastAsia="黑体"/>
          <w:sz w:val="44"/>
          <w:szCs w:val="44"/>
        </w:rPr>
      </w:pPr>
    </w:p>
    <w:p w14:paraId="73753478">
      <w:pPr>
        <w:ind w:firstLine="1760" w:firstLineChars="400"/>
        <w:rPr>
          <w:rFonts w:ascii="黑体" w:eastAsia="黑体"/>
          <w:sz w:val="44"/>
          <w:szCs w:val="44"/>
        </w:rPr>
      </w:pPr>
    </w:p>
    <w:p w14:paraId="431BA82F">
      <w:pPr>
        <w:jc w:val="center"/>
        <w:rPr>
          <w:rFonts w:ascii="黑体" w:eastAsia="黑体"/>
          <w:sz w:val="44"/>
          <w:szCs w:val="44"/>
        </w:rPr>
      </w:pPr>
      <w:r>
        <w:rPr>
          <w:rFonts w:hint="eastAsia" w:ascii="黑体" w:eastAsia="黑体"/>
          <w:sz w:val="44"/>
          <w:szCs w:val="44"/>
        </w:rPr>
        <w:t>大熊猫国家公园阿坝管理分局</w:t>
      </w:r>
    </w:p>
    <w:p w14:paraId="458ED67B">
      <w:pPr>
        <w:jc w:val="center"/>
        <w:rPr>
          <w:rFonts w:ascii="黑体" w:eastAsia="黑体"/>
          <w:sz w:val="44"/>
          <w:szCs w:val="44"/>
        </w:rPr>
      </w:pPr>
      <w:r>
        <w:rPr>
          <w:rFonts w:ascii="黑体" w:eastAsia="黑体"/>
          <w:sz w:val="44"/>
          <w:szCs w:val="44"/>
        </w:rPr>
        <w:t>2025</w:t>
      </w:r>
      <w:r>
        <w:rPr>
          <w:rFonts w:hint="eastAsia" w:ascii="黑体" w:eastAsia="黑体"/>
          <w:sz w:val="44"/>
          <w:szCs w:val="44"/>
        </w:rPr>
        <w:t>年部门预算</w:t>
      </w:r>
    </w:p>
    <w:p w14:paraId="55A75041">
      <w:pPr>
        <w:ind w:firstLine="1760" w:firstLineChars="400"/>
        <w:rPr>
          <w:rFonts w:ascii="黑体" w:eastAsia="黑体"/>
          <w:sz w:val="44"/>
          <w:szCs w:val="44"/>
        </w:rPr>
      </w:pPr>
    </w:p>
    <w:p w14:paraId="48739CF1">
      <w:pPr>
        <w:ind w:firstLine="1760" w:firstLineChars="400"/>
        <w:rPr>
          <w:rFonts w:ascii="黑体" w:eastAsia="黑体"/>
          <w:sz w:val="44"/>
          <w:szCs w:val="44"/>
        </w:rPr>
      </w:pPr>
    </w:p>
    <w:p w14:paraId="7AA4AB3E">
      <w:pPr>
        <w:ind w:firstLine="1760" w:firstLineChars="400"/>
        <w:rPr>
          <w:rFonts w:ascii="黑体" w:eastAsia="黑体"/>
          <w:sz w:val="44"/>
          <w:szCs w:val="44"/>
        </w:rPr>
      </w:pPr>
    </w:p>
    <w:p w14:paraId="156463F9">
      <w:pPr>
        <w:ind w:firstLine="1760" w:firstLineChars="400"/>
        <w:rPr>
          <w:rFonts w:ascii="黑体" w:eastAsia="黑体"/>
          <w:sz w:val="44"/>
          <w:szCs w:val="44"/>
        </w:rPr>
      </w:pPr>
    </w:p>
    <w:p w14:paraId="49CD3CB0">
      <w:pPr>
        <w:ind w:firstLine="1760" w:firstLineChars="400"/>
        <w:rPr>
          <w:rFonts w:ascii="黑体" w:eastAsia="黑体"/>
          <w:sz w:val="44"/>
          <w:szCs w:val="44"/>
        </w:rPr>
      </w:pPr>
    </w:p>
    <w:p w14:paraId="1C50EE64">
      <w:pPr>
        <w:ind w:firstLine="1760" w:firstLineChars="400"/>
        <w:rPr>
          <w:rFonts w:ascii="黑体" w:eastAsia="黑体"/>
          <w:sz w:val="44"/>
          <w:szCs w:val="44"/>
        </w:rPr>
      </w:pPr>
    </w:p>
    <w:p w14:paraId="651F60AA">
      <w:pPr>
        <w:ind w:firstLine="1760" w:firstLineChars="400"/>
        <w:rPr>
          <w:rFonts w:ascii="黑体" w:eastAsia="黑体"/>
          <w:sz w:val="44"/>
          <w:szCs w:val="44"/>
        </w:rPr>
      </w:pPr>
    </w:p>
    <w:p w14:paraId="23AB1C46">
      <w:pPr>
        <w:ind w:firstLine="1760" w:firstLineChars="400"/>
        <w:rPr>
          <w:rFonts w:ascii="黑体" w:eastAsia="黑体"/>
          <w:sz w:val="44"/>
          <w:szCs w:val="44"/>
        </w:rPr>
      </w:pPr>
    </w:p>
    <w:p w14:paraId="24839DCD">
      <w:pPr>
        <w:ind w:firstLine="1760" w:firstLineChars="400"/>
        <w:rPr>
          <w:rFonts w:ascii="黑体" w:eastAsia="黑体"/>
          <w:sz w:val="44"/>
          <w:szCs w:val="44"/>
        </w:rPr>
      </w:pPr>
    </w:p>
    <w:p w14:paraId="7ABE45B8">
      <w:pPr>
        <w:ind w:firstLine="1760" w:firstLineChars="400"/>
        <w:rPr>
          <w:rFonts w:ascii="黑体" w:eastAsia="黑体"/>
          <w:sz w:val="44"/>
          <w:szCs w:val="44"/>
        </w:rPr>
      </w:pPr>
    </w:p>
    <w:p w14:paraId="03781A45">
      <w:pPr>
        <w:ind w:firstLine="1760" w:firstLineChars="400"/>
        <w:rPr>
          <w:rFonts w:ascii="黑体" w:eastAsia="黑体"/>
          <w:sz w:val="44"/>
          <w:szCs w:val="44"/>
        </w:rPr>
      </w:pPr>
    </w:p>
    <w:p w14:paraId="43B84AE5">
      <w:pPr>
        <w:ind w:firstLine="1760" w:firstLineChars="400"/>
        <w:rPr>
          <w:rFonts w:ascii="黑体" w:eastAsia="黑体"/>
          <w:sz w:val="44"/>
          <w:szCs w:val="44"/>
        </w:rPr>
      </w:pPr>
    </w:p>
    <w:p w14:paraId="6FF67CD1">
      <w:pPr>
        <w:ind w:firstLine="1760" w:firstLineChars="400"/>
        <w:rPr>
          <w:rFonts w:ascii="黑体" w:eastAsia="黑体"/>
          <w:sz w:val="44"/>
          <w:szCs w:val="44"/>
        </w:rPr>
      </w:pPr>
    </w:p>
    <w:p w14:paraId="3559A980">
      <w:pPr>
        <w:ind w:firstLine="1760" w:firstLineChars="400"/>
        <w:rPr>
          <w:rFonts w:ascii="黑体" w:eastAsia="黑体"/>
          <w:sz w:val="44"/>
          <w:szCs w:val="44"/>
        </w:rPr>
      </w:pPr>
    </w:p>
    <w:p w14:paraId="4EDDDA5B">
      <w:pPr>
        <w:rPr>
          <w:rFonts w:ascii="黑体" w:eastAsia="黑体"/>
          <w:sz w:val="44"/>
          <w:szCs w:val="44"/>
        </w:rPr>
      </w:pPr>
    </w:p>
    <w:p w14:paraId="436BFC8F">
      <w:pPr>
        <w:ind w:firstLine="3120" w:firstLineChars="600"/>
        <w:rPr>
          <w:rFonts w:ascii="黑体" w:eastAsia="黑体"/>
          <w:sz w:val="52"/>
          <w:szCs w:val="52"/>
        </w:rPr>
      </w:pPr>
      <w:r>
        <w:rPr>
          <w:rFonts w:hint="eastAsia" w:ascii="黑体" w:eastAsia="黑体"/>
          <w:sz w:val="52"/>
          <w:szCs w:val="52"/>
        </w:rPr>
        <w:t>目录</w:t>
      </w:r>
    </w:p>
    <w:p w14:paraId="3D32BFD4">
      <w:pPr>
        <w:ind w:firstLine="3080" w:firstLineChars="700"/>
        <w:rPr>
          <w:rFonts w:ascii="黑体" w:eastAsia="黑体"/>
          <w:sz w:val="44"/>
          <w:szCs w:val="44"/>
        </w:rPr>
      </w:pPr>
    </w:p>
    <w:p w14:paraId="07BAB959">
      <w:pPr>
        <w:pStyle w:val="11"/>
        <w:ind w:firstLine="0" w:firstLineChars="0"/>
        <w:rPr>
          <w:rFonts w:ascii="黑体" w:eastAsia="黑体"/>
          <w:sz w:val="32"/>
          <w:szCs w:val="32"/>
        </w:rPr>
      </w:pPr>
      <w:r>
        <w:rPr>
          <w:rFonts w:hint="eastAsia" w:ascii="黑体" w:eastAsia="黑体"/>
          <w:sz w:val="32"/>
          <w:szCs w:val="32"/>
        </w:rPr>
        <w:t>一、基本职能及主要工作</w:t>
      </w:r>
    </w:p>
    <w:p w14:paraId="1F8A6C6D">
      <w:pPr>
        <w:rPr>
          <w:rFonts w:ascii="楷体" w:eastAsia="楷体"/>
          <w:sz w:val="32"/>
          <w:szCs w:val="32"/>
        </w:rPr>
      </w:pPr>
      <w:r>
        <w:rPr>
          <w:rFonts w:hint="eastAsia" w:ascii="楷体" w:eastAsia="楷体"/>
          <w:sz w:val="32"/>
          <w:szCs w:val="32"/>
        </w:rPr>
        <w:t>（一）部门职能简介</w:t>
      </w:r>
    </w:p>
    <w:p w14:paraId="0A8A5133">
      <w:pPr>
        <w:rPr>
          <w:rFonts w:ascii="楷体" w:eastAsia="楷体"/>
          <w:sz w:val="32"/>
          <w:szCs w:val="32"/>
        </w:rPr>
      </w:pPr>
      <w:r>
        <w:rPr>
          <w:rFonts w:hint="eastAsia" w:ascii="楷体" w:eastAsia="楷体"/>
          <w:sz w:val="32"/>
          <w:szCs w:val="32"/>
        </w:rPr>
        <w:t>（二）</w:t>
      </w:r>
      <w:r>
        <w:rPr>
          <w:rFonts w:ascii="楷体" w:eastAsia="楷体"/>
          <w:sz w:val="32"/>
          <w:szCs w:val="32"/>
        </w:rPr>
        <w:t>2025</w:t>
      </w:r>
      <w:r>
        <w:rPr>
          <w:rFonts w:hint="eastAsia" w:ascii="楷体" w:eastAsia="楷体"/>
          <w:sz w:val="32"/>
          <w:szCs w:val="32"/>
        </w:rPr>
        <w:t>年重点工作</w:t>
      </w:r>
    </w:p>
    <w:p w14:paraId="1F52C4AD">
      <w:pPr>
        <w:rPr>
          <w:rFonts w:ascii="黑体" w:eastAsia="黑体"/>
          <w:sz w:val="32"/>
          <w:szCs w:val="32"/>
        </w:rPr>
      </w:pPr>
      <w:r>
        <w:rPr>
          <w:rFonts w:hint="eastAsia" w:ascii="黑体" w:eastAsia="黑体"/>
          <w:sz w:val="32"/>
          <w:szCs w:val="32"/>
        </w:rPr>
        <w:t>二、部门预算单位构成</w:t>
      </w:r>
    </w:p>
    <w:p w14:paraId="62D841AA">
      <w:pPr>
        <w:rPr>
          <w:rFonts w:ascii="黑体" w:eastAsia="黑体"/>
          <w:sz w:val="32"/>
          <w:szCs w:val="32"/>
        </w:rPr>
      </w:pPr>
      <w:r>
        <w:rPr>
          <w:rFonts w:hint="eastAsia" w:ascii="黑体" w:eastAsia="黑体"/>
          <w:sz w:val="32"/>
          <w:szCs w:val="32"/>
        </w:rPr>
        <w:t>三、收支预算情况说明</w:t>
      </w:r>
    </w:p>
    <w:p w14:paraId="6CC3DF37">
      <w:pPr>
        <w:rPr>
          <w:rFonts w:ascii="楷体" w:eastAsia="楷体"/>
          <w:sz w:val="32"/>
          <w:szCs w:val="32"/>
        </w:rPr>
      </w:pPr>
      <w:r>
        <w:rPr>
          <w:rFonts w:hint="eastAsia" w:ascii="楷体" w:eastAsia="楷体"/>
          <w:sz w:val="32"/>
          <w:szCs w:val="32"/>
        </w:rPr>
        <w:t>（一）收入预算情况</w:t>
      </w:r>
    </w:p>
    <w:p w14:paraId="5EE020F7">
      <w:pPr>
        <w:rPr>
          <w:rFonts w:ascii="楷体" w:eastAsia="楷体"/>
          <w:sz w:val="32"/>
          <w:szCs w:val="32"/>
        </w:rPr>
      </w:pPr>
      <w:r>
        <w:rPr>
          <w:rFonts w:hint="eastAsia" w:ascii="楷体" w:eastAsia="楷体"/>
          <w:sz w:val="32"/>
          <w:szCs w:val="32"/>
        </w:rPr>
        <w:t>（二）支出预算情况</w:t>
      </w:r>
    </w:p>
    <w:p w14:paraId="5EEF090D">
      <w:pPr>
        <w:rPr>
          <w:rFonts w:ascii="黑体" w:eastAsia="黑体"/>
          <w:sz w:val="32"/>
          <w:szCs w:val="32"/>
        </w:rPr>
      </w:pPr>
      <w:r>
        <w:rPr>
          <w:rFonts w:hint="eastAsia" w:ascii="黑体" w:eastAsia="黑体"/>
          <w:sz w:val="32"/>
          <w:szCs w:val="32"/>
        </w:rPr>
        <w:t>四、财政拨款收支预算情况说明</w:t>
      </w:r>
    </w:p>
    <w:p w14:paraId="6230BAB9">
      <w:pPr>
        <w:rPr>
          <w:rFonts w:ascii="黑体" w:eastAsia="黑体"/>
          <w:sz w:val="32"/>
          <w:szCs w:val="32"/>
        </w:rPr>
      </w:pPr>
      <w:r>
        <w:rPr>
          <w:rFonts w:hint="eastAsia" w:ascii="黑体" w:eastAsia="黑体"/>
          <w:sz w:val="32"/>
          <w:szCs w:val="32"/>
        </w:rPr>
        <w:t>五、一般公共预算当年拨款情况说明</w:t>
      </w:r>
    </w:p>
    <w:p w14:paraId="0F702A36">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14:paraId="2248436B">
      <w:pPr>
        <w:rPr>
          <w:rFonts w:ascii="黑体" w:eastAsia="黑体"/>
          <w:sz w:val="32"/>
          <w:szCs w:val="32"/>
        </w:rPr>
      </w:pPr>
    </w:p>
    <w:p w14:paraId="03E2BF2F">
      <w:pPr>
        <w:widowControl/>
        <w:shd w:val="clear" w:color="auto" w:fill="FFFFFF"/>
        <w:spacing w:before="100" w:beforeAutospacing="1" w:after="100" w:afterAutospacing="1" w:line="290" w:lineRule="atLeast"/>
        <w:ind w:right="300"/>
        <w:jc w:val="left"/>
        <w:rPr>
          <w:rFonts w:ascii="??" w:hAnsi="??" w:cs="宋体"/>
          <w:kern w:val="0"/>
          <w:sz w:val="12"/>
          <w:szCs w:val="12"/>
        </w:rPr>
      </w:pPr>
    </w:p>
    <w:p w14:paraId="496BD4E4">
      <w:pPr>
        <w:pStyle w:val="11"/>
        <w:rPr>
          <w:rFonts w:ascii="黑体" w:eastAsia="黑体"/>
          <w:sz w:val="32"/>
          <w:szCs w:val="32"/>
        </w:rPr>
      </w:pPr>
      <w:r>
        <w:rPr>
          <w:rFonts w:hint="eastAsia" w:ascii="黑体" w:eastAsia="黑体"/>
          <w:sz w:val="32"/>
          <w:szCs w:val="32"/>
        </w:rPr>
        <w:t>一、基本职能及主要工作</w:t>
      </w:r>
    </w:p>
    <w:p w14:paraId="124D71BB">
      <w:pPr>
        <w:ind w:firstLine="643" w:firstLineChars="200"/>
        <w:rPr>
          <w:rFonts w:ascii="楷体" w:eastAsia="楷体"/>
          <w:b/>
          <w:bCs/>
          <w:sz w:val="32"/>
          <w:szCs w:val="32"/>
        </w:rPr>
      </w:pPr>
      <w:r>
        <w:rPr>
          <w:rFonts w:hint="eastAsia" w:ascii="楷体" w:eastAsia="楷体"/>
          <w:b/>
          <w:bCs/>
          <w:sz w:val="32"/>
          <w:szCs w:val="32"/>
        </w:rPr>
        <w:t>（一）部门职能简介</w:t>
      </w:r>
    </w:p>
    <w:p w14:paraId="40657641">
      <w:pPr>
        <w:pStyle w:val="11"/>
        <w:keepNext w:val="0"/>
        <w:keepLines w:val="0"/>
        <w:pageBreakBefore w:val="0"/>
        <w:kinsoku/>
        <w:wordWrap/>
        <w:overflowPunct/>
        <w:topLinePunct w:val="0"/>
        <w:autoSpaceDE/>
        <w:autoSpaceDN/>
        <w:bidi w:val="0"/>
        <w:spacing w:line="560" w:lineRule="exact"/>
        <w:ind w:firstLine="640"/>
        <w:textAlignment w:val="auto"/>
        <w:rPr>
          <w:rFonts w:ascii="仿宋_GB2312" w:hAnsi="Times New Roman" w:eastAsia="仿宋_GB2312"/>
          <w:sz w:val="32"/>
          <w:szCs w:val="32"/>
        </w:rPr>
      </w:pPr>
      <w:r>
        <w:rPr>
          <w:rFonts w:hint="eastAsia" w:ascii="仿宋_GB2312" w:hAnsi="Times New Roman" w:eastAsia="仿宋_GB2312"/>
          <w:sz w:val="32"/>
          <w:szCs w:val="32"/>
        </w:rPr>
        <w:t>按照《四川省大熊猫国家公园管理机构设置实施方案》（川委厅〔2019〕2号）和《四川省大熊猫国家公园各管理分局运行机制意见》（川林发〔2019〕20号）等相关文件要求，组建大熊猫国家公园阿坝管理分局。我局主要职能职责是：</w:t>
      </w:r>
    </w:p>
    <w:p w14:paraId="2D9A811E">
      <w:pPr>
        <w:keepNext w:val="0"/>
        <w:keepLines w:val="0"/>
        <w:pageBreakBefore w:val="0"/>
        <w:kinsoku/>
        <w:wordWrap/>
        <w:overflowPunct/>
        <w:topLinePunct w:val="0"/>
        <w:autoSpaceDE/>
        <w:autoSpaceDN/>
        <w:bidi w:val="0"/>
        <w:spacing w:line="560" w:lineRule="exact"/>
        <w:textAlignment w:val="auto"/>
        <w:rPr>
          <w:rFonts w:ascii="仿宋_GB2312" w:hAnsi="Times New Roman" w:eastAsia="仿宋_GB2312"/>
          <w:sz w:val="32"/>
          <w:szCs w:val="32"/>
        </w:rPr>
      </w:pPr>
      <w:r>
        <w:rPr>
          <w:rFonts w:hint="eastAsia" w:ascii="仿宋_GB2312" w:hAnsi="Times New Roman" w:eastAsia="仿宋_GB2312"/>
          <w:sz w:val="32"/>
          <w:szCs w:val="32"/>
        </w:rPr>
        <w:t>1.具体承担辖区内大熊猫国家公园体制试点工作。</w:t>
      </w:r>
    </w:p>
    <w:p w14:paraId="06DF1A1E">
      <w:pPr>
        <w:pStyle w:val="11"/>
        <w:keepNext w:val="0"/>
        <w:keepLines w:val="0"/>
        <w:pageBreakBefore w:val="0"/>
        <w:kinsoku/>
        <w:wordWrap/>
        <w:overflowPunct/>
        <w:topLinePunct w:val="0"/>
        <w:autoSpaceDE/>
        <w:autoSpaceDN/>
        <w:bidi w:val="0"/>
        <w:spacing w:line="560" w:lineRule="exact"/>
        <w:ind w:firstLine="0" w:firstLineChars="0"/>
        <w:textAlignment w:val="auto"/>
        <w:rPr>
          <w:rFonts w:ascii="仿宋_GB2312" w:hAnsi="Times New Roman" w:eastAsia="仿宋_GB2312"/>
          <w:sz w:val="32"/>
          <w:szCs w:val="32"/>
        </w:rPr>
      </w:pPr>
      <w:r>
        <w:rPr>
          <w:rFonts w:hint="eastAsia" w:ascii="仿宋_GB2312" w:hAnsi="Times New Roman" w:eastAsia="仿宋_GB2312"/>
          <w:sz w:val="32"/>
          <w:szCs w:val="32"/>
        </w:rPr>
        <w:t>2.负责以大熊猫为核心的生物多样性保护和资源环境综合执法。</w:t>
      </w:r>
    </w:p>
    <w:p w14:paraId="1A891DFB">
      <w:pPr>
        <w:keepNext w:val="0"/>
        <w:keepLines w:val="0"/>
        <w:pageBreakBefore w:val="0"/>
        <w:kinsoku/>
        <w:wordWrap/>
        <w:overflowPunct/>
        <w:topLinePunct w:val="0"/>
        <w:autoSpaceDE/>
        <w:autoSpaceDN/>
        <w:bidi w:val="0"/>
        <w:spacing w:line="560" w:lineRule="exact"/>
        <w:textAlignment w:val="auto"/>
        <w:rPr>
          <w:rFonts w:ascii="仿宋_GB2312" w:hAnsi="Times New Roman" w:eastAsia="仿宋_GB2312"/>
          <w:sz w:val="32"/>
          <w:szCs w:val="32"/>
        </w:rPr>
      </w:pPr>
      <w:r>
        <w:rPr>
          <w:rFonts w:hint="eastAsia" w:ascii="仿宋_GB2312" w:hAnsi="Times New Roman" w:eastAsia="仿宋_GB2312"/>
          <w:sz w:val="32"/>
          <w:szCs w:val="32"/>
        </w:rPr>
        <w:t>3.负责项目审查。</w:t>
      </w:r>
    </w:p>
    <w:p w14:paraId="0FA173F8">
      <w:pPr>
        <w:keepNext w:val="0"/>
        <w:keepLines w:val="0"/>
        <w:pageBreakBefore w:val="0"/>
        <w:kinsoku/>
        <w:wordWrap/>
        <w:overflowPunct/>
        <w:topLinePunct w:val="0"/>
        <w:autoSpaceDE/>
        <w:autoSpaceDN/>
        <w:bidi w:val="0"/>
        <w:spacing w:line="560" w:lineRule="exact"/>
        <w:textAlignment w:val="auto"/>
        <w:rPr>
          <w:rFonts w:ascii="仿宋_GB2312" w:hAnsi="Times New Roman" w:eastAsia="仿宋_GB2312"/>
          <w:sz w:val="32"/>
          <w:szCs w:val="32"/>
        </w:rPr>
      </w:pPr>
      <w:r>
        <w:rPr>
          <w:rFonts w:hint="eastAsia" w:ascii="仿宋_GB2312" w:hAnsi="Times New Roman" w:eastAsia="仿宋_GB2312"/>
          <w:sz w:val="32"/>
          <w:szCs w:val="32"/>
        </w:rPr>
        <w:t>4.组织实施特许经营和社会参与，建立社区可持续发展机制。</w:t>
      </w:r>
    </w:p>
    <w:p w14:paraId="3B987D82">
      <w:pPr>
        <w:keepNext w:val="0"/>
        <w:keepLines w:val="0"/>
        <w:pageBreakBefore w:val="0"/>
        <w:kinsoku/>
        <w:wordWrap/>
        <w:overflowPunct/>
        <w:topLinePunct w:val="0"/>
        <w:autoSpaceDE/>
        <w:autoSpaceDN/>
        <w:bidi w:val="0"/>
        <w:spacing w:line="560" w:lineRule="exact"/>
        <w:textAlignment w:val="auto"/>
        <w:rPr>
          <w:rFonts w:ascii="仿宋_GB2312" w:hAnsi="Times New Roman" w:eastAsia="仿宋_GB2312"/>
          <w:sz w:val="32"/>
          <w:szCs w:val="32"/>
        </w:rPr>
      </w:pPr>
      <w:r>
        <w:rPr>
          <w:rFonts w:hint="eastAsia" w:ascii="仿宋_GB2312" w:hAnsi="Times New Roman" w:eastAsia="仿宋_GB2312"/>
          <w:sz w:val="32"/>
          <w:szCs w:val="32"/>
        </w:rPr>
        <w:t>5.配合地方政府落实国家公园内生产经营设施退出和生态移民搬迁工作。</w:t>
      </w:r>
    </w:p>
    <w:p w14:paraId="1DD5C7E3">
      <w:pPr>
        <w:keepNext w:val="0"/>
        <w:keepLines w:val="0"/>
        <w:pageBreakBefore w:val="0"/>
        <w:kinsoku/>
        <w:wordWrap/>
        <w:overflowPunct/>
        <w:topLinePunct w:val="0"/>
        <w:autoSpaceDE/>
        <w:autoSpaceDN/>
        <w:bidi w:val="0"/>
        <w:spacing w:line="560" w:lineRule="exact"/>
        <w:textAlignment w:val="auto"/>
        <w:rPr>
          <w:rFonts w:ascii="仿宋_GB2312" w:hAnsi="Times New Roman" w:eastAsia="仿宋_GB2312"/>
          <w:sz w:val="32"/>
          <w:szCs w:val="32"/>
        </w:rPr>
      </w:pPr>
      <w:r>
        <w:rPr>
          <w:rFonts w:hint="eastAsia" w:ascii="仿宋_GB2312" w:hAnsi="Times New Roman" w:eastAsia="仿宋_GB2312"/>
          <w:sz w:val="32"/>
          <w:szCs w:val="32"/>
        </w:rPr>
        <w:t>6.开展巡护监测、科学研究、生态体验和科普教育。</w:t>
      </w:r>
    </w:p>
    <w:p w14:paraId="3821F09C">
      <w:pPr>
        <w:keepNext w:val="0"/>
        <w:keepLines w:val="0"/>
        <w:pageBreakBefore w:val="0"/>
        <w:kinsoku/>
        <w:wordWrap/>
        <w:overflowPunct/>
        <w:topLinePunct w:val="0"/>
        <w:autoSpaceDE/>
        <w:autoSpaceDN/>
        <w:bidi w:val="0"/>
        <w:spacing w:line="560" w:lineRule="exact"/>
        <w:textAlignment w:val="auto"/>
        <w:rPr>
          <w:rFonts w:ascii="仿宋_GB2312" w:hAnsi="Times New Roman" w:eastAsia="仿宋_GB2312"/>
          <w:sz w:val="32"/>
          <w:szCs w:val="32"/>
        </w:rPr>
      </w:pPr>
      <w:r>
        <w:rPr>
          <w:rFonts w:hint="eastAsia" w:ascii="仿宋_GB2312" w:hAnsi="Times New Roman" w:eastAsia="仿宋_GB2312"/>
          <w:sz w:val="32"/>
          <w:szCs w:val="32"/>
        </w:rPr>
        <w:t>7.组织实施生态工程、保护设施建设。</w:t>
      </w:r>
    </w:p>
    <w:p w14:paraId="21EEF5FB">
      <w:pPr>
        <w:pStyle w:val="11"/>
        <w:keepNext w:val="0"/>
        <w:keepLines w:val="0"/>
        <w:pageBreakBefore w:val="0"/>
        <w:kinsoku/>
        <w:wordWrap/>
        <w:overflowPunct/>
        <w:topLinePunct w:val="0"/>
        <w:autoSpaceDE/>
        <w:autoSpaceDN/>
        <w:bidi w:val="0"/>
        <w:spacing w:line="560" w:lineRule="exact"/>
        <w:ind w:firstLine="0" w:firstLineChars="0"/>
        <w:textAlignment w:val="auto"/>
        <w:rPr>
          <w:rFonts w:hint="eastAsia" w:ascii="楷体" w:eastAsia="楷体"/>
          <w:sz w:val="32"/>
          <w:szCs w:val="32"/>
        </w:rPr>
      </w:pPr>
      <w:r>
        <w:rPr>
          <w:rFonts w:hint="eastAsia" w:ascii="仿宋_GB2312" w:hAnsi="Times New Roman" w:eastAsia="仿宋_GB2312"/>
          <w:sz w:val="32"/>
          <w:szCs w:val="32"/>
        </w:rPr>
        <w:t>8.完成省局交办的其他工作。</w:t>
      </w:r>
    </w:p>
    <w:p w14:paraId="53227923">
      <w:pPr>
        <w:keepNext w:val="0"/>
        <w:keepLines w:val="0"/>
        <w:pageBreakBefore w:val="0"/>
        <w:kinsoku/>
        <w:wordWrap/>
        <w:overflowPunct/>
        <w:topLinePunct w:val="0"/>
        <w:autoSpaceDE/>
        <w:autoSpaceDN/>
        <w:bidi w:val="0"/>
        <w:spacing w:line="560" w:lineRule="exact"/>
        <w:ind w:firstLine="321" w:firstLineChars="100"/>
        <w:textAlignment w:val="auto"/>
        <w:rPr>
          <w:rFonts w:ascii="楷体" w:eastAsia="楷体"/>
          <w:b/>
          <w:bCs/>
          <w:sz w:val="32"/>
          <w:szCs w:val="32"/>
        </w:rPr>
      </w:pPr>
      <w:r>
        <w:rPr>
          <w:rFonts w:hint="eastAsia" w:ascii="楷体" w:eastAsia="楷体"/>
          <w:b/>
          <w:bCs/>
          <w:sz w:val="32"/>
          <w:szCs w:val="32"/>
        </w:rPr>
        <w:t>（二）</w:t>
      </w:r>
      <w:r>
        <w:rPr>
          <w:rFonts w:ascii="楷体" w:eastAsia="楷体"/>
          <w:b/>
          <w:bCs/>
          <w:sz w:val="32"/>
          <w:szCs w:val="32"/>
        </w:rPr>
        <w:t>2025</w:t>
      </w:r>
      <w:r>
        <w:rPr>
          <w:rFonts w:hint="eastAsia" w:ascii="楷体" w:eastAsia="楷体"/>
          <w:b/>
          <w:bCs/>
          <w:sz w:val="32"/>
          <w:szCs w:val="32"/>
        </w:rPr>
        <w:t>年重点工作</w:t>
      </w:r>
    </w:p>
    <w:p w14:paraId="5CA053DC">
      <w:pPr>
        <w:pStyle w:val="11"/>
        <w:spacing w:line="576" w:lineRule="exact"/>
        <w:ind w:firstLine="643"/>
        <w:rPr>
          <w:rFonts w:hint="eastAsia" w:ascii="仿宋_GB2312" w:hAnsi="仿宋_GB2312" w:eastAsia="仿宋_GB2312" w:cs="仿宋_GB2312"/>
          <w:snapToGrid w:val="0"/>
          <w:color w:val="000000"/>
          <w:spacing w:val="4"/>
          <w:kern w:val="0"/>
          <w:sz w:val="32"/>
          <w:szCs w:val="32"/>
        </w:rPr>
      </w:pPr>
      <w:r>
        <w:rPr>
          <w:rFonts w:hint="eastAsia" w:ascii="楷体_GB2312" w:hAnsi="楷体_GB2312" w:eastAsia="楷体_GB2312" w:cs="楷体_GB2312"/>
          <w:b/>
          <w:bCs/>
          <w:color w:val="000000"/>
          <w:sz w:val="32"/>
          <w:szCs w:val="32"/>
        </w:rPr>
        <w:t>（</w:t>
      </w:r>
      <w:r>
        <w:rPr>
          <w:rFonts w:hint="eastAsia" w:ascii="楷体_GB2312" w:hAnsi="楷体_GB2312" w:eastAsia="楷体_GB2312" w:cs="楷体_GB2312"/>
          <w:b/>
          <w:bCs/>
          <w:color w:val="000000"/>
          <w:sz w:val="32"/>
          <w:szCs w:val="32"/>
          <w:lang w:val="en-US" w:eastAsia="zh-CN"/>
        </w:rPr>
        <w:t>1</w:t>
      </w:r>
      <w:r>
        <w:rPr>
          <w:rFonts w:hint="eastAsia" w:ascii="楷体_GB2312" w:hAnsi="楷体_GB2312" w:eastAsia="楷体_GB2312" w:cs="楷体_GB2312"/>
          <w:b/>
          <w:bCs/>
          <w:color w:val="000000"/>
          <w:sz w:val="32"/>
          <w:szCs w:val="32"/>
        </w:rPr>
        <w:t>）理顺管理体制，顺向推动体制改革。</w:t>
      </w:r>
      <w:r>
        <w:rPr>
          <w:rFonts w:hint="eastAsia" w:ascii="仿宋_GB2312" w:hAnsi="仿宋_GB2312" w:eastAsia="仿宋_GB2312" w:cs="仿宋_GB2312"/>
          <w:b/>
          <w:bCs/>
          <w:snapToGrid w:val="0"/>
          <w:color w:val="000000"/>
          <w:spacing w:val="4"/>
          <w:kern w:val="0"/>
          <w:sz w:val="32"/>
          <w:szCs w:val="32"/>
        </w:rPr>
        <w:t>一是</w:t>
      </w:r>
      <w:r>
        <w:rPr>
          <w:rFonts w:hint="eastAsia" w:ascii="仿宋_GB2312" w:hAnsi="仿宋_GB2312" w:eastAsia="仿宋_GB2312" w:cs="仿宋_GB2312"/>
          <w:snapToGrid w:val="0"/>
          <w:color w:val="000000"/>
          <w:spacing w:val="4"/>
          <w:kern w:val="0"/>
          <w:sz w:val="32"/>
          <w:szCs w:val="32"/>
        </w:rPr>
        <w:t>按照国家、省安排部署，全力做好大熊猫国家公园体制改革工作，整合优化大熊猫国家公园内各类自然保护地及管理机构，加快理顺管理体制，明确各级管理机构职能职责、性质、规格、编制等，建立统一规范高效管理体制，确保人员到位。了解掌握干部职工思想动态、摸清现有资产底数，确保改革期间思想不乱、人心不散、工作不断。</w:t>
      </w:r>
      <w:r>
        <w:rPr>
          <w:rFonts w:hint="eastAsia" w:ascii="仿宋_GB2312" w:hAnsi="仿宋_GB2312" w:eastAsia="仿宋_GB2312" w:cs="仿宋_GB2312"/>
          <w:b/>
          <w:bCs/>
          <w:snapToGrid w:val="0"/>
          <w:color w:val="000000"/>
          <w:spacing w:val="4"/>
          <w:kern w:val="0"/>
          <w:sz w:val="32"/>
          <w:szCs w:val="32"/>
        </w:rPr>
        <w:t>二是</w:t>
      </w:r>
      <w:r>
        <w:rPr>
          <w:rFonts w:hint="eastAsia" w:ascii="仿宋_GB2312" w:hAnsi="仿宋_GB2312" w:eastAsia="仿宋_GB2312" w:cs="仿宋_GB2312"/>
          <w:snapToGrid w:val="0"/>
          <w:color w:val="000000"/>
          <w:spacing w:val="4"/>
          <w:kern w:val="0"/>
          <w:sz w:val="32"/>
          <w:szCs w:val="32"/>
        </w:rPr>
        <w:t>配合相关部门做好卧龙特区地方事务移交属地管理协调工作。</w:t>
      </w:r>
    </w:p>
    <w:p w14:paraId="44EA3383">
      <w:pPr>
        <w:pStyle w:val="11"/>
        <w:spacing w:line="576" w:lineRule="exact"/>
        <w:ind w:firstLine="643"/>
        <w:rPr>
          <w:rFonts w:hint="eastAsia" w:ascii="仿宋_GB2312" w:hAnsi="仿宋_GB2312" w:eastAsia="仿宋_GB2312" w:cs="仿宋_GB2312"/>
          <w:snapToGrid w:val="0"/>
          <w:color w:val="000000"/>
          <w:spacing w:val="4"/>
          <w:kern w:val="0"/>
          <w:sz w:val="32"/>
          <w:szCs w:val="32"/>
        </w:rPr>
      </w:pPr>
      <w:r>
        <w:rPr>
          <w:rFonts w:hint="eastAsia" w:ascii="楷体_GB2312" w:hAnsi="楷体_GB2312" w:eastAsia="楷体_GB2312" w:cs="楷体_GB2312"/>
          <w:b/>
          <w:bCs/>
          <w:color w:val="000000"/>
          <w:sz w:val="32"/>
          <w:szCs w:val="32"/>
        </w:rPr>
        <w:t>（</w:t>
      </w:r>
      <w:r>
        <w:rPr>
          <w:rFonts w:hint="eastAsia" w:ascii="楷体_GB2312" w:hAnsi="楷体_GB2312" w:eastAsia="楷体_GB2312" w:cs="楷体_GB2312"/>
          <w:b/>
          <w:bCs/>
          <w:color w:val="000000"/>
          <w:sz w:val="32"/>
          <w:szCs w:val="32"/>
          <w:lang w:val="en-US" w:eastAsia="zh-CN"/>
        </w:rPr>
        <w:t>2</w:t>
      </w:r>
      <w:r>
        <w:rPr>
          <w:rFonts w:hint="eastAsia" w:ascii="楷体_GB2312" w:hAnsi="楷体_GB2312" w:eastAsia="楷体_GB2312" w:cs="楷体_GB2312"/>
          <w:b/>
          <w:bCs/>
          <w:color w:val="000000"/>
          <w:sz w:val="32"/>
          <w:szCs w:val="32"/>
        </w:rPr>
        <w:t>）抓实巡护保护，强化生态保护举措。</w:t>
      </w:r>
      <w:r>
        <w:rPr>
          <w:rFonts w:hint="eastAsia" w:ascii="仿宋_GB2312" w:hAnsi="仿宋_GB2312" w:eastAsia="仿宋_GB2312" w:cs="仿宋_GB2312"/>
          <w:snapToGrid w:val="0"/>
          <w:color w:val="000000"/>
          <w:spacing w:val="4"/>
          <w:kern w:val="0"/>
          <w:sz w:val="32"/>
          <w:szCs w:val="32"/>
        </w:rPr>
        <w:t>以大熊猫野生种群及其栖息地保护为核心，做实保护工作。</w:t>
      </w:r>
      <w:r>
        <w:rPr>
          <w:rFonts w:hint="eastAsia" w:ascii="仿宋_GB2312" w:hAnsi="仿宋_GB2312" w:eastAsia="仿宋_GB2312" w:cs="仿宋_GB2312"/>
          <w:b/>
          <w:bCs/>
          <w:snapToGrid w:val="0"/>
          <w:color w:val="000000"/>
          <w:spacing w:val="4"/>
          <w:kern w:val="0"/>
          <w:sz w:val="32"/>
          <w:szCs w:val="32"/>
        </w:rPr>
        <w:t>一是</w:t>
      </w:r>
      <w:r>
        <w:rPr>
          <w:rFonts w:hint="eastAsia" w:ascii="仿宋_GB2312" w:hAnsi="仿宋_GB2312" w:eastAsia="仿宋_GB2312" w:cs="仿宋_GB2312"/>
          <w:snapToGrid w:val="0"/>
          <w:color w:val="000000"/>
          <w:spacing w:val="4"/>
          <w:kern w:val="0"/>
          <w:sz w:val="32"/>
          <w:szCs w:val="32"/>
        </w:rPr>
        <w:t>责任再落实，把山头落实到人头，人员巡护管护到山头，全面做好野生动植物、栖息地保护和森林草原防火等。</w:t>
      </w:r>
      <w:r>
        <w:rPr>
          <w:rFonts w:hint="eastAsia" w:ascii="仿宋_GB2312" w:hAnsi="仿宋_GB2312" w:eastAsia="仿宋_GB2312" w:cs="仿宋_GB2312"/>
          <w:b/>
          <w:bCs/>
          <w:snapToGrid w:val="0"/>
          <w:color w:val="000000"/>
          <w:spacing w:val="4"/>
          <w:kern w:val="0"/>
          <w:sz w:val="32"/>
          <w:szCs w:val="32"/>
        </w:rPr>
        <w:t>二是</w:t>
      </w:r>
      <w:r>
        <w:rPr>
          <w:rFonts w:hint="eastAsia" w:ascii="仿宋_GB2312" w:hAnsi="仿宋_GB2312" w:eastAsia="仿宋_GB2312" w:cs="仿宋_GB2312"/>
          <w:snapToGrid w:val="0"/>
          <w:color w:val="000000"/>
          <w:spacing w:val="4"/>
          <w:kern w:val="0"/>
          <w:sz w:val="32"/>
          <w:szCs w:val="32"/>
        </w:rPr>
        <w:t>开展反盗猎、反违规采集等专项行动，有针对性的打击违法违规行为，在四县管理总站开展4次整治专项行动。</w:t>
      </w:r>
      <w:r>
        <w:rPr>
          <w:rFonts w:hint="eastAsia" w:ascii="仿宋_GB2312" w:hAnsi="仿宋_GB2312" w:eastAsia="仿宋_GB2312" w:cs="仿宋_GB2312"/>
          <w:b/>
          <w:bCs/>
          <w:snapToGrid w:val="0"/>
          <w:color w:val="000000"/>
          <w:spacing w:val="4"/>
          <w:kern w:val="0"/>
          <w:sz w:val="32"/>
          <w:szCs w:val="32"/>
        </w:rPr>
        <w:t>三是</w:t>
      </w:r>
      <w:r>
        <w:rPr>
          <w:rFonts w:hint="eastAsia" w:ascii="仿宋_GB2312" w:hAnsi="仿宋_GB2312" w:eastAsia="仿宋_GB2312" w:cs="仿宋_GB2312"/>
          <w:snapToGrid w:val="0"/>
          <w:color w:val="000000"/>
          <w:spacing w:val="4"/>
          <w:kern w:val="0"/>
          <w:sz w:val="32"/>
          <w:szCs w:val="32"/>
        </w:rPr>
        <w:t>开展跨区巡护，联合都江堰、什邡、平武等管理总站开展跨区联合巡护，共同守护熊猫家园。</w:t>
      </w:r>
      <w:r>
        <w:rPr>
          <w:rFonts w:hint="eastAsia" w:ascii="仿宋_GB2312" w:hAnsi="仿宋_GB2312" w:eastAsia="仿宋_GB2312" w:cs="仿宋_GB2312"/>
          <w:b/>
          <w:bCs/>
          <w:snapToGrid w:val="0"/>
          <w:color w:val="000000"/>
          <w:spacing w:val="4"/>
          <w:kern w:val="0"/>
          <w:sz w:val="32"/>
          <w:szCs w:val="32"/>
        </w:rPr>
        <w:t>四是</w:t>
      </w:r>
      <w:r>
        <w:rPr>
          <w:rFonts w:hint="eastAsia" w:ascii="仿宋_GB2312" w:hAnsi="仿宋_GB2312" w:eastAsia="仿宋_GB2312" w:cs="仿宋_GB2312"/>
          <w:snapToGrid w:val="0"/>
          <w:color w:val="000000"/>
          <w:spacing w:val="4"/>
          <w:kern w:val="0"/>
          <w:sz w:val="32"/>
          <w:szCs w:val="32"/>
        </w:rPr>
        <w:t>抓实森林草原防灭火宣传教育、隐患排查、问题整治、入山管理、值班值守等工作，筑牢大熊猫国家公园生态安全底线。</w:t>
      </w:r>
      <w:r>
        <w:rPr>
          <w:rFonts w:hint="eastAsia" w:ascii="仿宋_GB2312" w:hAnsi="仿宋_GB2312" w:eastAsia="仿宋_GB2312" w:cs="仿宋_GB2312"/>
          <w:b/>
          <w:bCs/>
          <w:snapToGrid w:val="0"/>
          <w:color w:val="000000"/>
          <w:spacing w:val="4"/>
          <w:kern w:val="0"/>
          <w:sz w:val="32"/>
          <w:szCs w:val="32"/>
        </w:rPr>
        <w:t>五是</w:t>
      </w:r>
      <w:r>
        <w:rPr>
          <w:rFonts w:hint="eastAsia" w:ascii="仿宋_GB2312" w:hAnsi="仿宋_GB2312" w:eastAsia="仿宋_GB2312" w:cs="仿宋_GB2312"/>
          <w:snapToGrid w:val="0"/>
          <w:color w:val="000000"/>
          <w:spacing w:val="4"/>
          <w:kern w:val="0"/>
          <w:sz w:val="32"/>
          <w:szCs w:val="32"/>
        </w:rPr>
        <w:t>在茂县土地岭、九寨沟县黄土梁等建设大熊猫走廊带和公路野生动物廊道，增强栖息地的协调性和连通性。</w:t>
      </w:r>
      <w:r>
        <w:rPr>
          <w:rFonts w:hint="eastAsia" w:ascii="仿宋_GB2312" w:hAnsi="仿宋_GB2312" w:eastAsia="仿宋_GB2312" w:cs="仿宋_GB2312"/>
          <w:b/>
          <w:bCs/>
          <w:snapToGrid w:val="0"/>
          <w:color w:val="000000"/>
          <w:spacing w:val="4"/>
          <w:kern w:val="0"/>
          <w:sz w:val="32"/>
          <w:szCs w:val="32"/>
        </w:rPr>
        <w:t>六是</w:t>
      </w:r>
      <w:r>
        <w:rPr>
          <w:rFonts w:hint="eastAsia" w:ascii="仿宋_GB2312" w:hAnsi="仿宋_GB2312" w:eastAsia="仿宋_GB2312" w:cs="仿宋_GB2312"/>
          <w:snapToGrid w:val="0"/>
          <w:color w:val="000000"/>
          <w:spacing w:val="4"/>
          <w:kern w:val="0"/>
          <w:sz w:val="32"/>
          <w:szCs w:val="32"/>
        </w:rPr>
        <w:t>配合发改等部门清理退出小水电6座，申报中央财政奖补资金，加快小水电清退。目前，已退出10座（汶川县麻龙电站、茂县宗渠电站、茂县木杷电站、茂县娥耳沟一级电站、茂县偏桥沟电站、松潘县旧堡子电站、汶川县城外电站、汶川县雅圣沟电站、汶川县灯台树电站、汶川县正河一级电站），正按计划退出4座（卧龙水界牌电站、卧龙仓旺沟电站、卧龙正河电站、汶川县草坡电站），同意延期退出2座（卧龙龙潭电站、汶川县沙牌电站）。</w:t>
      </w:r>
    </w:p>
    <w:p w14:paraId="0C524863">
      <w:pPr>
        <w:pStyle w:val="11"/>
        <w:spacing w:line="576" w:lineRule="exact"/>
        <w:ind w:firstLine="643"/>
        <w:rPr>
          <w:rFonts w:hint="eastAsia" w:ascii="仿宋_GB2312" w:hAnsi="仿宋_GB2312" w:eastAsia="仿宋_GB2312" w:cs="仿宋_GB2312"/>
          <w:snapToGrid w:val="0"/>
          <w:color w:val="000000"/>
          <w:spacing w:val="4"/>
          <w:kern w:val="0"/>
          <w:sz w:val="32"/>
          <w:szCs w:val="32"/>
        </w:rPr>
      </w:pPr>
      <w:r>
        <w:rPr>
          <w:rFonts w:hint="eastAsia" w:ascii="楷体_GB2312" w:hAnsi="楷体_GB2312" w:eastAsia="楷体_GB2312" w:cs="楷体_GB2312"/>
          <w:b/>
          <w:bCs/>
          <w:color w:val="000000"/>
          <w:sz w:val="32"/>
          <w:szCs w:val="32"/>
        </w:rPr>
        <w:t>（</w:t>
      </w:r>
      <w:r>
        <w:rPr>
          <w:rFonts w:hint="eastAsia" w:ascii="楷体_GB2312" w:hAnsi="楷体_GB2312" w:eastAsia="楷体_GB2312" w:cs="楷体_GB2312"/>
          <w:b/>
          <w:bCs/>
          <w:color w:val="000000"/>
          <w:sz w:val="32"/>
          <w:szCs w:val="32"/>
          <w:lang w:val="en-US" w:eastAsia="zh-CN"/>
        </w:rPr>
        <w:t>3</w:t>
      </w:r>
      <w:r>
        <w:rPr>
          <w:rFonts w:hint="eastAsia" w:ascii="楷体_GB2312" w:hAnsi="楷体_GB2312" w:eastAsia="楷体_GB2312" w:cs="楷体_GB2312"/>
          <w:b/>
          <w:bCs/>
          <w:color w:val="000000"/>
          <w:sz w:val="32"/>
          <w:szCs w:val="32"/>
        </w:rPr>
        <w:t>）保护发展并重，推动社区融合发展。</w:t>
      </w:r>
      <w:r>
        <w:rPr>
          <w:rFonts w:hint="eastAsia" w:ascii="仿宋_GB2312" w:hAnsi="仿宋_GB2312" w:eastAsia="仿宋_GB2312" w:cs="仿宋_GB2312"/>
          <w:b/>
          <w:bCs/>
          <w:snapToGrid w:val="0"/>
          <w:color w:val="000000"/>
          <w:spacing w:val="4"/>
          <w:kern w:val="0"/>
          <w:sz w:val="32"/>
          <w:szCs w:val="32"/>
        </w:rPr>
        <w:t>一是</w:t>
      </w:r>
      <w:r>
        <w:rPr>
          <w:rFonts w:hint="eastAsia" w:ascii="仿宋_GB2312" w:hAnsi="仿宋_GB2312" w:eastAsia="仿宋_GB2312" w:cs="仿宋_GB2312"/>
          <w:snapToGrid w:val="0"/>
          <w:color w:val="000000"/>
          <w:spacing w:val="4"/>
          <w:kern w:val="0"/>
          <w:sz w:val="32"/>
          <w:szCs w:val="32"/>
        </w:rPr>
        <w:t>在汶川等4县试点推动管护站与乡（镇）、村建立“共建共管委员会”，签订合作保护协议，优先聘请社区居民从事大熊猫国家公园186.74万亩非国有资源管护，建立共建共享机制。</w:t>
      </w:r>
      <w:r>
        <w:rPr>
          <w:rFonts w:hint="eastAsia" w:ascii="仿宋_GB2312" w:hAnsi="仿宋_GB2312" w:eastAsia="仿宋_GB2312" w:cs="仿宋_GB2312"/>
          <w:b/>
          <w:bCs/>
          <w:snapToGrid w:val="0"/>
          <w:color w:val="000000"/>
          <w:spacing w:val="4"/>
          <w:kern w:val="0"/>
          <w:sz w:val="32"/>
          <w:szCs w:val="32"/>
        </w:rPr>
        <w:t>二是</w:t>
      </w:r>
      <w:r>
        <w:rPr>
          <w:rFonts w:hint="eastAsia" w:ascii="仿宋_GB2312" w:hAnsi="仿宋_GB2312" w:eastAsia="仿宋_GB2312" w:cs="仿宋_GB2312"/>
          <w:snapToGrid w:val="0"/>
          <w:color w:val="000000"/>
          <w:spacing w:val="4"/>
          <w:kern w:val="0"/>
          <w:sz w:val="32"/>
          <w:szCs w:val="32"/>
        </w:rPr>
        <w:t>在九寨沟县勿角村、茂县静州村、松潘县建新村融入大熊猫元素，对建筑外立面、村内绿化美化、入口社区导视标牌、公共基础设施等15个方面进行提升和改造，突出大熊猫主题文创、丰富大熊猫社区文化，助力社区转型发展。</w:t>
      </w:r>
      <w:r>
        <w:rPr>
          <w:rFonts w:hint="eastAsia" w:ascii="仿宋_GB2312" w:hAnsi="仿宋_GB2312" w:eastAsia="仿宋_GB2312" w:cs="仿宋_GB2312"/>
          <w:b/>
          <w:bCs/>
          <w:snapToGrid w:val="0"/>
          <w:color w:val="000000"/>
          <w:spacing w:val="4"/>
          <w:kern w:val="0"/>
          <w:sz w:val="32"/>
          <w:szCs w:val="32"/>
        </w:rPr>
        <w:t>三是</w:t>
      </w:r>
      <w:r>
        <w:rPr>
          <w:rFonts w:hint="eastAsia" w:ascii="仿宋_GB2312" w:hAnsi="仿宋_GB2312" w:eastAsia="仿宋_GB2312" w:cs="仿宋_GB2312"/>
          <w:snapToGrid w:val="0"/>
          <w:color w:val="000000"/>
          <w:spacing w:val="4"/>
          <w:kern w:val="0"/>
          <w:sz w:val="32"/>
          <w:szCs w:val="32"/>
        </w:rPr>
        <w:t>持续推进野生动物肇事补偿补助工作，最大程度降低社区居民损失。</w:t>
      </w:r>
      <w:r>
        <w:rPr>
          <w:rFonts w:hint="eastAsia" w:ascii="仿宋_GB2312" w:hAnsi="仿宋_GB2312" w:eastAsia="仿宋_GB2312" w:cs="仿宋_GB2312"/>
          <w:b/>
          <w:bCs/>
          <w:snapToGrid w:val="0"/>
          <w:color w:val="000000"/>
          <w:spacing w:val="4"/>
          <w:kern w:val="0"/>
          <w:sz w:val="32"/>
          <w:szCs w:val="32"/>
        </w:rPr>
        <w:t>四是</w:t>
      </w:r>
      <w:r>
        <w:rPr>
          <w:rFonts w:hint="eastAsia" w:ascii="仿宋_GB2312" w:hAnsi="仿宋_GB2312" w:eastAsia="仿宋_GB2312" w:cs="仿宋_GB2312"/>
          <w:snapToGrid w:val="0"/>
          <w:color w:val="000000"/>
          <w:spacing w:val="4"/>
          <w:kern w:val="0"/>
          <w:sz w:val="32"/>
          <w:szCs w:val="32"/>
        </w:rPr>
        <w:t>加速产业融合，着力推进“国家公园+社区”“国家公园+生态体验”等业态融合发展，统筹保护与发展，助力经济社会发展。</w:t>
      </w:r>
      <w:r>
        <w:rPr>
          <w:rFonts w:hint="eastAsia" w:ascii="仿宋_GB2312" w:hAnsi="仿宋_GB2312" w:eastAsia="仿宋_GB2312" w:cs="仿宋_GB2312"/>
          <w:b/>
          <w:bCs/>
          <w:snapToGrid w:val="0"/>
          <w:color w:val="000000"/>
          <w:spacing w:val="4"/>
          <w:kern w:val="0"/>
          <w:sz w:val="32"/>
          <w:szCs w:val="32"/>
        </w:rPr>
        <w:t>五是</w:t>
      </w:r>
      <w:r>
        <w:rPr>
          <w:rFonts w:hint="eastAsia" w:ascii="仿宋_GB2312" w:hAnsi="仿宋_GB2312" w:eastAsia="仿宋_GB2312" w:cs="仿宋_GB2312"/>
          <w:snapToGrid w:val="0"/>
          <w:color w:val="000000"/>
          <w:spacing w:val="4"/>
          <w:kern w:val="0"/>
          <w:sz w:val="32"/>
          <w:szCs w:val="32"/>
        </w:rPr>
        <w:t>拓宽社区居民就业渠道，逐步增加社区居民担任公园巡护员，提高经济收益。</w:t>
      </w:r>
    </w:p>
    <w:p w14:paraId="090F3A6E">
      <w:pPr>
        <w:pStyle w:val="11"/>
        <w:spacing w:line="576" w:lineRule="exact"/>
        <w:ind w:firstLine="643"/>
        <w:rPr>
          <w:rFonts w:hint="eastAsia" w:ascii="仿宋_GB2312" w:hAnsi="仿宋_GB2312" w:eastAsia="仿宋_GB2312" w:cs="仿宋_GB2312"/>
          <w:snapToGrid w:val="0"/>
          <w:color w:val="000000"/>
          <w:spacing w:val="4"/>
          <w:kern w:val="0"/>
          <w:sz w:val="32"/>
          <w:szCs w:val="32"/>
        </w:rPr>
      </w:pPr>
      <w:r>
        <w:rPr>
          <w:rFonts w:hint="eastAsia" w:ascii="仿宋_GB2312" w:hAnsi="仿宋_GB2312" w:eastAsia="仿宋_GB2312" w:cs="仿宋_GB2312"/>
          <w:b/>
          <w:bCs/>
          <w:color w:val="000000"/>
          <w:sz w:val="32"/>
          <w:szCs w:val="32"/>
        </w:rPr>
        <w:t>（</w:t>
      </w:r>
      <w:r>
        <w:rPr>
          <w:rFonts w:hint="eastAsia" w:ascii="仿宋_GB2312" w:hAnsi="仿宋_GB2312" w:eastAsia="仿宋_GB2312" w:cs="仿宋_GB2312"/>
          <w:b/>
          <w:bCs/>
          <w:color w:val="000000"/>
          <w:sz w:val="32"/>
          <w:szCs w:val="32"/>
          <w:lang w:val="en-US" w:eastAsia="zh-CN"/>
        </w:rPr>
        <w:t>4</w:t>
      </w:r>
      <w:r>
        <w:rPr>
          <w:rFonts w:hint="eastAsia" w:ascii="仿宋_GB2312" w:hAnsi="仿宋_GB2312" w:eastAsia="仿宋_GB2312" w:cs="仿宋_GB2312"/>
          <w:b/>
          <w:bCs/>
          <w:color w:val="000000"/>
          <w:sz w:val="32"/>
          <w:szCs w:val="32"/>
        </w:rPr>
        <w:t>）</w:t>
      </w:r>
      <w:r>
        <w:rPr>
          <w:rFonts w:hint="eastAsia" w:ascii="楷体_GB2312" w:hAnsi="楷体_GB2312" w:eastAsia="楷体_GB2312" w:cs="楷体_GB2312"/>
          <w:b/>
          <w:bCs/>
          <w:color w:val="000000"/>
          <w:sz w:val="32"/>
          <w:szCs w:val="32"/>
        </w:rPr>
        <w:t>积极靠前服务，促进民生项目落地。</w:t>
      </w:r>
      <w:r>
        <w:rPr>
          <w:rFonts w:hint="eastAsia" w:ascii="仿宋_GB2312" w:hAnsi="仿宋_GB2312" w:eastAsia="仿宋_GB2312" w:cs="仿宋_GB2312"/>
          <w:b/>
          <w:bCs/>
          <w:snapToGrid w:val="0"/>
          <w:color w:val="000000"/>
          <w:spacing w:val="4"/>
          <w:kern w:val="0"/>
          <w:sz w:val="32"/>
          <w:szCs w:val="32"/>
        </w:rPr>
        <w:t>一是</w:t>
      </w:r>
      <w:r>
        <w:rPr>
          <w:rFonts w:hint="eastAsia" w:ascii="仿宋_GB2312" w:hAnsi="仿宋_GB2312" w:eastAsia="仿宋_GB2312" w:cs="仿宋_GB2312"/>
          <w:snapToGrid w:val="0"/>
          <w:color w:val="000000"/>
          <w:spacing w:val="4"/>
          <w:kern w:val="0"/>
          <w:sz w:val="32"/>
          <w:szCs w:val="32"/>
        </w:rPr>
        <w:t>积极服务彭汶高速、疆电入川输电线路、阿坝至成都东1000千伏特高压交流工程、清洁能源开发等关系民生的重大项目穿越大熊猫国家公园准入、环境影响评价要件办理，加快推动民生项目落地。</w:t>
      </w:r>
      <w:r>
        <w:rPr>
          <w:rFonts w:hint="eastAsia" w:ascii="仿宋_GB2312" w:hAnsi="仿宋_GB2312" w:eastAsia="仿宋_GB2312" w:cs="仿宋_GB2312"/>
          <w:b/>
          <w:bCs/>
          <w:snapToGrid w:val="0"/>
          <w:color w:val="000000"/>
          <w:spacing w:val="4"/>
          <w:kern w:val="0"/>
          <w:sz w:val="32"/>
          <w:szCs w:val="32"/>
        </w:rPr>
        <w:t>二是</w:t>
      </w:r>
      <w:r>
        <w:rPr>
          <w:rFonts w:hint="eastAsia" w:ascii="仿宋_GB2312" w:hAnsi="仿宋_GB2312" w:eastAsia="仿宋_GB2312" w:cs="仿宋_GB2312"/>
          <w:snapToGrid w:val="0"/>
          <w:color w:val="000000"/>
          <w:spacing w:val="4"/>
          <w:kern w:val="0"/>
          <w:sz w:val="32"/>
          <w:szCs w:val="32"/>
        </w:rPr>
        <w:t>加强都四轨道交通项目、川汶高速等在建项目巡查监管，确保项目按批复要求执行，降低对国家公园的环境影响。</w:t>
      </w:r>
    </w:p>
    <w:p w14:paraId="1D9FDDD5">
      <w:pPr>
        <w:pStyle w:val="11"/>
        <w:spacing w:line="576" w:lineRule="exact"/>
        <w:ind w:firstLine="643"/>
        <w:rPr>
          <w:rFonts w:hint="eastAsia" w:ascii="仿宋_GB2312" w:hAnsi="仿宋_GB2312" w:eastAsia="仿宋_GB2312" w:cs="仿宋_GB2312"/>
          <w:snapToGrid w:val="0"/>
          <w:color w:val="000000"/>
          <w:spacing w:val="4"/>
          <w:kern w:val="0"/>
          <w:sz w:val="32"/>
          <w:szCs w:val="32"/>
        </w:rPr>
      </w:pPr>
      <w:r>
        <w:rPr>
          <w:rFonts w:hint="eastAsia" w:ascii="仿宋_GB2312" w:hAnsi="仿宋_GB2312" w:eastAsia="仿宋_GB2312" w:cs="仿宋_GB2312"/>
          <w:b/>
          <w:bCs/>
          <w:color w:val="000000"/>
          <w:sz w:val="32"/>
          <w:szCs w:val="32"/>
        </w:rPr>
        <w:t>（</w:t>
      </w:r>
      <w:r>
        <w:rPr>
          <w:rFonts w:hint="eastAsia" w:ascii="仿宋_GB2312" w:hAnsi="仿宋_GB2312" w:eastAsia="仿宋_GB2312" w:cs="仿宋_GB2312"/>
          <w:b/>
          <w:bCs/>
          <w:color w:val="000000"/>
          <w:sz w:val="32"/>
          <w:szCs w:val="32"/>
          <w:lang w:val="en-US" w:eastAsia="zh-CN"/>
        </w:rPr>
        <w:t>5</w:t>
      </w:r>
      <w:r>
        <w:rPr>
          <w:rFonts w:hint="eastAsia" w:ascii="仿宋_GB2312" w:hAnsi="仿宋_GB2312" w:eastAsia="仿宋_GB2312" w:cs="仿宋_GB2312"/>
          <w:b/>
          <w:bCs/>
          <w:color w:val="000000"/>
          <w:sz w:val="32"/>
          <w:szCs w:val="32"/>
        </w:rPr>
        <w:t>）</w:t>
      </w:r>
      <w:r>
        <w:rPr>
          <w:rFonts w:hint="eastAsia" w:ascii="楷体_GB2312" w:hAnsi="楷体_GB2312" w:eastAsia="楷体_GB2312" w:cs="楷体_GB2312"/>
          <w:b/>
          <w:bCs/>
          <w:color w:val="000000"/>
          <w:sz w:val="32"/>
          <w:szCs w:val="32"/>
        </w:rPr>
        <w:t>开展自然教育，加强科普宣教力度。</w:t>
      </w:r>
      <w:r>
        <w:rPr>
          <w:rFonts w:hint="eastAsia" w:ascii="仿宋_GB2312" w:hAnsi="仿宋_GB2312" w:eastAsia="仿宋_GB2312" w:cs="仿宋_GB2312"/>
          <w:snapToGrid w:val="0"/>
          <w:color w:val="000000"/>
          <w:spacing w:val="4"/>
          <w:kern w:val="0"/>
          <w:sz w:val="32"/>
          <w:szCs w:val="32"/>
        </w:rPr>
        <w:t>依托“大熊猫”金字招牌，提升“天下九寨沟·大美阿坝州”品牌影响力。</w:t>
      </w:r>
      <w:r>
        <w:rPr>
          <w:rFonts w:hint="eastAsia" w:ascii="仿宋_GB2312" w:hAnsi="仿宋_GB2312" w:eastAsia="仿宋_GB2312" w:cs="仿宋_GB2312"/>
          <w:b/>
          <w:bCs/>
          <w:snapToGrid w:val="0"/>
          <w:color w:val="000000"/>
          <w:spacing w:val="4"/>
          <w:kern w:val="0"/>
          <w:sz w:val="32"/>
          <w:szCs w:val="32"/>
        </w:rPr>
        <w:t>一是</w:t>
      </w:r>
      <w:r>
        <w:rPr>
          <w:rFonts w:hint="eastAsia" w:ascii="仿宋_GB2312" w:hAnsi="仿宋_GB2312" w:eastAsia="仿宋_GB2312" w:cs="仿宋_GB2312"/>
          <w:snapToGrid w:val="0"/>
          <w:color w:val="000000"/>
          <w:spacing w:val="4"/>
          <w:kern w:val="0"/>
          <w:sz w:val="32"/>
          <w:szCs w:val="32"/>
        </w:rPr>
        <w:t>持续在国家公园入口、国省干道等增加大熊猫国家公园标识标牌安装，营造国家公园保护氛围。</w:t>
      </w:r>
      <w:r>
        <w:rPr>
          <w:rFonts w:hint="eastAsia" w:ascii="仿宋_GB2312" w:hAnsi="仿宋_GB2312" w:eastAsia="仿宋_GB2312" w:cs="仿宋_GB2312"/>
          <w:b/>
          <w:bCs/>
          <w:snapToGrid w:val="0"/>
          <w:color w:val="000000"/>
          <w:spacing w:val="4"/>
          <w:kern w:val="0"/>
          <w:sz w:val="32"/>
          <w:szCs w:val="32"/>
        </w:rPr>
        <w:t>二是</w:t>
      </w:r>
      <w:r>
        <w:rPr>
          <w:rFonts w:hint="eastAsia" w:ascii="仿宋_GB2312" w:hAnsi="仿宋_GB2312" w:eastAsia="仿宋_GB2312" w:cs="仿宋_GB2312"/>
          <w:snapToGrid w:val="0"/>
          <w:color w:val="000000"/>
          <w:spacing w:val="4"/>
          <w:kern w:val="0"/>
          <w:sz w:val="32"/>
          <w:szCs w:val="32"/>
        </w:rPr>
        <w:t>依托汶川自然教育学校使自然教育进校园、进国家公园，让广大青少年从活动中认识国家公园、野生动植物，提升保护意识。</w:t>
      </w:r>
      <w:r>
        <w:rPr>
          <w:rFonts w:hint="eastAsia" w:ascii="仿宋_GB2312" w:hAnsi="仿宋_GB2312" w:eastAsia="仿宋_GB2312" w:cs="仿宋_GB2312"/>
          <w:b/>
          <w:bCs/>
          <w:snapToGrid w:val="0"/>
          <w:color w:val="000000"/>
          <w:spacing w:val="4"/>
          <w:kern w:val="0"/>
          <w:sz w:val="32"/>
          <w:szCs w:val="32"/>
        </w:rPr>
        <w:t>三是</w:t>
      </w:r>
      <w:r>
        <w:rPr>
          <w:rFonts w:hint="eastAsia" w:ascii="仿宋_GB2312" w:hAnsi="仿宋_GB2312" w:eastAsia="仿宋_GB2312" w:cs="仿宋_GB2312"/>
          <w:snapToGrid w:val="0"/>
          <w:color w:val="000000"/>
          <w:spacing w:val="4"/>
          <w:kern w:val="0"/>
          <w:sz w:val="32"/>
          <w:szCs w:val="32"/>
        </w:rPr>
        <w:t>按照州委“1610”系统安排部署，开展生态体验活动，增强自然环境认知，激发自然科学的兴趣和热爱。</w:t>
      </w:r>
      <w:r>
        <w:rPr>
          <w:rFonts w:hint="eastAsia" w:ascii="仿宋_GB2312" w:hAnsi="仿宋_GB2312" w:eastAsia="仿宋_GB2312" w:cs="仿宋_GB2312"/>
          <w:b/>
          <w:bCs/>
          <w:snapToGrid w:val="0"/>
          <w:color w:val="000000"/>
          <w:spacing w:val="4"/>
          <w:kern w:val="0"/>
          <w:sz w:val="32"/>
          <w:szCs w:val="32"/>
        </w:rPr>
        <w:t>四是</w:t>
      </w:r>
      <w:r>
        <w:rPr>
          <w:rFonts w:hint="eastAsia" w:ascii="仿宋_GB2312" w:hAnsi="仿宋_GB2312" w:eastAsia="仿宋_GB2312" w:cs="仿宋_GB2312"/>
          <w:snapToGrid w:val="0"/>
          <w:color w:val="000000"/>
          <w:spacing w:val="4"/>
          <w:kern w:val="0"/>
          <w:sz w:val="32"/>
          <w:szCs w:val="32"/>
        </w:rPr>
        <w:t>利用爱鸟周、野生动物保护日、国家公园成立日等特殊节点，开展系列主题宣传活动，发放保护宣传品，凝聚保护共识。</w:t>
      </w:r>
    </w:p>
    <w:p w14:paraId="0791072F">
      <w:pPr>
        <w:pStyle w:val="11"/>
        <w:spacing w:line="576" w:lineRule="exact"/>
        <w:ind w:firstLine="643"/>
        <w:rPr>
          <w:rFonts w:hint="eastAsia" w:ascii="仿宋_GB2312" w:hAnsi="仿宋_GB2312" w:eastAsia="仿宋_GB2312" w:cs="仿宋_GB2312"/>
          <w:b/>
          <w:bCs/>
          <w:snapToGrid w:val="0"/>
          <w:color w:val="000000"/>
          <w:spacing w:val="4"/>
          <w:kern w:val="0"/>
          <w:sz w:val="32"/>
          <w:szCs w:val="32"/>
        </w:rPr>
      </w:pPr>
      <w:r>
        <w:rPr>
          <w:rFonts w:hint="eastAsia" w:ascii="仿宋_GB2312" w:hAnsi="仿宋_GB2312" w:eastAsia="仿宋_GB2312" w:cs="仿宋_GB2312"/>
          <w:b/>
          <w:bCs/>
          <w:color w:val="000000"/>
          <w:sz w:val="32"/>
          <w:szCs w:val="32"/>
        </w:rPr>
        <w:t>（</w:t>
      </w:r>
      <w:r>
        <w:rPr>
          <w:rFonts w:hint="eastAsia" w:ascii="仿宋_GB2312" w:hAnsi="仿宋_GB2312" w:eastAsia="仿宋_GB2312" w:cs="仿宋_GB2312"/>
          <w:b/>
          <w:bCs/>
          <w:color w:val="000000"/>
          <w:sz w:val="32"/>
          <w:szCs w:val="32"/>
          <w:lang w:val="en-US" w:eastAsia="zh-CN"/>
        </w:rPr>
        <w:t>6</w:t>
      </w:r>
      <w:r>
        <w:rPr>
          <w:rFonts w:hint="eastAsia" w:ascii="仿宋_GB2312" w:hAnsi="仿宋_GB2312" w:eastAsia="仿宋_GB2312" w:cs="仿宋_GB2312"/>
          <w:b/>
          <w:bCs/>
          <w:color w:val="000000"/>
          <w:sz w:val="32"/>
          <w:szCs w:val="32"/>
        </w:rPr>
        <w:t>）</w:t>
      </w:r>
      <w:r>
        <w:rPr>
          <w:rFonts w:hint="eastAsia" w:ascii="楷体_GB2312" w:hAnsi="楷体_GB2312" w:eastAsia="楷体_GB2312" w:cs="楷体_GB2312"/>
          <w:b/>
          <w:bCs/>
          <w:color w:val="000000"/>
          <w:sz w:val="32"/>
          <w:szCs w:val="32"/>
        </w:rPr>
        <w:t>开展指导培训，强化项目申报监管。</w:t>
      </w:r>
      <w:r>
        <w:rPr>
          <w:rFonts w:hint="eastAsia" w:ascii="仿宋_GB2312" w:hAnsi="仿宋_GB2312" w:eastAsia="仿宋_GB2312" w:cs="仿宋_GB2312"/>
          <w:b/>
          <w:bCs/>
          <w:snapToGrid w:val="0"/>
          <w:color w:val="000000"/>
          <w:spacing w:val="4"/>
          <w:kern w:val="0"/>
          <w:sz w:val="32"/>
          <w:szCs w:val="32"/>
        </w:rPr>
        <w:t>一是</w:t>
      </w:r>
      <w:r>
        <w:rPr>
          <w:rFonts w:hint="eastAsia" w:ascii="仿宋_GB2312" w:hAnsi="仿宋_GB2312" w:eastAsia="仿宋_GB2312" w:cs="仿宋_GB2312"/>
          <w:snapToGrid w:val="0"/>
          <w:color w:val="000000"/>
          <w:spacing w:val="4"/>
          <w:kern w:val="0"/>
          <w:sz w:val="32"/>
          <w:szCs w:val="32"/>
        </w:rPr>
        <w:t>组织四县管理总站开展项目申报培训，提升项目申报科学性，提高项目入库率。</w:t>
      </w:r>
      <w:r>
        <w:rPr>
          <w:rFonts w:hint="eastAsia" w:ascii="仿宋_GB2312" w:hAnsi="仿宋_GB2312" w:eastAsia="仿宋_GB2312" w:cs="仿宋_GB2312"/>
          <w:b/>
          <w:bCs/>
          <w:snapToGrid w:val="0"/>
          <w:color w:val="000000"/>
          <w:spacing w:val="4"/>
          <w:kern w:val="0"/>
          <w:sz w:val="32"/>
          <w:szCs w:val="32"/>
        </w:rPr>
        <w:t>二是</w:t>
      </w:r>
      <w:r>
        <w:rPr>
          <w:rFonts w:hint="eastAsia" w:ascii="仿宋_GB2312" w:hAnsi="仿宋_GB2312" w:eastAsia="仿宋_GB2312" w:cs="仿宋_GB2312"/>
          <w:snapToGrid w:val="0"/>
          <w:color w:val="000000"/>
          <w:spacing w:val="4"/>
          <w:kern w:val="0"/>
          <w:sz w:val="32"/>
          <w:szCs w:val="32"/>
        </w:rPr>
        <w:t>指导和监督四个管理总站做实前期工作，通过竞争，把资金分配到有积极性、推进有力、建设质量较好的单位，提高项目建设质量。</w:t>
      </w:r>
      <w:r>
        <w:rPr>
          <w:rFonts w:hint="eastAsia" w:ascii="仿宋_GB2312" w:hAnsi="仿宋_GB2312" w:eastAsia="仿宋_GB2312" w:cs="仿宋_GB2312"/>
          <w:b/>
          <w:bCs/>
          <w:snapToGrid w:val="0"/>
          <w:color w:val="000000"/>
          <w:spacing w:val="4"/>
          <w:kern w:val="0"/>
          <w:sz w:val="32"/>
          <w:szCs w:val="32"/>
        </w:rPr>
        <w:t>三是</w:t>
      </w:r>
      <w:r>
        <w:rPr>
          <w:rFonts w:hint="eastAsia" w:ascii="仿宋_GB2312" w:hAnsi="仿宋_GB2312" w:eastAsia="仿宋_GB2312" w:cs="仿宋_GB2312"/>
          <w:snapToGrid w:val="0"/>
          <w:color w:val="000000"/>
          <w:spacing w:val="4"/>
          <w:kern w:val="0"/>
          <w:sz w:val="32"/>
          <w:szCs w:val="32"/>
        </w:rPr>
        <w:t>强化项目建设监管，从项目申报、要件办理、施工进度、质量把控、固定资产移交等方面进行“事前、事中、事后”全过程监管，提升项目建设质效。</w:t>
      </w:r>
    </w:p>
    <w:p w14:paraId="3B1A8AA6">
      <w:pPr>
        <w:pStyle w:val="11"/>
        <w:keepNext w:val="0"/>
        <w:keepLines w:val="0"/>
        <w:pageBreakBefore w:val="0"/>
        <w:kinsoku/>
        <w:wordWrap/>
        <w:overflowPunct/>
        <w:topLinePunct w:val="0"/>
        <w:autoSpaceDE/>
        <w:autoSpaceDN/>
        <w:bidi w:val="0"/>
        <w:spacing w:line="560" w:lineRule="exact"/>
        <w:ind w:firstLine="656"/>
        <w:textAlignment w:val="auto"/>
        <w:rPr>
          <w:rFonts w:hint="eastAsia" w:ascii="仿宋_GB2312" w:hAnsi="仿宋_GB2312" w:eastAsia="仿宋_GB2312" w:cs="仿宋_GB2312"/>
          <w:snapToGrid w:val="0"/>
          <w:color w:val="000000"/>
          <w:spacing w:val="4"/>
          <w:kern w:val="0"/>
          <w:sz w:val="32"/>
          <w:szCs w:val="32"/>
        </w:rPr>
      </w:pPr>
      <w:r>
        <w:rPr>
          <w:rFonts w:hint="eastAsia" w:ascii="仿宋_GB2312" w:hAnsi="仿宋_GB2312" w:eastAsia="仿宋_GB2312" w:cs="仿宋_GB2312"/>
          <w:b/>
          <w:bCs/>
          <w:snapToGrid w:val="0"/>
          <w:color w:val="000000"/>
          <w:spacing w:val="4"/>
          <w:kern w:val="0"/>
          <w:sz w:val="32"/>
          <w:szCs w:val="32"/>
        </w:rPr>
        <w:t>重点项目</w:t>
      </w:r>
      <w:r>
        <w:rPr>
          <w:rFonts w:hint="eastAsia" w:ascii="仿宋_GB2312" w:hAnsi="仿宋_GB2312" w:eastAsia="仿宋_GB2312" w:cs="仿宋_GB2312"/>
          <w:b/>
          <w:bCs/>
          <w:snapToGrid w:val="0"/>
          <w:color w:val="000000"/>
          <w:spacing w:val="4"/>
          <w:kern w:val="0"/>
          <w:sz w:val="32"/>
          <w:szCs w:val="32"/>
          <w:lang w:eastAsia="zh-CN"/>
        </w:rPr>
        <w:t>：</w:t>
      </w:r>
      <w:r>
        <w:rPr>
          <w:rFonts w:hint="eastAsia" w:ascii="仿宋_GB2312" w:hAnsi="仿宋_GB2312" w:eastAsia="仿宋_GB2312" w:cs="仿宋_GB2312"/>
          <w:snapToGrid w:val="0"/>
          <w:color w:val="000000"/>
          <w:spacing w:val="4"/>
          <w:kern w:val="0"/>
          <w:sz w:val="32"/>
          <w:szCs w:val="32"/>
        </w:rPr>
        <w:t>2025年，大熊猫国家公园阿坝管理分局在汶川、茂县、松潘、九寨沟四县，将持续加强基础设施建设、生态系统保护修复、国家公园协调发展、国家公园管理、保护科研和科普宣教等项目建设工作。2025年，拟续建项目9个，总投资5996万元；新开工项目1</w:t>
      </w:r>
      <w:r>
        <w:rPr>
          <w:rFonts w:hint="eastAsia" w:ascii="仿宋_GB2312" w:hAnsi="仿宋_GB2312" w:eastAsia="仿宋_GB2312" w:cs="仿宋_GB2312"/>
          <w:snapToGrid w:val="0"/>
          <w:color w:val="000000"/>
          <w:spacing w:val="4"/>
          <w:kern w:val="0"/>
          <w:sz w:val="32"/>
          <w:szCs w:val="32"/>
          <w:lang w:val="en-US" w:eastAsia="zh-CN"/>
        </w:rPr>
        <w:t>7</w:t>
      </w:r>
      <w:r>
        <w:rPr>
          <w:rFonts w:hint="eastAsia" w:ascii="仿宋_GB2312" w:hAnsi="仿宋_GB2312" w:eastAsia="仿宋_GB2312" w:cs="仿宋_GB2312"/>
          <w:snapToGrid w:val="0"/>
          <w:color w:val="000000"/>
          <w:spacing w:val="4"/>
          <w:kern w:val="0"/>
          <w:sz w:val="32"/>
          <w:szCs w:val="32"/>
        </w:rPr>
        <w:t>个，总投资5308万元；储备申报项目</w:t>
      </w:r>
      <w:r>
        <w:rPr>
          <w:rFonts w:hint="eastAsia" w:ascii="仿宋_GB2312" w:hAnsi="仿宋_GB2312" w:eastAsia="仿宋_GB2312" w:cs="仿宋_GB2312"/>
          <w:snapToGrid w:val="0"/>
          <w:color w:val="000000"/>
          <w:spacing w:val="4"/>
          <w:kern w:val="0"/>
          <w:sz w:val="32"/>
          <w:szCs w:val="32"/>
          <w:lang w:val="en-US" w:eastAsia="zh-CN"/>
        </w:rPr>
        <w:t>16</w:t>
      </w:r>
      <w:r>
        <w:rPr>
          <w:rFonts w:hint="eastAsia" w:ascii="仿宋_GB2312" w:hAnsi="仿宋_GB2312" w:eastAsia="仿宋_GB2312" w:cs="仿宋_GB2312"/>
          <w:snapToGrid w:val="0"/>
          <w:color w:val="000000"/>
          <w:spacing w:val="4"/>
          <w:kern w:val="0"/>
          <w:sz w:val="32"/>
          <w:szCs w:val="32"/>
        </w:rPr>
        <w:t>个，总投资</w:t>
      </w:r>
      <w:r>
        <w:rPr>
          <w:rFonts w:hint="eastAsia" w:ascii="仿宋_GB2312" w:hAnsi="仿宋_GB2312" w:eastAsia="仿宋_GB2312" w:cs="仿宋_GB2312"/>
          <w:snapToGrid w:val="0"/>
          <w:color w:val="000000"/>
          <w:spacing w:val="4"/>
          <w:kern w:val="0"/>
          <w:sz w:val="32"/>
          <w:szCs w:val="32"/>
          <w:lang w:val="en-US" w:eastAsia="zh-CN"/>
        </w:rPr>
        <w:t>16809</w:t>
      </w:r>
      <w:r>
        <w:rPr>
          <w:rFonts w:hint="eastAsia" w:ascii="仿宋_GB2312" w:hAnsi="仿宋_GB2312" w:eastAsia="仿宋_GB2312" w:cs="仿宋_GB2312"/>
          <w:snapToGrid w:val="0"/>
          <w:color w:val="000000"/>
          <w:spacing w:val="4"/>
          <w:kern w:val="0"/>
          <w:sz w:val="32"/>
          <w:szCs w:val="32"/>
        </w:rPr>
        <w:t>万元。</w:t>
      </w:r>
    </w:p>
    <w:p w14:paraId="34DFA9C0">
      <w:pPr>
        <w:pStyle w:val="11"/>
        <w:keepNext w:val="0"/>
        <w:keepLines w:val="0"/>
        <w:pageBreakBefore w:val="0"/>
        <w:numPr>
          <w:ilvl w:val="0"/>
          <w:numId w:val="1"/>
        </w:numPr>
        <w:kinsoku/>
        <w:wordWrap/>
        <w:overflowPunct/>
        <w:topLinePunct w:val="0"/>
        <w:autoSpaceDE/>
        <w:autoSpaceDN/>
        <w:bidi w:val="0"/>
        <w:spacing w:line="560" w:lineRule="exact"/>
        <w:ind w:firstLineChars="0"/>
        <w:textAlignment w:val="auto"/>
        <w:rPr>
          <w:rFonts w:ascii="黑体" w:eastAsia="黑体"/>
          <w:sz w:val="32"/>
          <w:szCs w:val="32"/>
        </w:rPr>
      </w:pPr>
      <w:r>
        <w:rPr>
          <w:rFonts w:hint="eastAsia" w:ascii="黑体" w:eastAsia="黑体"/>
          <w:sz w:val="32"/>
          <w:szCs w:val="32"/>
        </w:rPr>
        <w:t>部门预算单位构成</w:t>
      </w:r>
    </w:p>
    <w:p w14:paraId="28171935">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ascii="仿宋_GB2312" w:hAnsi="仿宋" w:eastAsia="仿宋_GB2312"/>
          <w:color w:val="000000"/>
          <w:sz w:val="32"/>
          <w:szCs w:val="32"/>
        </w:rPr>
      </w:pPr>
      <w:r>
        <w:rPr>
          <w:rFonts w:hint="eastAsia" w:ascii="仿宋_GB2312" w:hAnsi="仿宋" w:eastAsia="仿宋_GB2312"/>
          <w:color w:val="000000" w:themeColor="text1"/>
          <w:sz w:val="32"/>
          <w:szCs w:val="32"/>
          <w14:textFill>
            <w14:solidFill>
              <w14:schemeClr w14:val="tx1"/>
            </w14:solidFill>
          </w14:textFill>
        </w:rPr>
        <w:t>大熊猫国家公园阿坝管理分局属一级预算单位，无下属二级预算单位</w:t>
      </w:r>
      <w:r>
        <w:rPr>
          <w:rFonts w:ascii="仿宋_GB2312" w:hAnsi="Times New Roman" w:eastAsia="仿宋_GB2312" w:cs="Times New Roman"/>
          <w:color w:val="333333"/>
          <w:kern w:val="0"/>
          <w:sz w:val="32"/>
          <w:szCs w:val="32"/>
        </w:rPr>
        <w:t>。</w:t>
      </w:r>
      <w:r>
        <w:rPr>
          <w:rFonts w:hint="eastAsia" w:ascii="仿宋_GB2312" w:hAnsi="Times New Roman" w:eastAsia="仿宋_GB2312" w:cs="Times New Roman"/>
          <w:color w:val="333333"/>
          <w:kern w:val="0"/>
          <w:sz w:val="32"/>
          <w:szCs w:val="32"/>
          <w:lang w:val="en-US" w:eastAsia="zh-CN"/>
        </w:rPr>
        <w:t>单位</w:t>
      </w:r>
      <w:r>
        <w:rPr>
          <w:rFonts w:hint="eastAsia" w:ascii="仿宋_GB2312" w:hAnsi="仿宋" w:eastAsia="仿宋_GB2312"/>
          <w:color w:val="000000" w:themeColor="text1"/>
          <w:sz w:val="32"/>
          <w:szCs w:val="32"/>
          <w14:textFill>
            <w14:solidFill>
              <w14:schemeClr w14:val="tx1"/>
            </w14:solidFill>
          </w14:textFill>
        </w:rPr>
        <w:t>内设机构7个,</w:t>
      </w:r>
      <w:r>
        <w:rPr>
          <w:rFonts w:hint="eastAsia" w:ascii="仿宋_GB2312" w:hAnsi="楷体_GB2312" w:eastAsia="仿宋_GB2312"/>
          <w:bCs/>
          <w:color w:val="000000" w:themeColor="text1"/>
          <w:sz w:val="32"/>
          <w:szCs w:val="32"/>
          <w14:textFill>
            <w14:solidFill>
              <w14:schemeClr w14:val="tx1"/>
            </w14:solidFill>
          </w14:textFill>
        </w:rPr>
        <w:t xml:space="preserve"> 办公室、</w:t>
      </w:r>
      <w:r>
        <w:rPr>
          <w:rFonts w:hint="eastAsia" w:ascii="仿宋_GB2312" w:eastAsia="仿宋_GB2312"/>
          <w:bCs/>
          <w:color w:val="000000" w:themeColor="text1"/>
          <w:sz w:val="32"/>
          <w:szCs w:val="32"/>
          <w14:textFill>
            <w14:solidFill>
              <w14:schemeClr w14:val="tx1"/>
            </w14:solidFill>
          </w14:textFill>
        </w:rPr>
        <w:t>野生动植物保护部、</w:t>
      </w:r>
      <w:r>
        <w:rPr>
          <w:rFonts w:hint="eastAsia" w:ascii="仿宋_GB2312" w:hAnsi="楷体_GB2312" w:eastAsia="仿宋_GB2312"/>
          <w:bCs/>
          <w:color w:val="000000" w:themeColor="text1"/>
          <w:sz w:val="32"/>
          <w:szCs w:val="32"/>
          <w14:textFill>
            <w14:solidFill>
              <w14:schemeClr w14:val="tx1"/>
            </w14:solidFill>
          </w14:textFill>
        </w:rPr>
        <w:t>栖息地保护部、科研教育部、社会协调发展部、法规督查部、建设管理部</w:t>
      </w:r>
      <w:r>
        <w:rPr>
          <w:rFonts w:hint="eastAsia" w:ascii="仿宋_GB2312" w:hAnsi="仿宋" w:eastAsia="仿宋_GB2312"/>
          <w:color w:val="000000" w:themeColor="text1"/>
          <w:sz w:val="32"/>
          <w:szCs w:val="32"/>
          <w14:textFill>
            <w14:solidFill>
              <w14:schemeClr w14:val="tx1"/>
            </w14:solidFill>
          </w14:textFill>
        </w:rPr>
        <w:t>。根据</w:t>
      </w:r>
      <w:r>
        <w:rPr>
          <w:rFonts w:hint="eastAsia" w:ascii="仿宋_GB2312" w:hAnsi="Calibri" w:eastAsia="仿宋_GB2312" w:cs="Calibri"/>
          <w:color w:val="333333"/>
          <w:kern w:val="0"/>
          <w:sz w:val="32"/>
          <w:szCs w:val="32"/>
        </w:rPr>
        <w:t>《中共阿坝州委机构编制委员会关于调整</w:t>
      </w:r>
      <w:r>
        <w:rPr>
          <w:rFonts w:hint="eastAsia" w:ascii="仿宋_GB2312" w:hAnsi="Calibri" w:eastAsia="仿宋_GB2312" w:cs="Calibri"/>
          <w:color w:val="333333"/>
          <w:kern w:val="0"/>
          <w:sz w:val="32"/>
          <w:szCs w:val="32"/>
          <w:lang w:val="en-US" w:eastAsia="zh-CN"/>
        </w:rPr>
        <w:t>大熊猫国家公园阿坝管理分局</w:t>
      </w:r>
      <w:r>
        <w:rPr>
          <w:rFonts w:hint="eastAsia" w:ascii="仿宋_GB2312" w:hAnsi="Calibri" w:eastAsia="仿宋_GB2312" w:cs="Calibri"/>
          <w:color w:val="333333"/>
          <w:kern w:val="0"/>
          <w:sz w:val="32"/>
          <w:szCs w:val="32"/>
        </w:rPr>
        <w:t>有关机构编制事项的</w:t>
      </w:r>
      <w:r>
        <w:rPr>
          <w:rFonts w:hint="eastAsia" w:ascii="仿宋_GB2312" w:eastAsia="仿宋_GB2312" w:cs="Calibri"/>
          <w:color w:val="333333"/>
          <w:kern w:val="0"/>
          <w:sz w:val="32"/>
          <w:szCs w:val="32"/>
          <w:lang w:val="en-US" w:eastAsia="zh-CN"/>
        </w:rPr>
        <w:t>批复</w:t>
      </w:r>
      <w:r>
        <w:rPr>
          <w:rFonts w:hint="eastAsia" w:ascii="仿宋_GB2312" w:hAnsi="Calibri" w:eastAsia="仿宋_GB2312" w:cs="Calibri"/>
          <w:color w:val="333333"/>
          <w:kern w:val="0"/>
          <w:sz w:val="32"/>
          <w:szCs w:val="32"/>
        </w:rPr>
        <w:t>》（阿编发〔</w:t>
      </w:r>
      <w:r>
        <w:rPr>
          <w:rFonts w:ascii="Times New Roman" w:hAnsi="Times New Roman" w:eastAsia="宋体" w:cs="Times New Roman"/>
          <w:color w:val="333333"/>
          <w:kern w:val="0"/>
          <w:sz w:val="32"/>
          <w:szCs w:val="32"/>
        </w:rPr>
        <w:t>20</w:t>
      </w:r>
      <w:r>
        <w:rPr>
          <w:rFonts w:hint="eastAsia" w:ascii="Times New Roman" w:hAnsi="Times New Roman" w:cs="Times New Roman"/>
          <w:color w:val="333333"/>
          <w:kern w:val="0"/>
          <w:sz w:val="32"/>
          <w:szCs w:val="32"/>
          <w:lang w:val="en-US" w:eastAsia="zh-CN"/>
        </w:rPr>
        <w:t>20</w:t>
      </w:r>
      <w:r>
        <w:rPr>
          <w:rFonts w:hint="eastAsia" w:ascii="仿宋_GB2312" w:hAnsi="Calibri" w:eastAsia="仿宋_GB2312" w:cs="Calibri"/>
          <w:color w:val="333333"/>
          <w:kern w:val="0"/>
          <w:sz w:val="32"/>
          <w:szCs w:val="32"/>
        </w:rPr>
        <w:t>〕</w:t>
      </w:r>
      <w:r>
        <w:rPr>
          <w:rFonts w:hint="eastAsia" w:ascii="Times New Roman" w:hAnsi="Times New Roman" w:eastAsia="仿宋_GB2312" w:cs="Times New Roman"/>
          <w:color w:val="333333"/>
          <w:kern w:val="0"/>
          <w:sz w:val="32"/>
          <w:szCs w:val="32"/>
          <w:lang w:val="en-US" w:eastAsia="zh-CN"/>
        </w:rPr>
        <w:t>12</w:t>
      </w:r>
      <w:r>
        <w:rPr>
          <w:rFonts w:ascii="仿宋_GB2312" w:hAnsi="Times New Roman" w:eastAsia="仿宋_GB2312" w:cs="Times New Roman"/>
          <w:color w:val="333333"/>
          <w:kern w:val="0"/>
          <w:sz w:val="32"/>
          <w:szCs w:val="32"/>
        </w:rPr>
        <w:t>号</w:t>
      </w:r>
      <w:r>
        <w:rPr>
          <w:rFonts w:hint="eastAsia" w:ascii="仿宋_GB2312" w:hAnsi="Calibri" w:eastAsia="仿宋_GB2312" w:cs="Calibri"/>
          <w:color w:val="333333"/>
          <w:kern w:val="0"/>
          <w:sz w:val="32"/>
          <w:szCs w:val="32"/>
        </w:rPr>
        <w:t>）《中共阿坝州委机构编制委员会关于调整</w:t>
      </w:r>
      <w:r>
        <w:rPr>
          <w:rFonts w:hint="eastAsia" w:ascii="仿宋_GB2312" w:hAnsi="Calibri" w:eastAsia="仿宋_GB2312" w:cs="Calibri"/>
          <w:color w:val="333333"/>
          <w:kern w:val="0"/>
          <w:sz w:val="32"/>
          <w:szCs w:val="32"/>
          <w:lang w:val="en-US" w:eastAsia="zh-CN"/>
        </w:rPr>
        <w:t>大熊猫国家公园阿坝管理分局</w:t>
      </w:r>
      <w:r>
        <w:rPr>
          <w:rFonts w:hint="eastAsia" w:ascii="仿宋_GB2312" w:hAnsi="Calibri" w:eastAsia="仿宋_GB2312" w:cs="Calibri"/>
          <w:color w:val="333333"/>
          <w:kern w:val="0"/>
          <w:sz w:val="32"/>
          <w:szCs w:val="32"/>
        </w:rPr>
        <w:t>有关机构编制事项的</w:t>
      </w:r>
      <w:r>
        <w:rPr>
          <w:rFonts w:hint="eastAsia" w:ascii="仿宋_GB2312" w:hAnsi="Calibri" w:eastAsia="仿宋_GB2312" w:cs="Calibri"/>
          <w:color w:val="333333"/>
          <w:kern w:val="0"/>
          <w:sz w:val="32"/>
          <w:szCs w:val="32"/>
          <w:lang w:val="en-US" w:eastAsia="zh-CN"/>
        </w:rPr>
        <w:t>通知</w:t>
      </w:r>
      <w:r>
        <w:rPr>
          <w:rFonts w:hint="eastAsia" w:ascii="仿宋_GB2312" w:hAnsi="Calibri" w:eastAsia="仿宋_GB2312" w:cs="Calibri"/>
          <w:color w:val="333333"/>
          <w:kern w:val="0"/>
          <w:sz w:val="32"/>
          <w:szCs w:val="32"/>
        </w:rPr>
        <w:t>》（阿编发〔</w:t>
      </w:r>
      <w:r>
        <w:rPr>
          <w:rFonts w:ascii="Times New Roman" w:hAnsi="Times New Roman" w:eastAsia="宋体" w:cs="Times New Roman"/>
          <w:color w:val="333333"/>
          <w:kern w:val="0"/>
          <w:sz w:val="32"/>
          <w:szCs w:val="32"/>
        </w:rPr>
        <w:t>20</w:t>
      </w:r>
      <w:r>
        <w:rPr>
          <w:rFonts w:hint="eastAsia" w:ascii="Times New Roman" w:hAnsi="Times New Roman" w:eastAsia="仿宋_GB2312" w:cs="Times New Roman"/>
          <w:color w:val="333333"/>
          <w:kern w:val="0"/>
          <w:sz w:val="32"/>
          <w:szCs w:val="32"/>
        </w:rPr>
        <w:t>19</w:t>
      </w:r>
      <w:r>
        <w:rPr>
          <w:rFonts w:hint="eastAsia" w:ascii="仿宋_GB2312" w:hAnsi="Calibri" w:eastAsia="仿宋_GB2312" w:cs="Calibri"/>
          <w:color w:val="333333"/>
          <w:kern w:val="0"/>
          <w:sz w:val="32"/>
          <w:szCs w:val="32"/>
        </w:rPr>
        <w:t>〕</w:t>
      </w:r>
      <w:r>
        <w:rPr>
          <w:rFonts w:hint="eastAsia" w:ascii="Times New Roman" w:hAnsi="Times New Roman" w:eastAsia="仿宋_GB2312" w:cs="Times New Roman"/>
          <w:color w:val="333333"/>
          <w:kern w:val="0"/>
          <w:sz w:val="32"/>
          <w:szCs w:val="32"/>
          <w:lang w:val="en-US" w:eastAsia="zh-CN"/>
        </w:rPr>
        <w:t>3</w:t>
      </w:r>
      <w:r>
        <w:rPr>
          <w:rFonts w:hint="eastAsia" w:ascii="Times New Roman" w:hAnsi="Times New Roman" w:eastAsia="仿宋_GB2312" w:cs="Times New Roman"/>
          <w:color w:val="333333"/>
          <w:kern w:val="0"/>
          <w:sz w:val="32"/>
          <w:szCs w:val="32"/>
        </w:rPr>
        <w:t>6</w:t>
      </w:r>
      <w:r>
        <w:rPr>
          <w:rFonts w:ascii="仿宋_GB2312" w:hAnsi="Times New Roman" w:eastAsia="仿宋_GB2312" w:cs="Times New Roman"/>
          <w:color w:val="333333"/>
          <w:kern w:val="0"/>
          <w:sz w:val="32"/>
          <w:szCs w:val="32"/>
        </w:rPr>
        <w:t>号</w:t>
      </w:r>
      <w:r>
        <w:rPr>
          <w:rFonts w:hint="eastAsia" w:ascii="仿宋_GB2312" w:hAnsi="Calibri" w:eastAsia="仿宋_GB2312" w:cs="Calibri"/>
          <w:color w:val="333333"/>
          <w:kern w:val="0"/>
          <w:sz w:val="32"/>
          <w:szCs w:val="32"/>
        </w:rPr>
        <w:t>）</w:t>
      </w:r>
      <w:r>
        <w:rPr>
          <w:rFonts w:hint="eastAsia" w:ascii="仿宋_GB2312" w:hAnsi="Calibri" w:eastAsia="仿宋_GB2312" w:cs="Calibri"/>
          <w:color w:val="333333"/>
          <w:kern w:val="0"/>
          <w:sz w:val="32"/>
          <w:szCs w:val="32"/>
          <w:lang w:val="en-US" w:eastAsia="zh-CN"/>
        </w:rPr>
        <w:t>文件</w:t>
      </w:r>
      <w:r>
        <w:rPr>
          <w:rFonts w:hint="eastAsia" w:ascii="仿宋_GB2312" w:eastAsia="仿宋_GB2312" w:cs="Calibri"/>
          <w:color w:val="333333"/>
          <w:kern w:val="0"/>
          <w:sz w:val="32"/>
          <w:szCs w:val="32"/>
          <w:lang w:val="en-US" w:eastAsia="zh-CN"/>
        </w:rPr>
        <w:t>核定</w:t>
      </w:r>
      <w:r>
        <w:rPr>
          <w:rFonts w:hint="eastAsia" w:ascii="仿宋_GB2312" w:hAnsi="仿宋" w:eastAsia="仿宋_GB2312"/>
          <w:color w:val="000000" w:themeColor="text1"/>
          <w:sz w:val="32"/>
          <w:szCs w:val="32"/>
          <w14:textFill>
            <w14:solidFill>
              <w14:schemeClr w14:val="tx1"/>
            </w14:solidFill>
          </w14:textFill>
        </w:rPr>
        <w:t>事业编制24名。</w:t>
      </w:r>
    </w:p>
    <w:p w14:paraId="7F87F590">
      <w:pPr>
        <w:pStyle w:val="11"/>
        <w:keepNext w:val="0"/>
        <w:keepLines w:val="0"/>
        <w:pageBreakBefore w:val="0"/>
        <w:kinsoku/>
        <w:wordWrap/>
        <w:overflowPunct/>
        <w:topLinePunct w:val="0"/>
        <w:autoSpaceDE/>
        <w:autoSpaceDN/>
        <w:bidi w:val="0"/>
        <w:spacing w:line="560" w:lineRule="exact"/>
        <w:ind w:left="720" w:firstLine="0" w:firstLineChars="0"/>
        <w:textAlignment w:val="auto"/>
        <w:rPr>
          <w:rFonts w:ascii="黑体" w:eastAsia="黑体"/>
          <w:sz w:val="32"/>
          <w:szCs w:val="32"/>
        </w:rPr>
      </w:pPr>
      <w:r>
        <w:rPr>
          <w:rFonts w:hint="eastAsia" w:ascii="黑体" w:eastAsia="黑体"/>
          <w:sz w:val="32"/>
          <w:szCs w:val="32"/>
        </w:rPr>
        <w:t>三、收支预算情况说明</w:t>
      </w:r>
    </w:p>
    <w:p w14:paraId="5C307756">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楷体" w:eastAsia="楷体"/>
          <w:b/>
          <w:bCs/>
          <w:sz w:val="32"/>
          <w:szCs w:val="32"/>
        </w:rPr>
      </w:pPr>
      <w:r>
        <w:rPr>
          <w:rFonts w:hint="eastAsia" w:ascii="楷体" w:eastAsia="楷体"/>
          <w:b/>
          <w:bCs/>
          <w:sz w:val="32"/>
          <w:szCs w:val="32"/>
        </w:rPr>
        <w:t>（一）收入预算情况</w:t>
      </w:r>
    </w:p>
    <w:p w14:paraId="68022028">
      <w:pPr>
        <w:keepNext w:val="0"/>
        <w:keepLines w:val="0"/>
        <w:pageBreakBefore w:val="0"/>
        <w:numPr>
          <w:ilvl w:val="0"/>
          <w:numId w:val="0"/>
        </w:numPr>
        <w:kinsoku/>
        <w:wordWrap/>
        <w:overflowPunct/>
        <w:topLinePunct w:val="0"/>
        <w:autoSpaceDE/>
        <w:autoSpaceDN/>
        <w:bidi w:val="0"/>
        <w:spacing w:line="560" w:lineRule="exact"/>
        <w:ind w:leftChars="0" w:firstLine="640" w:firstLineChars="200"/>
        <w:jc w:val="left"/>
        <w:textAlignment w:val="auto"/>
        <w:rPr>
          <w:rFonts w:hint="eastAsia" w:ascii="仿宋_GB2312" w:hAnsi="Times New Roman" w:eastAsia="仿宋_GB2312"/>
          <w:sz w:val="32"/>
          <w:szCs w:val="32"/>
        </w:rPr>
      </w:pPr>
      <w:r>
        <w:rPr>
          <w:rFonts w:hint="eastAsia" w:ascii="仿宋_GB2312" w:hAnsi="Times New Roman" w:eastAsia="仿宋_GB2312"/>
          <w:sz w:val="32"/>
          <w:szCs w:val="32"/>
        </w:rPr>
        <w:t>按</w:t>
      </w:r>
      <w:r>
        <w:rPr>
          <w:rFonts w:hint="eastAsia" w:ascii="仿宋_GB2312" w:hAnsi="Times New Roman" w:eastAsia="仿宋_GB2312"/>
          <w:sz w:val="32"/>
          <w:szCs w:val="32"/>
          <w:lang w:val="en-US" w:eastAsia="zh-CN"/>
        </w:rPr>
        <w:t>规定</w:t>
      </w:r>
      <w:r>
        <w:rPr>
          <w:rFonts w:hint="eastAsia" w:ascii="仿宋_GB2312" w:hAnsi="Times New Roman" w:eastAsia="仿宋_GB2312"/>
          <w:sz w:val="32"/>
          <w:szCs w:val="32"/>
        </w:rPr>
        <w:t>，</w:t>
      </w:r>
      <w:r>
        <w:rPr>
          <w:rFonts w:hint="eastAsia" w:ascii="仿宋_GB2312" w:hAnsi="Times New Roman" w:eastAsia="仿宋_GB2312"/>
          <w:sz w:val="32"/>
          <w:szCs w:val="32"/>
          <w:lang w:val="en-US" w:eastAsia="zh-CN"/>
        </w:rPr>
        <w:t>大熊猫国家公园阿坝管理分局</w:t>
      </w:r>
      <w:r>
        <w:rPr>
          <w:rFonts w:hint="eastAsia" w:ascii="仿宋_GB2312" w:hAnsi="Times New Roman" w:eastAsia="仿宋_GB2312"/>
          <w:sz w:val="32"/>
          <w:szCs w:val="32"/>
        </w:rPr>
        <w:t>所有收入纳入部门预算管理。</w:t>
      </w:r>
      <w:r>
        <w:rPr>
          <w:rFonts w:hint="eastAsia" w:ascii="仿宋_GB2312" w:hAnsi="Times New Roman" w:eastAsia="仿宋_GB2312"/>
          <w:color w:val="000000" w:themeColor="text1"/>
          <w:sz w:val="32"/>
          <w:szCs w:val="32"/>
          <w14:textFill>
            <w14:solidFill>
              <w14:schemeClr w14:val="tx1"/>
            </w14:solidFill>
          </w14:textFill>
        </w:rPr>
        <w:t>202</w:t>
      </w:r>
      <w:r>
        <w:rPr>
          <w:rFonts w:hint="eastAsia" w:ascii="仿宋_GB2312" w:hAnsi="Times New Roman" w:eastAsia="仿宋_GB2312"/>
          <w:color w:val="000000" w:themeColor="text1"/>
          <w:sz w:val="32"/>
          <w:szCs w:val="32"/>
          <w:lang w:val="en-US" w:eastAsia="zh-CN"/>
          <w14:textFill>
            <w14:solidFill>
              <w14:schemeClr w14:val="tx1"/>
            </w14:solidFill>
          </w14:textFill>
        </w:rPr>
        <w:t>5</w:t>
      </w:r>
      <w:r>
        <w:rPr>
          <w:rFonts w:hint="eastAsia" w:ascii="仿宋_GB2312" w:hAnsi="Times New Roman" w:eastAsia="仿宋_GB2312"/>
          <w:sz w:val="32"/>
          <w:szCs w:val="32"/>
        </w:rPr>
        <w:t>年预算收入</w:t>
      </w:r>
      <w:r>
        <w:rPr>
          <w:rFonts w:hint="eastAsia" w:ascii="仿宋_GB2312" w:hAnsi="Times New Roman" w:eastAsia="仿宋_GB2312"/>
          <w:sz w:val="32"/>
          <w:szCs w:val="32"/>
          <w:lang w:val="en-US" w:eastAsia="zh-CN"/>
        </w:rPr>
        <w:t>668.49</w:t>
      </w:r>
      <w:r>
        <w:rPr>
          <w:rFonts w:hint="eastAsia" w:ascii="仿宋_GB2312" w:hAnsi="Times New Roman" w:eastAsia="仿宋_GB2312"/>
          <w:sz w:val="32"/>
          <w:szCs w:val="32"/>
        </w:rPr>
        <w:t>万元，其中：一般公共预算拨款收入</w:t>
      </w:r>
      <w:r>
        <w:rPr>
          <w:rFonts w:hint="eastAsia" w:ascii="仿宋_GB2312" w:hAnsi="Times New Roman" w:eastAsia="仿宋_GB2312"/>
          <w:sz w:val="32"/>
          <w:szCs w:val="32"/>
          <w:lang w:val="en-US" w:eastAsia="zh-CN"/>
        </w:rPr>
        <w:t>668.49</w:t>
      </w:r>
      <w:r>
        <w:rPr>
          <w:rFonts w:hint="eastAsia" w:ascii="仿宋_GB2312" w:hAnsi="Times New Roman" w:eastAsia="仿宋_GB2312"/>
          <w:sz w:val="32"/>
          <w:szCs w:val="32"/>
        </w:rPr>
        <w:t>万元，占100%，事业收入0万元，占0%，其他收入0万元，占0%。</w:t>
      </w:r>
    </w:p>
    <w:p w14:paraId="38B0ED78">
      <w:pPr>
        <w:keepNext w:val="0"/>
        <w:keepLines w:val="0"/>
        <w:pageBreakBefore w:val="0"/>
        <w:numPr>
          <w:ilvl w:val="0"/>
          <w:numId w:val="2"/>
        </w:numPr>
        <w:kinsoku/>
        <w:wordWrap/>
        <w:overflowPunct/>
        <w:topLinePunct w:val="0"/>
        <w:autoSpaceDE/>
        <w:autoSpaceDN/>
        <w:bidi w:val="0"/>
        <w:spacing w:line="560" w:lineRule="exact"/>
        <w:ind w:leftChars="0" w:firstLine="643" w:firstLineChars="200"/>
        <w:jc w:val="left"/>
        <w:textAlignment w:val="auto"/>
        <w:rPr>
          <w:rFonts w:hint="eastAsia" w:ascii="楷体" w:eastAsia="楷体" w:cs="仿宋_GB2312"/>
          <w:b/>
          <w:bCs/>
          <w:sz w:val="32"/>
          <w:szCs w:val="32"/>
        </w:rPr>
      </w:pPr>
      <w:r>
        <w:rPr>
          <w:rFonts w:hint="eastAsia" w:ascii="楷体" w:eastAsia="楷体" w:cs="仿宋_GB2312"/>
          <w:b/>
          <w:bCs/>
          <w:sz w:val="32"/>
          <w:szCs w:val="32"/>
        </w:rPr>
        <w:t>支出预算情况</w:t>
      </w:r>
    </w:p>
    <w:p w14:paraId="6DE25A2D">
      <w:pPr>
        <w:pStyle w:val="2"/>
        <w:keepNext w:val="0"/>
        <w:keepLines w:val="0"/>
        <w:pageBreakBefore w:val="0"/>
        <w:numPr>
          <w:ilvl w:val="0"/>
          <w:numId w:val="0"/>
        </w:numPr>
        <w:kinsoku/>
        <w:wordWrap/>
        <w:overflowPunct/>
        <w:topLinePunct w:val="0"/>
        <w:autoSpaceDE/>
        <w:autoSpaceDN/>
        <w:bidi w:val="0"/>
        <w:spacing w:line="560" w:lineRule="exact"/>
        <w:ind w:left="200" w:leftChars="0" w:firstLine="640" w:firstLineChars="200"/>
        <w:textAlignment w:val="auto"/>
      </w:pPr>
      <w:r>
        <w:rPr>
          <w:rFonts w:hint="eastAsia" w:ascii="仿宋_GB2312" w:hAnsi="Times New Roman" w:eastAsia="仿宋_GB2312"/>
          <w:sz w:val="32"/>
          <w:szCs w:val="32"/>
          <w:lang w:val="en-US" w:eastAsia="zh-CN"/>
        </w:rPr>
        <w:t>大熊猫国家公园阿坝管理分局</w:t>
      </w:r>
      <w:r>
        <w:rPr>
          <w:rFonts w:hint="eastAsia" w:ascii="仿宋_GB2312" w:hAnsi="Times New Roman" w:eastAsia="仿宋_GB2312"/>
          <w:sz w:val="32"/>
          <w:szCs w:val="32"/>
        </w:rPr>
        <w:t>202</w:t>
      </w:r>
      <w:r>
        <w:rPr>
          <w:rFonts w:hint="eastAsia" w:ascii="仿宋_GB2312" w:hAnsi="Times New Roman" w:eastAsia="仿宋_GB2312"/>
          <w:sz w:val="32"/>
          <w:szCs w:val="32"/>
          <w:lang w:val="en-US" w:eastAsia="zh-CN"/>
        </w:rPr>
        <w:t>5</w:t>
      </w:r>
      <w:r>
        <w:rPr>
          <w:rFonts w:hint="eastAsia" w:ascii="仿宋_GB2312" w:hAnsi="Times New Roman" w:eastAsia="仿宋_GB2312"/>
          <w:sz w:val="32"/>
          <w:szCs w:val="32"/>
        </w:rPr>
        <w:t>年支出预算</w:t>
      </w:r>
      <w:r>
        <w:rPr>
          <w:rFonts w:hint="eastAsia" w:ascii="仿宋_GB2312" w:hAnsi="Times New Roman" w:eastAsia="仿宋_GB2312"/>
          <w:sz w:val="32"/>
          <w:szCs w:val="32"/>
          <w:lang w:val="en-US" w:eastAsia="zh-CN"/>
        </w:rPr>
        <w:t>668.49</w:t>
      </w:r>
      <w:r>
        <w:rPr>
          <w:rFonts w:hint="eastAsia" w:ascii="仿宋_GB2312" w:hAnsi="Times New Roman" w:eastAsia="仿宋_GB2312"/>
          <w:sz w:val="32"/>
          <w:szCs w:val="32"/>
        </w:rPr>
        <w:t>万元，</w:t>
      </w:r>
      <w:r>
        <w:rPr>
          <w:rFonts w:ascii="仿宋_GB2312" w:hAnsi="Times New Roman" w:eastAsia="仿宋_GB2312" w:cs="Times New Roman"/>
          <w:color w:val="333333"/>
          <w:kern w:val="0"/>
          <w:sz w:val="32"/>
          <w:szCs w:val="32"/>
        </w:rPr>
        <w:t>社会保障和就业支出</w:t>
      </w:r>
      <w:r>
        <w:rPr>
          <w:rFonts w:hint="eastAsia" w:ascii="Times New Roman" w:hAnsi="Times New Roman" w:eastAsia="微软雅黑" w:cs="Times New Roman"/>
          <w:color w:val="333333"/>
          <w:kern w:val="0"/>
          <w:sz w:val="32"/>
          <w:szCs w:val="32"/>
          <w:lang w:val="en-US" w:eastAsia="zh-CN"/>
        </w:rPr>
        <w:t>78.13</w:t>
      </w:r>
      <w:r>
        <w:rPr>
          <w:rFonts w:ascii="仿宋_GB2312" w:hAnsi="Times New Roman" w:eastAsia="仿宋_GB2312" w:cs="Times New Roman"/>
          <w:color w:val="333333"/>
          <w:kern w:val="0"/>
          <w:sz w:val="32"/>
          <w:szCs w:val="32"/>
        </w:rPr>
        <w:t>万元；医疗卫生与计划支出</w:t>
      </w:r>
      <w:r>
        <w:rPr>
          <w:rFonts w:hint="eastAsia" w:ascii="Times New Roman" w:hAnsi="Times New Roman" w:eastAsia="微软雅黑" w:cs="Times New Roman"/>
          <w:color w:val="333333"/>
          <w:kern w:val="0"/>
          <w:sz w:val="32"/>
          <w:szCs w:val="32"/>
          <w:lang w:val="en-US" w:eastAsia="zh-CN"/>
        </w:rPr>
        <w:t>32.07</w:t>
      </w:r>
      <w:r>
        <w:rPr>
          <w:rFonts w:ascii="仿宋_GB2312" w:hAnsi="Times New Roman" w:eastAsia="仿宋_GB2312" w:cs="Times New Roman"/>
          <w:color w:val="333333"/>
          <w:kern w:val="0"/>
          <w:sz w:val="32"/>
          <w:szCs w:val="32"/>
        </w:rPr>
        <w:t>万元；农林水支出</w:t>
      </w:r>
      <w:r>
        <w:rPr>
          <w:rFonts w:hint="eastAsia" w:ascii="Times New Roman" w:hAnsi="Times New Roman" w:eastAsia="微软雅黑" w:cs="Times New Roman"/>
          <w:color w:val="333333"/>
          <w:kern w:val="0"/>
          <w:sz w:val="32"/>
          <w:szCs w:val="32"/>
          <w:lang w:val="en-US" w:eastAsia="zh-CN"/>
        </w:rPr>
        <w:t>512.08</w:t>
      </w:r>
      <w:r>
        <w:rPr>
          <w:rFonts w:ascii="仿宋_GB2312" w:hAnsi="Times New Roman" w:eastAsia="仿宋_GB2312" w:cs="Times New Roman"/>
          <w:color w:val="333333"/>
          <w:kern w:val="0"/>
          <w:sz w:val="32"/>
          <w:szCs w:val="32"/>
        </w:rPr>
        <w:t>万元；住房保障支出</w:t>
      </w:r>
      <w:r>
        <w:rPr>
          <w:rFonts w:hint="eastAsia" w:ascii="Times New Roman" w:hAnsi="Times New Roman" w:eastAsia="微软雅黑" w:cs="Times New Roman"/>
          <w:color w:val="333333"/>
          <w:kern w:val="0"/>
          <w:sz w:val="32"/>
          <w:szCs w:val="32"/>
          <w:lang w:val="en-US" w:eastAsia="zh-CN"/>
        </w:rPr>
        <w:t>46.21</w:t>
      </w:r>
      <w:r>
        <w:rPr>
          <w:rFonts w:ascii="仿宋_GB2312" w:hAnsi="Times New Roman" w:eastAsia="仿宋_GB2312" w:cs="Times New Roman"/>
          <w:color w:val="333333"/>
          <w:kern w:val="0"/>
          <w:sz w:val="32"/>
          <w:szCs w:val="32"/>
        </w:rPr>
        <w:t>万元。</w:t>
      </w:r>
      <w:r>
        <w:rPr>
          <w:rFonts w:hint="eastAsia" w:ascii="仿宋_GB2312" w:hAnsi="Times New Roman" w:eastAsia="仿宋_GB2312" w:cs="Times New Roman"/>
          <w:color w:val="333333"/>
          <w:kern w:val="0"/>
          <w:sz w:val="32"/>
          <w:szCs w:val="32"/>
          <w:lang w:val="en-US" w:eastAsia="zh-CN"/>
        </w:rPr>
        <w:t>大熊猫国家公园阿坝管理分局</w:t>
      </w:r>
      <w:r>
        <w:rPr>
          <w:rFonts w:ascii="Times New Roman" w:hAnsi="Times New Roman" w:eastAsia="微软雅黑" w:cs="Times New Roman"/>
          <w:color w:val="333333"/>
          <w:kern w:val="0"/>
          <w:sz w:val="32"/>
          <w:szCs w:val="32"/>
        </w:rPr>
        <w:t>202</w:t>
      </w:r>
      <w:r>
        <w:rPr>
          <w:rFonts w:hint="eastAsia" w:ascii="Times New Roman" w:hAnsi="Times New Roman" w:eastAsia="微软雅黑" w:cs="Times New Roman"/>
          <w:color w:val="333333"/>
          <w:kern w:val="0"/>
          <w:sz w:val="32"/>
          <w:szCs w:val="32"/>
          <w:lang w:val="en-US" w:eastAsia="zh-CN"/>
        </w:rPr>
        <w:t>5</w:t>
      </w:r>
      <w:r>
        <w:rPr>
          <w:rFonts w:ascii="仿宋_GB2312" w:hAnsi="Times New Roman" w:eastAsia="仿宋_GB2312" w:cs="Times New Roman"/>
          <w:color w:val="333333"/>
          <w:kern w:val="0"/>
          <w:sz w:val="32"/>
          <w:szCs w:val="32"/>
        </w:rPr>
        <w:t>年收支总预算</w:t>
      </w:r>
      <w:r>
        <w:rPr>
          <w:rFonts w:hint="eastAsia" w:ascii="Times New Roman" w:hAnsi="Times New Roman" w:eastAsia="微软雅黑" w:cs="Times New Roman"/>
          <w:color w:val="333333"/>
          <w:kern w:val="0"/>
          <w:sz w:val="32"/>
          <w:szCs w:val="32"/>
          <w:lang w:val="en-US" w:eastAsia="zh-CN"/>
        </w:rPr>
        <w:t>668.49</w:t>
      </w:r>
      <w:r>
        <w:rPr>
          <w:rFonts w:ascii="仿宋_GB2312" w:hAnsi="Times New Roman" w:eastAsia="仿宋_GB2312" w:cs="Times New Roman"/>
          <w:color w:val="333333"/>
          <w:kern w:val="0"/>
          <w:sz w:val="32"/>
          <w:szCs w:val="32"/>
        </w:rPr>
        <w:t>万元</w:t>
      </w:r>
      <w:r>
        <w:rPr>
          <w:rFonts w:hint="eastAsia" w:ascii="仿宋_GB2312" w:hAnsi="微软雅黑" w:eastAsia="仿宋_GB2312" w:cs="Arial"/>
          <w:color w:val="333333"/>
          <w:kern w:val="0"/>
          <w:sz w:val="32"/>
          <w:szCs w:val="32"/>
        </w:rPr>
        <w:t>，</w:t>
      </w:r>
      <w:r>
        <w:rPr>
          <w:rFonts w:ascii="仿宋_GB2312" w:hAnsi="Times New Roman" w:eastAsia="仿宋_GB2312" w:cs="Times New Roman"/>
          <w:color w:val="333333"/>
          <w:kern w:val="0"/>
          <w:sz w:val="32"/>
          <w:szCs w:val="32"/>
        </w:rPr>
        <w:t>比</w:t>
      </w:r>
      <w:r>
        <w:rPr>
          <w:rFonts w:ascii="Times New Roman" w:hAnsi="Times New Roman" w:eastAsia="微软雅黑" w:cs="Times New Roman"/>
          <w:color w:val="333333"/>
          <w:kern w:val="0"/>
          <w:sz w:val="32"/>
          <w:szCs w:val="32"/>
        </w:rPr>
        <w:t>20</w:t>
      </w:r>
      <w:r>
        <w:rPr>
          <w:rFonts w:hint="eastAsia" w:ascii="Times New Roman" w:hAnsi="Times New Roman" w:eastAsia="仿宋_GB2312" w:cs="Times New Roman"/>
          <w:color w:val="333333"/>
          <w:kern w:val="0"/>
          <w:sz w:val="32"/>
          <w:szCs w:val="32"/>
        </w:rPr>
        <w:t>2</w:t>
      </w:r>
      <w:r>
        <w:rPr>
          <w:rFonts w:hint="eastAsia" w:ascii="Times New Roman" w:hAnsi="Times New Roman" w:eastAsia="微软雅黑" w:cs="Times New Roman"/>
          <w:color w:val="333333"/>
          <w:kern w:val="0"/>
          <w:sz w:val="32"/>
          <w:szCs w:val="32"/>
          <w:lang w:val="en-US" w:eastAsia="zh-CN"/>
        </w:rPr>
        <w:t>4</w:t>
      </w:r>
      <w:r>
        <w:rPr>
          <w:rFonts w:ascii="仿宋_GB2312" w:hAnsi="Times New Roman" w:eastAsia="仿宋_GB2312" w:cs="Times New Roman"/>
          <w:color w:val="333333"/>
          <w:kern w:val="0"/>
          <w:sz w:val="32"/>
          <w:szCs w:val="32"/>
        </w:rPr>
        <w:t>年收支预算总数</w:t>
      </w:r>
      <w:r>
        <w:rPr>
          <w:rFonts w:hint="eastAsia" w:ascii="仿宋_GB2312" w:hAnsi="Times New Roman" w:eastAsia="仿宋_GB2312" w:cs="Times New Roman"/>
          <w:color w:val="333333"/>
          <w:kern w:val="0"/>
          <w:sz w:val="32"/>
          <w:szCs w:val="32"/>
          <w:lang w:val="en-US" w:eastAsia="zh-CN"/>
        </w:rPr>
        <w:t>增加</w:t>
      </w:r>
      <w:r>
        <w:rPr>
          <w:rFonts w:hint="eastAsia" w:ascii="Times New Roman" w:hAnsi="Times New Roman" w:eastAsia="微软雅黑" w:cs="Times New Roman"/>
          <w:color w:val="333333"/>
          <w:kern w:val="0"/>
          <w:sz w:val="32"/>
          <w:szCs w:val="32"/>
          <w:lang w:val="en-US" w:eastAsia="zh-CN"/>
        </w:rPr>
        <w:t>33.14</w:t>
      </w:r>
      <w:r>
        <w:rPr>
          <w:rFonts w:ascii="仿宋_GB2312" w:hAnsi="Times New Roman" w:eastAsia="仿宋_GB2312" w:cs="Times New Roman"/>
          <w:color w:val="333333"/>
          <w:kern w:val="0"/>
          <w:sz w:val="32"/>
          <w:szCs w:val="32"/>
        </w:rPr>
        <w:t>万元，</w:t>
      </w:r>
      <w:r>
        <w:rPr>
          <w:rFonts w:hint="eastAsia" w:ascii="仿宋_GB2312" w:hAnsi="Times New Roman" w:eastAsia="仿宋_GB2312" w:cs="Times New Roman"/>
          <w:color w:val="333333"/>
          <w:kern w:val="0"/>
          <w:sz w:val="32"/>
          <w:szCs w:val="32"/>
          <w:lang w:val="en-US" w:eastAsia="zh-CN"/>
        </w:rPr>
        <w:t>增长</w:t>
      </w:r>
      <w:r>
        <w:rPr>
          <w:rFonts w:hint="eastAsia" w:ascii="仿宋_GB2312" w:hAnsi="Times New Roman" w:eastAsia="仿宋_GB2312" w:cs="Times New Roman"/>
          <w:color w:val="000000" w:themeColor="text1"/>
          <w:kern w:val="0"/>
          <w:sz w:val="32"/>
          <w:szCs w:val="32"/>
          <w:lang w:val="en-US" w:eastAsia="zh-CN"/>
          <w14:textFill>
            <w14:solidFill>
              <w14:schemeClr w14:val="tx1"/>
            </w14:solidFill>
          </w14:textFill>
        </w:rPr>
        <w:t>5.21</w:t>
      </w:r>
      <w:r>
        <w:rPr>
          <w:rFonts w:ascii="Times New Roman" w:hAnsi="Times New Roman" w:eastAsia="微软雅黑" w:cs="Times New Roman"/>
          <w:color w:val="000000" w:themeColor="text1"/>
          <w:kern w:val="0"/>
          <w:sz w:val="32"/>
          <w:szCs w:val="32"/>
          <w14:textFill>
            <w14:solidFill>
              <w14:schemeClr w14:val="tx1"/>
            </w14:solidFill>
          </w14:textFill>
        </w:rPr>
        <w:t>%</w:t>
      </w:r>
      <w:r>
        <w:rPr>
          <w:rFonts w:ascii="仿宋_GB2312" w:hAnsi="Times New Roman" w:eastAsia="仿宋_GB2312" w:cs="Times New Roman"/>
          <w:color w:val="333333"/>
          <w:kern w:val="0"/>
          <w:sz w:val="32"/>
          <w:szCs w:val="32"/>
        </w:rPr>
        <w:t>。原因是</w:t>
      </w:r>
      <w:r>
        <w:rPr>
          <w:rFonts w:hint="eastAsia" w:ascii="仿宋_GB2312" w:hAnsi="Times New Roman" w:eastAsia="仿宋_GB2312" w:cs="Times New Roman"/>
          <w:color w:val="333333"/>
          <w:kern w:val="0"/>
          <w:sz w:val="32"/>
          <w:szCs w:val="32"/>
          <w:lang w:val="en-US" w:eastAsia="zh-CN"/>
        </w:rPr>
        <w:t>2024年8月新调入1人，2025年养老、职业年金、工伤、失业、住房公积金缴费</w:t>
      </w:r>
      <w:r>
        <w:rPr>
          <w:rFonts w:ascii="仿宋_GB2312" w:hAnsi="Times New Roman" w:eastAsia="仿宋_GB2312" w:cs="Times New Roman"/>
          <w:color w:val="333333"/>
          <w:kern w:val="0"/>
          <w:sz w:val="32"/>
          <w:szCs w:val="32"/>
        </w:rPr>
        <w:t>基数</w:t>
      </w:r>
      <w:r>
        <w:rPr>
          <w:rFonts w:hint="eastAsia" w:ascii="仿宋_GB2312" w:hAnsi="Times New Roman" w:eastAsia="仿宋_GB2312" w:cs="Times New Roman"/>
          <w:color w:val="333333"/>
          <w:kern w:val="0"/>
          <w:sz w:val="32"/>
          <w:szCs w:val="32"/>
          <w:lang w:val="en-US" w:eastAsia="zh-CN"/>
        </w:rPr>
        <w:t>增加</w:t>
      </w:r>
      <w:r>
        <w:rPr>
          <w:rFonts w:hint="eastAsia" w:ascii="仿宋_GB2312" w:hAnsi="Times New Roman" w:eastAsia="仿宋_GB2312" w:cs="Times New Roman"/>
          <w:color w:val="333333"/>
          <w:kern w:val="0"/>
          <w:sz w:val="32"/>
          <w:szCs w:val="32"/>
          <w:lang w:eastAsia="zh-CN"/>
        </w:rPr>
        <w:t>；</w:t>
      </w:r>
      <w:r>
        <w:rPr>
          <w:rFonts w:hint="eastAsia" w:ascii="仿宋_GB2312" w:hAnsi="Times New Roman" w:eastAsia="仿宋_GB2312" w:cs="Times New Roman"/>
          <w:color w:val="333333"/>
          <w:kern w:val="0"/>
          <w:sz w:val="32"/>
          <w:szCs w:val="32"/>
          <w:lang w:val="en-US" w:eastAsia="zh-CN"/>
        </w:rPr>
        <w:t>公用经费的增加，</w:t>
      </w:r>
      <w:r>
        <w:rPr>
          <w:rFonts w:ascii="仿宋_GB2312" w:hAnsi="Times New Roman" w:eastAsia="仿宋_GB2312" w:cs="Times New Roman"/>
          <w:color w:val="333333"/>
          <w:kern w:val="0"/>
          <w:sz w:val="32"/>
          <w:szCs w:val="32"/>
        </w:rPr>
        <w:t>导致</w:t>
      </w:r>
      <w:r>
        <w:rPr>
          <w:rFonts w:hint="eastAsia" w:ascii="仿宋_GB2312" w:hAnsi="Times New Roman" w:eastAsia="仿宋_GB2312" w:cs="Times New Roman"/>
          <w:color w:val="333333"/>
          <w:kern w:val="0"/>
          <w:sz w:val="32"/>
          <w:szCs w:val="32"/>
          <w:lang w:val="en-US" w:eastAsia="zh-CN"/>
        </w:rPr>
        <w:t>2025年总预算经</w:t>
      </w:r>
      <w:r>
        <w:rPr>
          <w:rFonts w:ascii="仿宋_GB2312" w:hAnsi="Times New Roman" w:eastAsia="仿宋_GB2312" w:cs="Times New Roman"/>
          <w:color w:val="333333"/>
          <w:kern w:val="0"/>
          <w:sz w:val="32"/>
          <w:szCs w:val="32"/>
        </w:rPr>
        <w:t>费</w:t>
      </w:r>
      <w:r>
        <w:rPr>
          <w:rFonts w:hint="eastAsia" w:ascii="仿宋_GB2312" w:hAnsi="Times New Roman" w:eastAsia="仿宋_GB2312" w:cs="Times New Roman"/>
          <w:color w:val="333333"/>
          <w:kern w:val="0"/>
          <w:sz w:val="32"/>
          <w:szCs w:val="32"/>
          <w:lang w:val="en-US" w:eastAsia="zh-CN"/>
        </w:rPr>
        <w:t>的增加。</w:t>
      </w:r>
    </w:p>
    <w:p w14:paraId="27DB4055">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1360" w:leftChars="0" w:hanging="720" w:firstLineChars="0"/>
        <w:jc w:val="left"/>
        <w:textAlignment w:val="auto"/>
        <w:rPr>
          <w:rFonts w:hint="eastAsia" w:ascii="黑体" w:eastAsia="黑体"/>
          <w:sz w:val="32"/>
          <w:szCs w:val="32"/>
        </w:rPr>
      </w:pPr>
      <w:r>
        <w:rPr>
          <w:rFonts w:hint="eastAsia" w:ascii="黑体" w:eastAsia="黑体"/>
          <w:sz w:val="32"/>
          <w:szCs w:val="32"/>
        </w:rPr>
        <w:t>财政拨款收支预算情况说明</w:t>
      </w:r>
    </w:p>
    <w:p w14:paraId="35E9BEDB">
      <w:pPr>
        <w:keepNext w:val="0"/>
        <w:keepLines w:val="0"/>
        <w:pageBreakBefore w:val="0"/>
        <w:widowControl w:val="0"/>
        <w:numPr>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大熊猫国家公园阿坝管理分局2025年财政拨款收支总预算</w:t>
      </w:r>
      <w:r>
        <w:rPr>
          <w:rFonts w:hint="eastAsia" w:ascii="仿宋_GB2312" w:eastAsia="仿宋_GB2312"/>
          <w:sz w:val="32"/>
          <w:szCs w:val="32"/>
          <w:lang w:val="en-US" w:eastAsia="zh-CN"/>
        </w:rPr>
        <w:t>668.49万元,比2024年财政拨款收支总预</w:t>
      </w:r>
      <w:bookmarkStart w:id="0" w:name="_GoBack"/>
      <w:bookmarkEnd w:id="0"/>
      <w:r>
        <w:rPr>
          <w:rFonts w:hint="eastAsia" w:ascii="仿宋_GB2312" w:eastAsia="仿宋_GB2312"/>
          <w:sz w:val="32"/>
          <w:szCs w:val="32"/>
          <w:lang w:val="en-US" w:eastAsia="zh-CN"/>
        </w:rPr>
        <w:t>算增加</w:t>
      </w:r>
      <w:r>
        <w:rPr>
          <w:rFonts w:hint="eastAsia" w:ascii="仿宋_GB2312" w:eastAsia="仿宋_GB2312"/>
          <w:sz w:val="32"/>
          <w:szCs w:val="32"/>
          <w:lang w:val="en-US" w:eastAsia="zh-CN"/>
        </w:rPr>
        <w:t>33.14万元，主要原因:2024年8月新调入1人，2025年养老、职业年金、工伤、失业、住房公积金缴费基数增加；公用经费的增加，导致2025年总预算经费的增加。</w:t>
      </w:r>
    </w:p>
    <w:p w14:paraId="7BC04A69">
      <w:pPr>
        <w:keepNext w:val="0"/>
        <w:keepLines w:val="0"/>
        <w:pageBreakBefore w:val="0"/>
        <w:kinsoku/>
        <w:wordWrap/>
        <w:overflowPunct/>
        <w:topLinePunct w:val="0"/>
        <w:autoSpaceDE/>
        <w:autoSpaceDN/>
        <w:bidi w:val="0"/>
        <w:spacing w:line="240" w:lineRule="auto"/>
        <w:ind w:firstLine="640" w:firstLineChars="200"/>
        <w:jc w:val="lef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收入包括：2025年收入预算668.49万元，其中：一般公共预算财政拨款收入668.49万元，占100%，无其他收入。</w:t>
      </w:r>
    </w:p>
    <w:p w14:paraId="5FB35333">
      <w:pPr>
        <w:keepNext w:val="0"/>
        <w:keepLines w:val="0"/>
        <w:pageBreakBefore w:val="0"/>
        <w:kinsoku/>
        <w:wordWrap/>
        <w:overflowPunct/>
        <w:topLinePunct w:val="0"/>
        <w:autoSpaceDE/>
        <w:autoSpaceDN/>
        <w:bidi w:val="0"/>
        <w:spacing w:line="560" w:lineRule="exact"/>
        <w:ind w:firstLine="640" w:firstLineChars="200"/>
        <w:jc w:val="left"/>
        <w:textAlignment w:val="auto"/>
        <w:rPr>
          <w:rFonts w:hint="eastAsia" w:ascii="仿宋_GB2312" w:eastAsia="仿宋_GB2312"/>
          <w:sz w:val="32"/>
          <w:szCs w:val="32"/>
        </w:rPr>
      </w:pPr>
      <w:r>
        <w:rPr>
          <w:rFonts w:hint="eastAsia" w:ascii="仿宋_GB2312" w:eastAsia="仿宋_GB2312" w:cs="仿宋_GB2312"/>
          <w:sz w:val="32"/>
          <w:szCs w:val="32"/>
        </w:rPr>
        <w:t>支出包括：202</w:t>
      </w:r>
      <w:r>
        <w:rPr>
          <w:rFonts w:hint="eastAsia" w:ascii="仿宋_GB2312" w:eastAsia="仿宋_GB2312" w:cs="仿宋_GB2312"/>
          <w:sz w:val="32"/>
          <w:szCs w:val="32"/>
          <w:lang w:val="en-US" w:eastAsia="zh-CN"/>
        </w:rPr>
        <w:t>5</w:t>
      </w:r>
      <w:r>
        <w:rPr>
          <w:rFonts w:hint="eastAsia" w:ascii="仿宋_GB2312" w:eastAsia="仿宋_GB2312" w:cs="仿宋_GB2312"/>
          <w:sz w:val="32"/>
          <w:szCs w:val="32"/>
        </w:rPr>
        <w:t>年支出预算</w:t>
      </w:r>
      <w:r>
        <w:rPr>
          <w:rFonts w:hint="eastAsia" w:ascii="仿宋_GB2312" w:eastAsia="仿宋_GB2312" w:cs="仿宋_GB2312"/>
          <w:sz w:val="32"/>
          <w:szCs w:val="32"/>
          <w:lang w:val="en-US" w:eastAsia="zh-CN"/>
        </w:rPr>
        <w:t>668.49</w:t>
      </w:r>
      <w:r>
        <w:rPr>
          <w:rFonts w:hint="eastAsia" w:ascii="仿宋_GB2312" w:eastAsia="仿宋_GB2312" w:cs="仿宋_GB2312"/>
          <w:sz w:val="32"/>
          <w:szCs w:val="32"/>
        </w:rPr>
        <w:t>万元，其中：基本支出</w:t>
      </w:r>
      <w:r>
        <w:rPr>
          <w:rFonts w:hint="eastAsia" w:ascii="仿宋_GB2312" w:eastAsia="仿宋_GB2312" w:cs="仿宋_GB2312"/>
          <w:sz w:val="32"/>
          <w:szCs w:val="32"/>
          <w:lang w:val="en-US" w:eastAsia="zh-CN"/>
        </w:rPr>
        <w:t>568.49</w:t>
      </w:r>
      <w:r>
        <w:rPr>
          <w:rFonts w:hint="eastAsia" w:ascii="仿宋_GB2312" w:eastAsia="仿宋_GB2312" w:cs="仿宋_GB2312"/>
          <w:sz w:val="32"/>
          <w:szCs w:val="32"/>
        </w:rPr>
        <w:t>万元，占</w:t>
      </w:r>
      <w:r>
        <w:rPr>
          <w:rFonts w:hint="eastAsia" w:ascii="仿宋_GB2312" w:eastAsia="仿宋_GB2312" w:cs="仿宋_GB2312"/>
          <w:color w:val="000000" w:themeColor="text1"/>
          <w:sz w:val="32"/>
          <w:szCs w:val="32"/>
          <w:lang w:val="en-US" w:eastAsia="zh-CN"/>
          <w14:textFill>
            <w14:solidFill>
              <w14:schemeClr w14:val="tx1"/>
            </w14:solidFill>
          </w14:textFill>
        </w:rPr>
        <w:t>85.04</w:t>
      </w:r>
      <w:r>
        <w:rPr>
          <w:rFonts w:hint="eastAsia" w:ascii="仿宋_GB2312" w:eastAsia="仿宋_GB2312" w:cs="仿宋_GB2312"/>
          <w:color w:val="000000" w:themeColor="text1"/>
          <w:sz w:val="32"/>
          <w:szCs w:val="32"/>
          <w14:textFill>
            <w14:solidFill>
              <w14:schemeClr w14:val="tx1"/>
            </w14:solidFill>
          </w14:textFill>
        </w:rPr>
        <w:t>%；项目支出</w:t>
      </w:r>
      <w:r>
        <w:rPr>
          <w:rFonts w:hint="eastAsia" w:ascii="仿宋_GB2312" w:eastAsia="仿宋_GB2312" w:cs="仿宋_GB2312"/>
          <w:color w:val="000000" w:themeColor="text1"/>
          <w:sz w:val="32"/>
          <w:szCs w:val="32"/>
          <w:lang w:val="en-US" w:eastAsia="zh-CN"/>
          <w14:textFill>
            <w14:solidFill>
              <w14:schemeClr w14:val="tx1"/>
            </w14:solidFill>
          </w14:textFill>
        </w:rPr>
        <w:t>100万元</w:t>
      </w:r>
      <w:r>
        <w:rPr>
          <w:rFonts w:hint="eastAsia" w:ascii="仿宋_GB2312" w:eastAsia="仿宋_GB2312" w:cs="仿宋_GB2312"/>
          <w:color w:val="000000" w:themeColor="text1"/>
          <w:sz w:val="32"/>
          <w:szCs w:val="32"/>
          <w14:textFill>
            <w14:solidFill>
              <w14:schemeClr w14:val="tx1"/>
            </w14:solidFill>
          </w14:textFill>
        </w:rPr>
        <w:t>，占</w:t>
      </w:r>
      <w:r>
        <w:rPr>
          <w:rFonts w:hint="eastAsia" w:ascii="仿宋_GB2312" w:eastAsia="仿宋_GB2312" w:cs="仿宋_GB2312"/>
          <w:color w:val="000000" w:themeColor="text1"/>
          <w:sz w:val="32"/>
          <w:szCs w:val="32"/>
          <w:lang w:val="en-US" w:eastAsia="zh-CN"/>
          <w14:textFill>
            <w14:solidFill>
              <w14:schemeClr w14:val="tx1"/>
            </w14:solidFill>
          </w14:textFill>
        </w:rPr>
        <w:t>14.96</w:t>
      </w:r>
      <w:r>
        <w:rPr>
          <w:rFonts w:hint="eastAsia" w:ascii="仿宋_GB2312" w:eastAsia="仿宋_GB2312" w:cs="仿宋_GB2312"/>
          <w:color w:val="000000" w:themeColor="text1"/>
          <w:sz w:val="32"/>
          <w:szCs w:val="32"/>
          <w14:textFill>
            <w14:solidFill>
              <w14:schemeClr w14:val="tx1"/>
            </w14:solidFill>
          </w14:textFill>
        </w:rPr>
        <w:t>%。</w:t>
      </w:r>
    </w:p>
    <w:p w14:paraId="5279CADC">
      <w:pPr>
        <w:keepNext w:val="0"/>
        <w:keepLines w:val="0"/>
        <w:pageBreakBefore w:val="0"/>
        <w:widowControl/>
        <w:shd w:val="clear" w:color="auto" w:fill="FFFFFF"/>
        <w:kinsoku/>
        <w:wordWrap/>
        <w:overflowPunct/>
        <w:topLinePunct w:val="0"/>
        <w:autoSpaceDE/>
        <w:autoSpaceDN/>
        <w:bidi w:val="0"/>
        <w:spacing w:afterAutospacing="0" w:line="560" w:lineRule="exact"/>
        <w:ind w:firstLine="640" w:firstLineChars="200"/>
        <w:jc w:val="left"/>
        <w:textAlignment w:val="auto"/>
        <w:rPr>
          <w:rFonts w:ascii="仿宋_GB2312" w:eastAsia="仿宋_GB2312"/>
          <w:sz w:val="32"/>
          <w:szCs w:val="32"/>
        </w:rPr>
      </w:pPr>
      <w:r>
        <w:rPr>
          <w:rFonts w:hint="eastAsia" w:ascii="仿宋_GB2312" w:hAnsi="Times New Roman" w:eastAsia="仿宋_GB2312"/>
          <w:sz w:val="32"/>
          <w:szCs w:val="32"/>
          <w:lang w:val="en-US" w:eastAsia="zh-CN"/>
        </w:rPr>
        <w:t>大熊猫国家公园阿坝管理分局</w:t>
      </w:r>
      <w:r>
        <w:rPr>
          <w:rFonts w:hint="eastAsia" w:ascii="仿宋_GB2312" w:eastAsia="仿宋_GB2312" w:cs="仿宋_GB2312"/>
          <w:sz w:val="32"/>
          <w:szCs w:val="32"/>
        </w:rPr>
        <w:t>202</w:t>
      </w:r>
      <w:r>
        <w:rPr>
          <w:rFonts w:hint="eastAsia" w:ascii="仿宋_GB2312" w:eastAsia="仿宋_GB2312" w:cs="仿宋_GB2312"/>
          <w:sz w:val="32"/>
          <w:szCs w:val="32"/>
          <w:lang w:val="en-US" w:eastAsia="zh-CN"/>
        </w:rPr>
        <w:t>5</w:t>
      </w:r>
      <w:r>
        <w:rPr>
          <w:rFonts w:hint="eastAsia" w:ascii="仿宋_GB2312" w:eastAsia="仿宋_GB2312" w:cs="仿宋_GB2312"/>
          <w:sz w:val="32"/>
          <w:szCs w:val="32"/>
        </w:rPr>
        <w:t>年财政拨款收支总预算</w:t>
      </w:r>
      <w:r>
        <w:rPr>
          <w:rFonts w:hint="eastAsia" w:ascii="仿宋_GB2312" w:eastAsia="仿宋_GB2312" w:cs="仿宋_GB2312"/>
          <w:sz w:val="32"/>
          <w:szCs w:val="32"/>
          <w:lang w:val="en-US" w:eastAsia="zh-CN"/>
        </w:rPr>
        <w:t>668.49</w:t>
      </w:r>
      <w:r>
        <w:rPr>
          <w:rFonts w:hint="eastAsia" w:ascii="仿宋_GB2312" w:eastAsia="仿宋_GB2312" w:cs="仿宋_GB2312"/>
          <w:sz w:val="32"/>
          <w:szCs w:val="32"/>
        </w:rPr>
        <w:t>万元,比202</w:t>
      </w:r>
      <w:r>
        <w:rPr>
          <w:rFonts w:hint="eastAsia" w:ascii="仿宋_GB2312" w:eastAsia="仿宋_GB2312" w:cs="仿宋_GB2312"/>
          <w:sz w:val="32"/>
          <w:szCs w:val="32"/>
          <w:lang w:val="en-US" w:eastAsia="zh-CN"/>
        </w:rPr>
        <w:t>4</w:t>
      </w:r>
      <w:r>
        <w:rPr>
          <w:rFonts w:hint="eastAsia" w:ascii="仿宋_GB2312" w:eastAsia="仿宋_GB2312" w:cs="仿宋_GB2312"/>
          <w:sz w:val="32"/>
          <w:szCs w:val="32"/>
        </w:rPr>
        <w:t>年财政拨款收支总预算</w:t>
      </w:r>
      <w:r>
        <w:rPr>
          <w:rFonts w:hint="eastAsia" w:ascii="仿宋_GB2312" w:eastAsia="仿宋_GB2312" w:cs="仿宋_GB2312"/>
          <w:sz w:val="32"/>
          <w:szCs w:val="32"/>
          <w:lang w:val="en-US" w:eastAsia="zh-CN"/>
        </w:rPr>
        <w:t>增加33.14</w:t>
      </w:r>
      <w:r>
        <w:rPr>
          <w:rFonts w:hint="eastAsia" w:ascii="仿宋_GB2312" w:eastAsia="仿宋_GB2312" w:cs="仿宋_GB2312"/>
          <w:sz w:val="32"/>
          <w:szCs w:val="32"/>
        </w:rPr>
        <w:t>万元，主要原因:</w:t>
      </w:r>
      <w:r>
        <w:rPr>
          <w:rFonts w:hint="eastAsia" w:ascii="仿宋_GB2312" w:eastAsia="仿宋_GB2312" w:cs="仿宋_GB2312"/>
          <w:sz w:val="32"/>
          <w:szCs w:val="32"/>
          <w:lang w:val="en-US" w:eastAsia="zh-CN"/>
        </w:rPr>
        <w:t>是</w:t>
      </w:r>
      <w:r>
        <w:rPr>
          <w:rFonts w:hint="eastAsia" w:ascii="仿宋_GB2312" w:hAnsi="Times New Roman" w:eastAsia="仿宋_GB2312" w:cs="Times New Roman"/>
          <w:color w:val="333333"/>
          <w:kern w:val="0"/>
          <w:sz w:val="32"/>
          <w:szCs w:val="32"/>
          <w:lang w:val="en-US" w:eastAsia="zh-CN"/>
        </w:rPr>
        <w:t>2024年8月新调入1人，2025年养老、职业年金、工伤、失业、住房公积金缴费</w:t>
      </w:r>
      <w:r>
        <w:rPr>
          <w:rFonts w:ascii="仿宋_GB2312" w:hAnsi="Times New Roman" w:eastAsia="仿宋_GB2312" w:cs="Times New Roman"/>
          <w:color w:val="333333"/>
          <w:kern w:val="0"/>
          <w:sz w:val="32"/>
          <w:szCs w:val="32"/>
        </w:rPr>
        <w:t>基数</w:t>
      </w:r>
      <w:r>
        <w:rPr>
          <w:rFonts w:hint="eastAsia" w:ascii="仿宋_GB2312" w:hAnsi="Times New Roman" w:eastAsia="仿宋_GB2312" w:cs="Times New Roman"/>
          <w:color w:val="333333"/>
          <w:kern w:val="0"/>
          <w:sz w:val="32"/>
          <w:szCs w:val="32"/>
          <w:lang w:val="en-US" w:eastAsia="zh-CN"/>
        </w:rPr>
        <w:t>增加</w:t>
      </w:r>
      <w:r>
        <w:rPr>
          <w:rFonts w:ascii="仿宋_GB2312" w:hAnsi="Times New Roman" w:eastAsia="仿宋_GB2312" w:cs="Times New Roman"/>
          <w:color w:val="333333"/>
          <w:kern w:val="0"/>
          <w:sz w:val="32"/>
          <w:szCs w:val="32"/>
        </w:rPr>
        <w:t>，</w:t>
      </w:r>
      <w:r>
        <w:rPr>
          <w:rFonts w:hint="eastAsia" w:ascii="仿宋_GB2312" w:hAnsi="Times New Roman" w:eastAsia="仿宋_GB2312" w:cs="Times New Roman"/>
          <w:color w:val="333333"/>
          <w:kern w:val="0"/>
          <w:sz w:val="32"/>
          <w:szCs w:val="32"/>
          <w:lang w:val="en-US" w:eastAsia="zh-CN"/>
        </w:rPr>
        <w:t>公用经费的增加；</w:t>
      </w:r>
      <w:r>
        <w:rPr>
          <w:rFonts w:ascii="仿宋_GB2312" w:hAnsi="Times New Roman" w:eastAsia="仿宋_GB2312" w:cs="Times New Roman"/>
          <w:color w:val="333333"/>
          <w:kern w:val="0"/>
          <w:sz w:val="32"/>
          <w:szCs w:val="32"/>
        </w:rPr>
        <w:t>导致</w:t>
      </w:r>
      <w:r>
        <w:rPr>
          <w:rFonts w:hint="eastAsia" w:ascii="仿宋_GB2312" w:hAnsi="Times New Roman" w:eastAsia="仿宋_GB2312" w:cs="Times New Roman"/>
          <w:color w:val="333333"/>
          <w:kern w:val="0"/>
          <w:sz w:val="32"/>
          <w:szCs w:val="32"/>
          <w:lang w:val="en-US" w:eastAsia="zh-CN"/>
        </w:rPr>
        <w:t>2025年总预算经</w:t>
      </w:r>
      <w:r>
        <w:rPr>
          <w:rFonts w:ascii="仿宋_GB2312" w:hAnsi="Times New Roman" w:eastAsia="仿宋_GB2312" w:cs="Times New Roman"/>
          <w:color w:val="333333"/>
          <w:kern w:val="0"/>
          <w:sz w:val="32"/>
          <w:szCs w:val="32"/>
        </w:rPr>
        <w:t>费</w:t>
      </w:r>
      <w:r>
        <w:rPr>
          <w:rFonts w:hint="eastAsia" w:ascii="仿宋_GB2312" w:hAnsi="Times New Roman" w:eastAsia="仿宋_GB2312" w:cs="Times New Roman"/>
          <w:color w:val="333333"/>
          <w:kern w:val="0"/>
          <w:sz w:val="32"/>
          <w:szCs w:val="32"/>
          <w:lang w:val="en-US" w:eastAsia="zh-CN"/>
        </w:rPr>
        <w:t>的增加。</w:t>
      </w:r>
    </w:p>
    <w:p w14:paraId="12FC45BC">
      <w:pPr>
        <w:keepNext w:val="0"/>
        <w:keepLines w:val="0"/>
        <w:pageBreakBefore w:val="0"/>
        <w:kinsoku/>
        <w:wordWrap/>
        <w:overflowPunct/>
        <w:topLinePunct w:val="0"/>
        <w:autoSpaceDE/>
        <w:autoSpaceDN/>
        <w:bidi w:val="0"/>
        <w:spacing w:line="560" w:lineRule="exact"/>
        <w:ind w:firstLine="640" w:firstLineChars="200"/>
        <w:textAlignment w:val="auto"/>
        <w:rPr>
          <w:rFonts w:ascii="黑体" w:eastAsia="黑体"/>
          <w:sz w:val="32"/>
          <w:szCs w:val="32"/>
        </w:rPr>
      </w:pPr>
      <w:r>
        <w:rPr>
          <w:rFonts w:hint="eastAsia" w:ascii="黑体" w:eastAsia="黑体"/>
          <w:sz w:val="32"/>
          <w:szCs w:val="32"/>
        </w:rPr>
        <w:t>五、一般公共预算当年拨款情况说明</w:t>
      </w:r>
    </w:p>
    <w:p w14:paraId="6B867538">
      <w:pPr>
        <w:pStyle w:val="12"/>
        <w:keepNext w:val="0"/>
        <w:keepLines w:val="0"/>
        <w:pageBreakBefore w:val="0"/>
        <w:kinsoku/>
        <w:wordWrap/>
        <w:overflowPunct/>
        <w:topLinePunct w:val="0"/>
        <w:autoSpaceDE/>
        <w:autoSpaceDN/>
        <w:bidi w:val="0"/>
        <w:spacing w:before="0" w:line="560" w:lineRule="exact"/>
        <w:ind w:firstLine="660"/>
        <w:textAlignment w:val="auto"/>
        <w:rPr>
          <w:rFonts w:ascii="楷体" w:eastAsia="楷体" w:cs="仿宋_GB2312"/>
          <w:b/>
          <w:bCs/>
          <w:kern w:val="2"/>
          <w:sz w:val="32"/>
          <w:szCs w:val="32"/>
        </w:rPr>
      </w:pPr>
      <w:r>
        <w:rPr>
          <w:rFonts w:hint="eastAsia" w:ascii="楷体" w:eastAsia="楷体" w:cs="仿宋_GB2312"/>
          <w:b/>
          <w:bCs/>
          <w:kern w:val="2"/>
          <w:sz w:val="32"/>
          <w:szCs w:val="32"/>
        </w:rPr>
        <w:t>（一）一般公共预算当年拨款规模变化情况</w:t>
      </w:r>
    </w:p>
    <w:p w14:paraId="3695C585">
      <w:pPr>
        <w:keepNext w:val="0"/>
        <w:keepLines w:val="0"/>
        <w:pageBreakBefore w:val="0"/>
        <w:widowControl/>
        <w:shd w:val="clear" w:color="auto" w:fill="FFFFFF"/>
        <w:kinsoku/>
        <w:wordWrap/>
        <w:overflowPunct/>
        <w:topLinePunct w:val="0"/>
        <w:autoSpaceDE/>
        <w:autoSpaceDN/>
        <w:bidi w:val="0"/>
        <w:spacing w:after="100" w:afterAutospacing="1" w:line="560" w:lineRule="exact"/>
        <w:ind w:firstLine="640"/>
        <w:jc w:val="left"/>
        <w:textAlignment w:val="auto"/>
        <w:rPr>
          <w:rFonts w:cs="仿宋_GB2312"/>
          <w:kern w:val="2"/>
          <w:sz w:val="32"/>
          <w:szCs w:val="32"/>
        </w:rPr>
      </w:pPr>
      <w:r>
        <w:rPr>
          <w:rFonts w:hint="eastAsia" w:ascii="仿宋_GB2312" w:hAnsi="Times New Roman" w:eastAsia="仿宋_GB2312"/>
          <w:sz w:val="32"/>
          <w:szCs w:val="32"/>
          <w:lang w:val="en-US" w:eastAsia="zh-CN"/>
        </w:rPr>
        <w:t>大熊猫国家公园阿坝管理分局</w:t>
      </w:r>
      <w:r>
        <w:rPr>
          <w:rFonts w:hint="eastAsia" w:ascii="仿宋_GB2312" w:hAnsi="仿宋_GB2312" w:eastAsia="仿宋_GB2312" w:cs="仿宋_GB2312"/>
          <w:sz w:val="32"/>
          <w:szCs w:val="32"/>
        </w:rPr>
        <w:t>2025年一般公共预算当年拨款</w:t>
      </w:r>
      <w:r>
        <w:rPr>
          <w:rFonts w:hint="eastAsia" w:ascii="仿宋_GB2312" w:hAnsi="仿宋_GB2312" w:eastAsia="仿宋_GB2312" w:cs="仿宋_GB2312"/>
          <w:sz w:val="32"/>
          <w:szCs w:val="32"/>
          <w:lang w:val="en-US" w:eastAsia="zh-CN"/>
        </w:rPr>
        <w:t>668.49</w:t>
      </w:r>
      <w:r>
        <w:rPr>
          <w:rFonts w:hint="eastAsia" w:ascii="仿宋_GB2312" w:hAnsi="仿宋_GB2312" w:eastAsia="仿宋_GB2312" w:cs="仿宋_GB2312"/>
          <w:sz w:val="32"/>
          <w:szCs w:val="32"/>
        </w:rPr>
        <w:t>万元，比2024年预算数增加</w:t>
      </w:r>
      <w:r>
        <w:rPr>
          <w:rFonts w:hint="eastAsia" w:ascii="仿宋_GB2312" w:hAnsi="仿宋_GB2312" w:eastAsia="仿宋_GB2312" w:cs="仿宋_GB2312"/>
          <w:sz w:val="32"/>
          <w:szCs w:val="32"/>
          <w:lang w:val="en-US" w:eastAsia="zh-CN"/>
        </w:rPr>
        <w:t>33.14</w:t>
      </w:r>
      <w:r>
        <w:rPr>
          <w:rFonts w:hint="eastAsia" w:ascii="仿宋_GB2312" w:hAnsi="仿宋_GB2312" w:eastAsia="仿宋_GB2312" w:cs="仿宋_GB2312"/>
          <w:sz w:val="32"/>
          <w:szCs w:val="32"/>
        </w:rPr>
        <w:t>万元，主要原因:</w:t>
      </w:r>
      <w:r>
        <w:rPr>
          <w:rFonts w:hint="eastAsia" w:ascii="仿宋_GB2312" w:hAnsi="仿宋_GB2312" w:eastAsia="仿宋_GB2312" w:cs="仿宋_GB2312"/>
          <w:sz w:val="32"/>
          <w:szCs w:val="32"/>
          <w:lang w:val="en-US" w:eastAsia="zh-CN"/>
        </w:rPr>
        <w:t>是</w:t>
      </w:r>
      <w:r>
        <w:rPr>
          <w:rFonts w:hint="eastAsia" w:ascii="仿宋_GB2312" w:hAnsi="Times New Roman" w:eastAsia="仿宋_GB2312" w:cs="Times New Roman"/>
          <w:color w:val="333333"/>
          <w:kern w:val="0"/>
          <w:sz w:val="32"/>
          <w:szCs w:val="32"/>
          <w:lang w:val="en-US" w:eastAsia="zh-CN"/>
        </w:rPr>
        <w:t>2024年8月新调入1人，</w:t>
      </w:r>
      <w:r>
        <w:rPr>
          <w:rFonts w:hint="eastAsia" w:ascii="仿宋_GB2312" w:hAnsi="仿宋_GB2312" w:eastAsia="仿宋_GB2312" w:cs="仿宋_GB2312"/>
          <w:color w:val="333333"/>
          <w:kern w:val="0"/>
          <w:sz w:val="32"/>
          <w:szCs w:val="32"/>
          <w:lang w:val="en-US" w:eastAsia="zh-CN"/>
        </w:rPr>
        <w:t>2025年养老、职业年金、工伤、失业、住房公积金缴费</w:t>
      </w:r>
      <w:r>
        <w:rPr>
          <w:rFonts w:hint="eastAsia" w:ascii="仿宋_GB2312" w:hAnsi="仿宋_GB2312" w:eastAsia="仿宋_GB2312" w:cs="仿宋_GB2312"/>
          <w:color w:val="333333"/>
          <w:kern w:val="0"/>
          <w:sz w:val="32"/>
          <w:szCs w:val="32"/>
        </w:rPr>
        <w:t>基数</w:t>
      </w:r>
      <w:r>
        <w:rPr>
          <w:rFonts w:hint="eastAsia" w:ascii="仿宋_GB2312" w:hAnsi="仿宋_GB2312" w:eastAsia="仿宋_GB2312" w:cs="仿宋_GB2312"/>
          <w:color w:val="333333"/>
          <w:kern w:val="0"/>
          <w:sz w:val="32"/>
          <w:szCs w:val="32"/>
          <w:lang w:val="en-US" w:eastAsia="zh-CN"/>
        </w:rPr>
        <w:t>增加</w:t>
      </w:r>
      <w:r>
        <w:rPr>
          <w:rFonts w:hint="eastAsia" w:ascii="仿宋_GB2312" w:hAnsi="仿宋_GB2312" w:eastAsia="仿宋_GB2312" w:cs="仿宋_GB2312"/>
          <w:color w:val="333333"/>
          <w:kern w:val="0"/>
          <w:sz w:val="32"/>
          <w:szCs w:val="32"/>
          <w:lang w:eastAsia="zh-CN"/>
        </w:rPr>
        <w:t>；</w:t>
      </w:r>
      <w:r>
        <w:rPr>
          <w:rFonts w:hint="eastAsia" w:ascii="仿宋_GB2312" w:hAnsi="仿宋_GB2312" w:eastAsia="仿宋_GB2312" w:cs="仿宋_GB2312"/>
          <w:color w:val="333333"/>
          <w:kern w:val="0"/>
          <w:sz w:val="32"/>
          <w:szCs w:val="32"/>
          <w:lang w:val="en-US" w:eastAsia="zh-CN"/>
        </w:rPr>
        <w:t>公用经费的增加，</w:t>
      </w:r>
      <w:r>
        <w:rPr>
          <w:rFonts w:hint="eastAsia" w:ascii="仿宋_GB2312" w:hAnsi="仿宋_GB2312" w:eastAsia="仿宋_GB2312" w:cs="仿宋_GB2312"/>
          <w:color w:val="333333"/>
          <w:kern w:val="0"/>
          <w:sz w:val="32"/>
          <w:szCs w:val="32"/>
        </w:rPr>
        <w:t>导致</w:t>
      </w:r>
      <w:r>
        <w:rPr>
          <w:rFonts w:hint="eastAsia" w:ascii="仿宋_GB2312" w:hAnsi="仿宋_GB2312" w:eastAsia="仿宋_GB2312" w:cs="仿宋_GB2312"/>
          <w:color w:val="333333"/>
          <w:kern w:val="0"/>
          <w:sz w:val="32"/>
          <w:szCs w:val="32"/>
          <w:lang w:val="en-US" w:eastAsia="zh-CN"/>
        </w:rPr>
        <w:t>2025年总预算经</w:t>
      </w:r>
      <w:r>
        <w:rPr>
          <w:rFonts w:hint="eastAsia" w:ascii="仿宋_GB2312" w:hAnsi="仿宋_GB2312" w:eastAsia="仿宋_GB2312" w:cs="仿宋_GB2312"/>
          <w:color w:val="333333"/>
          <w:kern w:val="0"/>
          <w:sz w:val="32"/>
          <w:szCs w:val="32"/>
        </w:rPr>
        <w:t>费</w:t>
      </w:r>
      <w:r>
        <w:rPr>
          <w:rFonts w:hint="eastAsia" w:ascii="仿宋_GB2312" w:hAnsi="仿宋_GB2312" w:eastAsia="仿宋_GB2312" w:cs="仿宋_GB2312"/>
          <w:color w:val="333333"/>
          <w:kern w:val="0"/>
          <w:sz w:val="32"/>
          <w:szCs w:val="32"/>
          <w:lang w:val="en-US" w:eastAsia="zh-CN"/>
        </w:rPr>
        <w:t>的增加。</w:t>
      </w:r>
    </w:p>
    <w:p w14:paraId="1675665A">
      <w:pPr>
        <w:pStyle w:val="12"/>
        <w:keepNext w:val="0"/>
        <w:keepLines w:val="0"/>
        <w:pageBreakBefore w:val="0"/>
        <w:kinsoku/>
        <w:wordWrap/>
        <w:overflowPunct/>
        <w:topLinePunct w:val="0"/>
        <w:autoSpaceDE/>
        <w:autoSpaceDN/>
        <w:bidi w:val="0"/>
        <w:spacing w:before="0" w:line="560" w:lineRule="exact"/>
        <w:jc w:val="left"/>
        <w:textAlignment w:val="auto"/>
        <w:rPr>
          <w:rFonts w:hint="eastAsia" w:cs="宋体"/>
          <w:b/>
          <w:bCs/>
          <w:sz w:val="32"/>
          <w:szCs w:val="32"/>
        </w:rPr>
      </w:pPr>
      <w:r>
        <w:rPr>
          <w:rFonts w:hint="eastAsia" w:ascii="楷体" w:eastAsia="楷体" w:cs="宋体"/>
          <w:b/>
          <w:bCs/>
          <w:sz w:val="32"/>
          <w:szCs w:val="32"/>
        </w:rPr>
        <w:t>（二）一般公共预算当年拨款结构情况</w:t>
      </w:r>
    </w:p>
    <w:p w14:paraId="5F094F86">
      <w:pPr>
        <w:keepNext w:val="0"/>
        <w:keepLines w:val="0"/>
        <w:pageBreakBefore w:val="0"/>
        <w:widowControl/>
        <w:shd w:val="clear" w:color="auto" w:fill="FFFFFF"/>
        <w:kinsoku/>
        <w:wordWrap/>
        <w:overflowPunct/>
        <w:topLinePunct w:val="0"/>
        <w:autoSpaceDE/>
        <w:autoSpaceDN/>
        <w:bidi w:val="0"/>
        <w:spacing w:line="560" w:lineRule="exact"/>
        <w:ind w:firstLine="640" w:firstLineChars="200"/>
        <w:textAlignment w:val="auto"/>
        <w:rPr>
          <w:rFonts w:hint="eastAsia" w:cs="宋体"/>
          <w:sz w:val="32"/>
          <w:szCs w:val="32"/>
        </w:rPr>
      </w:pPr>
      <w:r>
        <w:rPr>
          <w:rFonts w:hint="eastAsia" w:ascii="仿宋_GB2312" w:hAnsi="仿宋_GB2312" w:eastAsia="仿宋_GB2312" w:cs="仿宋_GB2312"/>
          <w:color w:val="333333"/>
          <w:kern w:val="0"/>
          <w:sz w:val="32"/>
          <w:szCs w:val="32"/>
        </w:rPr>
        <w:t>社会保障和就业支出</w:t>
      </w:r>
      <w:r>
        <w:rPr>
          <w:rFonts w:hint="eastAsia" w:ascii="仿宋_GB2312" w:hAnsi="仿宋_GB2312" w:eastAsia="仿宋_GB2312" w:cs="仿宋_GB2312"/>
          <w:color w:val="333333"/>
          <w:kern w:val="0"/>
          <w:sz w:val="32"/>
          <w:szCs w:val="32"/>
          <w:lang w:val="en-US" w:eastAsia="zh-CN"/>
        </w:rPr>
        <w:t>78.13</w:t>
      </w:r>
      <w:r>
        <w:rPr>
          <w:rFonts w:hint="eastAsia" w:ascii="仿宋_GB2312" w:hAnsi="仿宋_GB2312" w:eastAsia="仿宋_GB2312" w:cs="仿宋_GB2312"/>
          <w:color w:val="333333"/>
          <w:kern w:val="0"/>
          <w:sz w:val="32"/>
          <w:szCs w:val="32"/>
        </w:rPr>
        <w:t>万元，占</w:t>
      </w:r>
      <w:r>
        <w:rPr>
          <w:rFonts w:hint="eastAsia" w:ascii="仿宋_GB2312" w:hAnsi="仿宋_GB2312" w:eastAsia="仿宋_GB2312" w:cs="仿宋_GB2312"/>
          <w:color w:val="333333"/>
          <w:kern w:val="0"/>
          <w:sz w:val="32"/>
          <w:szCs w:val="32"/>
          <w:lang w:val="en-US" w:eastAsia="zh-CN"/>
        </w:rPr>
        <w:t>11.69</w:t>
      </w:r>
      <w:r>
        <w:rPr>
          <w:rFonts w:hint="eastAsia" w:ascii="仿宋_GB2312" w:hAnsi="仿宋_GB2312" w:eastAsia="仿宋_GB2312" w:cs="仿宋_GB2312"/>
          <w:color w:val="333333"/>
          <w:kern w:val="0"/>
          <w:sz w:val="32"/>
          <w:szCs w:val="32"/>
        </w:rPr>
        <w:t>%；医疗卫生与计划支出</w:t>
      </w:r>
      <w:r>
        <w:rPr>
          <w:rFonts w:hint="eastAsia" w:ascii="仿宋_GB2312" w:hAnsi="仿宋_GB2312" w:eastAsia="仿宋_GB2312" w:cs="仿宋_GB2312"/>
          <w:color w:val="333333"/>
          <w:kern w:val="0"/>
          <w:sz w:val="32"/>
          <w:szCs w:val="32"/>
          <w:lang w:val="en-US" w:eastAsia="zh-CN"/>
        </w:rPr>
        <w:t>32.07</w:t>
      </w:r>
      <w:r>
        <w:rPr>
          <w:rFonts w:hint="eastAsia" w:ascii="仿宋_GB2312" w:hAnsi="仿宋_GB2312" w:eastAsia="仿宋_GB2312" w:cs="仿宋_GB2312"/>
          <w:color w:val="333333"/>
          <w:kern w:val="0"/>
          <w:sz w:val="32"/>
          <w:szCs w:val="32"/>
        </w:rPr>
        <w:t>万元</w:t>
      </w:r>
      <w:r>
        <w:rPr>
          <w:rFonts w:hint="eastAsia" w:ascii="仿宋_GB2312" w:hAnsi="仿宋_GB2312" w:eastAsia="仿宋_GB2312" w:cs="仿宋_GB2312"/>
          <w:color w:val="333333"/>
          <w:kern w:val="0"/>
          <w:sz w:val="32"/>
          <w:szCs w:val="32"/>
          <w:lang w:eastAsia="zh-CN"/>
        </w:rPr>
        <w:t>，</w:t>
      </w:r>
      <w:r>
        <w:rPr>
          <w:rFonts w:hint="eastAsia" w:ascii="仿宋_GB2312" w:hAnsi="仿宋_GB2312" w:eastAsia="仿宋_GB2312" w:cs="仿宋_GB2312"/>
          <w:color w:val="333333"/>
          <w:kern w:val="0"/>
          <w:sz w:val="32"/>
          <w:szCs w:val="32"/>
        </w:rPr>
        <w:t>占</w:t>
      </w:r>
      <w:r>
        <w:rPr>
          <w:rFonts w:hint="eastAsia" w:ascii="仿宋_GB2312" w:hAnsi="仿宋_GB2312" w:eastAsia="仿宋_GB2312" w:cs="仿宋_GB2312"/>
          <w:color w:val="333333"/>
          <w:kern w:val="0"/>
          <w:sz w:val="32"/>
          <w:szCs w:val="32"/>
          <w:lang w:val="en-US" w:eastAsia="zh-CN"/>
        </w:rPr>
        <w:t>4.8</w:t>
      </w:r>
      <w:r>
        <w:rPr>
          <w:rFonts w:hint="eastAsia" w:ascii="仿宋_GB2312" w:hAnsi="仿宋_GB2312" w:eastAsia="仿宋_GB2312" w:cs="仿宋_GB2312"/>
          <w:color w:val="333333"/>
          <w:kern w:val="0"/>
          <w:sz w:val="32"/>
          <w:szCs w:val="32"/>
        </w:rPr>
        <w:t>%；农林水支出</w:t>
      </w:r>
      <w:r>
        <w:rPr>
          <w:rFonts w:hint="eastAsia" w:ascii="仿宋_GB2312" w:hAnsi="仿宋_GB2312" w:eastAsia="仿宋_GB2312" w:cs="仿宋_GB2312"/>
          <w:color w:val="333333"/>
          <w:kern w:val="0"/>
          <w:sz w:val="32"/>
          <w:szCs w:val="32"/>
          <w:lang w:val="en-US" w:eastAsia="zh-CN"/>
        </w:rPr>
        <w:t>512.08</w:t>
      </w:r>
      <w:r>
        <w:rPr>
          <w:rFonts w:hint="eastAsia" w:ascii="仿宋_GB2312" w:hAnsi="仿宋_GB2312" w:eastAsia="仿宋_GB2312" w:cs="仿宋_GB2312"/>
          <w:color w:val="333333"/>
          <w:kern w:val="0"/>
          <w:sz w:val="32"/>
          <w:szCs w:val="32"/>
        </w:rPr>
        <w:t>万元占</w:t>
      </w:r>
      <w:r>
        <w:rPr>
          <w:rFonts w:hint="eastAsia" w:ascii="仿宋_GB2312" w:hAnsi="仿宋_GB2312" w:eastAsia="仿宋_GB2312" w:cs="仿宋_GB2312"/>
          <w:color w:val="333333"/>
          <w:kern w:val="0"/>
          <w:sz w:val="32"/>
          <w:szCs w:val="32"/>
          <w:lang w:val="en-US" w:eastAsia="zh-CN"/>
        </w:rPr>
        <w:t>76.6</w:t>
      </w:r>
      <w:r>
        <w:rPr>
          <w:rFonts w:hint="eastAsia" w:ascii="仿宋_GB2312" w:hAnsi="仿宋_GB2312" w:eastAsia="仿宋_GB2312" w:cs="仿宋_GB2312"/>
          <w:color w:val="333333"/>
          <w:kern w:val="0"/>
          <w:sz w:val="32"/>
          <w:szCs w:val="32"/>
        </w:rPr>
        <w:t>%；住房保障支出</w:t>
      </w:r>
      <w:r>
        <w:rPr>
          <w:rFonts w:hint="eastAsia" w:ascii="仿宋_GB2312" w:hAnsi="仿宋_GB2312" w:eastAsia="仿宋_GB2312" w:cs="仿宋_GB2312"/>
          <w:color w:val="333333"/>
          <w:kern w:val="0"/>
          <w:sz w:val="32"/>
          <w:szCs w:val="32"/>
          <w:lang w:val="en-US" w:eastAsia="zh-CN"/>
        </w:rPr>
        <w:t>46.21</w:t>
      </w:r>
      <w:r>
        <w:rPr>
          <w:rFonts w:hint="eastAsia" w:ascii="仿宋_GB2312" w:hAnsi="仿宋_GB2312" w:eastAsia="仿宋_GB2312" w:cs="仿宋_GB2312"/>
          <w:color w:val="333333"/>
          <w:kern w:val="0"/>
          <w:sz w:val="32"/>
          <w:szCs w:val="32"/>
        </w:rPr>
        <w:t>万元，占</w:t>
      </w:r>
      <w:r>
        <w:rPr>
          <w:rFonts w:hint="eastAsia" w:ascii="仿宋_GB2312" w:hAnsi="仿宋_GB2312" w:eastAsia="仿宋_GB2312" w:cs="仿宋_GB2312"/>
          <w:color w:val="333333"/>
          <w:kern w:val="0"/>
          <w:sz w:val="32"/>
          <w:szCs w:val="32"/>
          <w:lang w:val="en-US" w:eastAsia="zh-CN"/>
        </w:rPr>
        <w:t>6.91</w:t>
      </w:r>
      <w:r>
        <w:rPr>
          <w:rFonts w:hint="eastAsia" w:ascii="仿宋_GB2312" w:hAnsi="仿宋_GB2312" w:eastAsia="仿宋_GB2312" w:cs="仿宋_GB2312"/>
          <w:color w:val="333333"/>
          <w:kern w:val="0"/>
          <w:sz w:val="32"/>
          <w:szCs w:val="32"/>
        </w:rPr>
        <w:t>%。</w:t>
      </w:r>
    </w:p>
    <w:p w14:paraId="637D5422">
      <w:pPr>
        <w:pStyle w:val="12"/>
        <w:keepNext w:val="0"/>
        <w:keepLines w:val="0"/>
        <w:pageBreakBefore w:val="0"/>
        <w:kinsoku/>
        <w:wordWrap/>
        <w:overflowPunct/>
        <w:topLinePunct w:val="0"/>
        <w:autoSpaceDE/>
        <w:autoSpaceDN/>
        <w:bidi w:val="0"/>
        <w:spacing w:before="0" w:line="560" w:lineRule="exact"/>
        <w:ind w:firstLine="660"/>
        <w:textAlignment w:val="auto"/>
        <w:rPr>
          <w:rFonts w:ascii="楷体" w:eastAsia="楷体" w:cs="仿宋_GB2312"/>
          <w:b/>
          <w:bCs/>
          <w:kern w:val="2"/>
          <w:sz w:val="32"/>
          <w:szCs w:val="32"/>
        </w:rPr>
      </w:pPr>
      <w:r>
        <w:rPr>
          <w:rFonts w:hint="eastAsia" w:ascii="楷体" w:eastAsia="楷体" w:cs="仿宋_GB2312"/>
          <w:b/>
          <w:bCs/>
          <w:kern w:val="2"/>
          <w:sz w:val="32"/>
          <w:szCs w:val="32"/>
        </w:rPr>
        <w:t>（三）一般公共预算当年拨款具体使用情况</w:t>
      </w:r>
    </w:p>
    <w:p w14:paraId="7E90B89F">
      <w:pPr>
        <w:keepNext w:val="0"/>
        <w:keepLines w:val="0"/>
        <w:pageBreakBefore w:val="0"/>
        <w:widowControl/>
        <w:shd w:val="clear" w:color="auto" w:fill="FFFFFF"/>
        <w:kinsoku/>
        <w:wordWrap/>
        <w:overflowPunct/>
        <w:topLinePunct w:val="0"/>
        <w:autoSpaceDE/>
        <w:autoSpaceDN/>
        <w:bidi w:val="0"/>
        <w:adjustRightInd/>
        <w:snapToGrid/>
        <w:spacing w:after="100" w:afterAutospacing="1" w:line="560" w:lineRule="exact"/>
        <w:ind w:firstLine="641"/>
        <w:jc w:val="left"/>
        <w:textAlignment w:val="auto"/>
        <w:rPr>
          <w:rFonts w:hint="eastAsia" w:ascii="仿宋_GB2312" w:hAnsi="Times New Roman" w:eastAsia="仿宋_GB2312" w:cs="Times New Roman"/>
          <w:color w:val="333333"/>
          <w:kern w:val="0"/>
          <w:sz w:val="32"/>
          <w:szCs w:val="32"/>
          <w:lang w:eastAsia="zh-CN"/>
        </w:rPr>
      </w:pPr>
      <w:r>
        <w:rPr>
          <w:rFonts w:ascii="Times New Roman" w:hAnsi="Times New Roman" w:eastAsia="微软雅黑" w:cs="Times New Roman"/>
          <w:color w:val="333333"/>
          <w:kern w:val="0"/>
          <w:sz w:val="32"/>
          <w:szCs w:val="32"/>
        </w:rPr>
        <w:t>1</w:t>
      </w:r>
      <w:r>
        <w:rPr>
          <w:rFonts w:hint="eastAsia" w:ascii="Times New Roman" w:hAnsi="Times New Roman" w:eastAsia="仿宋_GB2312" w:cs="Times New Roman"/>
          <w:color w:val="333333"/>
          <w:kern w:val="0"/>
          <w:sz w:val="32"/>
          <w:szCs w:val="32"/>
        </w:rPr>
        <w:t>.</w:t>
      </w:r>
      <w:r>
        <w:rPr>
          <w:rFonts w:ascii="仿宋_GB2312" w:hAnsi="Times New Roman" w:eastAsia="仿宋_GB2312" w:cs="Times New Roman"/>
          <w:color w:val="333333"/>
          <w:kern w:val="0"/>
          <w:sz w:val="32"/>
          <w:szCs w:val="32"/>
        </w:rPr>
        <w:t>社会保障和就业支出</w:t>
      </w:r>
      <w:r>
        <w:rPr>
          <w:rFonts w:hint="eastAsia" w:ascii="Times New Roman" w:hAnsi="Times New Roman" w:eastAsia="微软雅黑" w:cs="Times New Roman"/>
          <w:color w:val="333333"/>
          <w:kern w:val="0"/>
          <w:sz w:val="32"/>
          <w:szCs w:val="32"/>
          <w:lang w:val="en-US" w:eastAsia="zh-CN"/>
        </w:rPr>
        <w:t>78.13</w:t>
      </w:r>
      <w:r>
        <w:rPr>
          <w:rFonts w:ascii="仿宋_GB2312" w:hAnsi="Times New Roman" w:eastAsia="仿宋_GB2312" w:cs="Times New Roman"/>
          <w:color w:val="333333"/>
          <w:kern w:val="0"/>
          <w:sz w:val="32"/>
          <w:szCs w:val="32"/>
        </w:rPr>
        <w:t>万元</w:t>
      </w:r>
      <w:r>
        <w:rPr>
          <w:rFonts w:hint="eastAsia" w:ascii="仿宋_GB2312" w:hAnsi="微软雅黑" w:eastAsia="仿宋_GB2312" w:cs="Arial"/>
          <w:color w:val="333333"/>
          <w:kern w:val="0"/>
          <w:sz w:val="32"/>
          <w:szCs w:val="32"/>
        </w:rPr>
        <w:t>：</w:t>
      </w:r>
      <w:r>
        <w:rPr>
          <w:rFonts w:ascii="仿宋_GB2312" w:hAnsi="Times New Roman" w:eastAsia="仿宋_GB2312" w:cs="Times New Roman"/>
          <w:color w:val="333333"/>
          <w:kern w:val="0"/>
          <w:sz w:val="32"/>
          <w:szCs w:val="32"/>
        </w:rPr>
        <w:t>主要用于职工社会保障缴费。</w:t>
      </w:r>
      <w:r>
        <w:rPr>
          <w:rFonts w:hint="eastAsia" w:ascii="仿宋_GB2312" w:hAnsi="Times New Roman" w:eastAsia="仿宋_GB2312" w:cs="Times New Roman"/>
          <w:color w:val="333333"/>
          <w:kern w:val="0"/>
          <w:sz w:val="32"/>
          <w:szCs w:val="32"/>
          <w:lang w:eastAsia="zh-CN"/>
        </w:rPr>
        <w:t>（</w:t>
      </w:r>
      <w:r>
        <w:rPr>
          <w:rFonts w:hint="eastAsia" w:ascii="仿宋_GB2312" w:hAnsi="微软雅黑" w:eastAsia="仿宋_GB2312" w:cs="Arial"/>
          <w:color w:val="333333"/>
          <w:kern w:val="0"/>
          <w:sz w:val="32"/>
          <w:szCs w:val="32"/>
          <w:lang w:val="en-US" w:eastAsia="zh-CN"/>
        </w:rPr>
        <w:t>2080505支出为养老保险，2080506支出为职业年金</w:t>
      </w:r>
      <w:r>
        <w:rPr>
          <w:rFonts w:ascii="仿宋_GB2312" w:hAnsi="Times New Roman" w:eastAsia="仿宋_GB2312" w:cs="Times New Roman"/>
          <w:color w:val="333333"/>
          <w:kern w:val="0"/>
          <w:sz w:val="32"/>
          <w:szCs w:val="32"/>
        </w:rPr>
        <w:t>。</w:t>
      </w:r>
      <w:r>
        <w:rPr>
          <w:rFonts w:hint="eastAsia" w:ascii="仿宋_GB2312" w:hAnsi="Times New Roman" w:eastAsia="仿宋_GB2312" w:cs="Times New Roman"/>
          <w:color w:val="333333"/>
          <w:kern w:val="0"/>
          <w:sz w:val="32"/>
          <w:szCs w:val="32"/>
          <w:lang w:eastAsia="zh-CN"/>
        </w:rPr>
        <w:t>）</w:t>
      </w:r>
    </w:p>
    <w:p w14:paraId="2F091902">
      <w:pPr>
        <w:keepNext w:val="0"/>
        <w:keepLines w:val="0"/>
        <w:pageBreakBefore w:val="0"/>
        <w:widowControl/>
        <w:shd w:val="clear" w:color="auto" w:fill="FFFFFF"/>
        <w:kinsoku/>
        <w:wordWrap/>
        <w:overflowPunct/>
        <w:topLinePunct w:val="0"/>
        <w:autoSpaceDE/>
        <w:autoSpaceDN/>
        <w:bidi w:val="0"/>
        <w:adjustRightInd/>
        <w:snapToGrid/>
        <w:spacing w:after="100" w:afterAutospacing="1" w:line="560" w:lineRule="exact"/>
        <w:ind w:firstLine="641"/>
        <w:jc w:val="left"/>
        <w:textAlignment w:val="auto"/>
        <w:rPr>
          <w:rFonts w:hint="eastAsia" w:ascii="微软雅黑" w:hAnsi="微软雅黑" w:eastAsia="微软雅黑" w:cs="Arial"/>
          <w:color w:val="333333"/>
          <w:kern w:val="0"/>
          <w:sz w:val="27"/>
          <w:szCs w:val="27"/>
        </w:rPr>
      </w:pPr>
      <w:r>
        <w:rPr>
          <w:rFonts w:ascii="Times New Roman" w:hAnsi="Times New Roman" w:eastAsia="微软雅黑" w:cs="Times New Roman"/>
          <w:color w:val="333333"/>
          <w:kern w:val="0"/>
          <w:sz w:val="32"/>
          <w:szCs w:val="32"/>
        </w:rPr>
        <w:t>2</w:t>
      </w:r>
      <w:r>
        <w:rPr>
          <w:rFonts w:hint="eastAsia" w:ascii="Times New Roman" w:hAnsi="Times New Roman" w:eastAsia="仿宋_GB2312" w:cs="Times New Roman"/>
          <w:color w:val="333333"/>
          <w:kern w:val="0"/>
          <w:sz w:val="32"/>
          <w:szCs w:val="32"/>
        </w:rPr>
        <w:t>.</w:t>
      </w:r>
      <w:r>
        <w:rPr>
          <w:rFonts w:ascii="仿宋_GB2312" w:hAnsi="Times New Roman" w:eastAsia="仿宋_GB2312" w:cs="Times New Roman"/>
          <w:color w:val="333333"/>
          <w:kern w:val="0"/>
          <w:sz w:val="32"/>
          <w:szCs w:val="32"/>
        </w:rPr>
        <w:t>医疗卫生与计划支出</w:t>
      </w:r>
      <w:r>
        <w:rPr>
          <w:rFonts w:ascii="Times New Roman" w:hAnsi="Times New Roman" w:eastAsia="微软雅黑" w:cs="Times New Roman"/>
          <w:color w:val="333333"/>
          <w:kern w:val="0"/>
          <w:sz w:val="32"/>
          <w:szCs w:val="32"/>
        </w:rPr>
        <w:t>(210110</w:t>
      </w:r>
      <w:r>
        <w:rPr>
          <w:rFonts w:hint="eastAsia" w:ascii="Times New Roman" w:hAnsi="Times New Roman" w:eastAsia="微软雅黑" w:cs="Times New Roman"/>
          <w:color w:val="333333"/>
          <w:kern w:val="0"/>
          <w:sz w:val="32"/>
          <w:szCs w:val="32"/>
          <w:lang w:val="en-US" w:eastAsia="zh-CN"/>
        </w:rPr>
        <w:t>2</w:t>
      </w:r>
      <w:r>
        <w:rPr>
          <w:rFonts w:ascii="Times New Roman" w:hAnsi="Times New Roman" w:eastAsia="微软雅黑" w:cs="Times New Roman"/>
          <w:color w:val="333333"/>
          <w:kern w:val="0"/>
          <w:sz w:val="32"/>
          <w:szCs w:val="32"/>
        </w:rPr>
        <w:t>)</w:t>
      </w:r>
      <w:r>
        <w:rPr>
          <w:rFonts w:ascii="仿宋_GB2312" w:hAnsi="Times New Roman" w:eastAsia="仿宋_GB2312" w:cs="Times New Roman"/>
          <w:color w:val="333333"/>
          <w:kern w:val="0"/>
          <w:sz w:val="32"/>
          <w:szCs w:val="32"/>
        </w:rPr>
        <w:t>支出</w:t>
      </w:r>
      <w:r>
        <w:rPr>
          <w:rFonts w:hint="eastAsia" w:ascii="Times New Roman" w:hAnsi="Times New Roman" w:eastAsia="微软雅黑" w:cs="Times New Roman"/>
          <w:color w:val="333333"/>
          <w:kern w:val="0"/>
          <w:sz w:val="32"/>
          <w:szCs w:val="32"/>
          <w:lang w:val="en-US" w:eastAsia="zh-CN"/>
        </w:rPr>
        <w:t>32.07</w:t>
      </w:r>
      <w:r>
        <w:rPr>
          <w:rFonts w:ascii="仿宋_GB2312" w:hAnsi="Times New Roman" w:eastAsia="仿宋_GB2312" w:cs="Times New Roman"/>
          <w:color w:val="333333"/>
          <w:kern w:val="0"/>
          <w:sz w:val="32"/>
          <w:szCs w:val="32"/>
        </w:rPr>
        <w:t>万元</w:t>
      </w:r>
      <w:r>
        <w:rPr>
          <w:rFonts w:hint="eastAsia" w:ascii="仿宋_GB2312" w:hAnsi="微软雅黑" w:eastAsia="仿宋_GB2312" w:cs="Arial"/>
          <w:color w:val="333333"/>
          <w:kern w:val="0"/>
          <w:sz w:val="32"/>
          <w:szCs w:val="32"/>
        </w:rPr>
        <w:t>：</w:t>
      </w:r>
      <w:r>
        <w:rPr>
          <w:rFonts w:ascii="仿宋_GB2312" w:hAnsi="Times New Roman" w:eastAsia="仿宋_GB2312" w:cs="Times New Roman"/>
          <w:color w:val="333333"/>
          <w:kern w:val="0"/>
          <w:sz w:val="32"/>
          <w:szCs w:val="32"/>
        </w:rPr>
        <w:t>主要用于职工医疗保险缴费</w:t>
      </w:r>
    </w:p>
    <w:p w14:paraId="2E2CF0BE">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1"/>
        <w:textAlignment w:val="auto"/>
        <w:rPr>
          <w:rFonts w:hint="eastAsia" w:ascii="Calibri" w:hAnsi="Calibri" w:eastAsia="宋体" w:cs="Calibri"/>
          <w:color w:val="333333"/>
          <w:kern w:val="0"/>
          <w:szCs w:val="21"/>
        </w:rPr>
      </w:pPr>
      <w:r>
        <w:rPr>
          <w:rFonts w:ascii="Times New Roman" w:hAnsi="Times New Roman" w:eastAsia="宋体" w:cs="Times New Roman"/>
          <w:color w:val="333333"/>
          <w:kern w:val="0"/>
          <w:sz w:val="32"/>
          <w:szCs w:val="32"/>
        </w:rPr>
        <w:t>3</w:t>
      </w:r>
      <w:r>
        <w:rPr>
          <w:rFonts w:hint="eastAsia" w:ascii="Times New Roman" w:hAnsi="Times New Roman" w:eastAsia="仿宋_GB2312" w:cs="Times New Roman"/>
          <w:color w:val="333333"/>
          <w:kern w:val="0"/>
          <w:sz w:val="32"/>
          <w:szCs w:val="32"/>
        </w:rPr>
        <w:t>.</w:t>
      </w:r>
      <w:r>
        <w:rPr>
          <w:rFonts w:ascii="仿宋_GB2312" w:hAnsi="Times New Roman" w:eastAsia="仿宋_GB2312" w:cs="Times New Roman"/>
          <w:color w:val="333333"/>
          <w:kern w:val="0"/>
          <w:sz w:val="32"/>
          <w:szCs w:val="32"/>
        </w:rPr>
        <w:t>农林水支出（</w:t>
      </w:r>
      <w:r>
        <w:rPr>
          <w:rFonts w:ascii="Times New Roman" w:hAnsi="Times New Roman" w:eastAsia="宋体" w:cs="Times New Roman"/>
          <w:color w:val="333333"/>
          <w:kern w:val="0"/>
          <w:sz w:val="32"/>
          <w:szCs w:val="32"/>
        </w:rPr>
        <w:t>213020</w:t>
      </w:r>
      <w:r>
        <w:rPr>
          <w:rFonts w:hint="eastAsia" w:ascii="Times New Roman" w:hAnsi="Times New Roman" w:cs="Times New Roman"/>
          <w:color w:val="333333"/>
          <w:kern w:val="0"/>
          <w:sz w:val="32"/>
          <w:szCs w:val="32"/>
          <w:lang w:val="en-US" w:eastAsia="zh-CN"/>
        </w:rPr>
        <w:t>4</w:t>
      </w:r>
      <w:r>
        <w:rPr>
          <w:rFonts w:ascii="仿宋_GB2312" w:hAnsi="Times New Roman" w:eastAsia="仿宋_GB2312" w:cs="Times New Roman"/>
          <w:color w:val="333333"/>
          <w:kern w:val="0"/>
          <w:sz w:val="32"/>
          <w:szCs w:val="32"/>
        </w:rPr>
        <w:t>）支出</w:t>
      </w:r>
      <w:r>
        <w:rPr>
          <w:rFonts w:hint="eastAsia" w:ascii="Times New Roman" w:hAnsi="Times New Roman" w:cs="Times New Roman"/>
          <w:color w:val="333333"/>
          <w:kern w:val="0"/>
          <w:sz w:val="32"/>
          <w:szCs w:val="32"/>
          <w:lang w:val="en-US" w:eastAsia="zh-CN"/>
        </w:rPr>
        <w:t>512.08</w:t>
      </w:r>
      <w:r>
        <w:rPr>
          <w:rFonts w:ascii="仿宋_GB2312" w:hAnsi="Times New Roman" w:eastAsia="仿宋_GB2312" w:cs="Times New Roman"/>
          <w:color w:val="333333"/>
          <w:kern w:val="0"/>
          <w:sz w:val="32"/>
          <w:szCs w:val="32"/>
        </w:rPr>
        <w:t>万元：主要用于</w:t>
      </w:r>
      <w:r>
        <w:rPr>
          <w:rFonts w:hint="eastAsia" w:ascii="仿宋_GB2312" w:hAnsi="Times New Roman" w:eastAsia="仿宋_GB2312" w:cs="Times New Roman"/>
          <w:color w:val="333333"/>
          <w:kern w:val="0"/>
          <w:sz w:val="32"/>
          <w:szCs w:val="32"/>
          <w:lang w:val="en-US" w:eastAsia="zh-CN"/>
        </w:rPr>
        <w:t>机构运行及</w:t>
      </w:r>
      <w:r>
        <w:rPr>
          <w:rFonts w:ascii="仿宋_GB2312" w:hAnsi="Times New Roman" w:eastAsia="仿宋_GB2312" w:cs="Times New Roman"/>
          <w:color w:val="333333"/>
          <w:kern w:val="0"/>
          <w:sz w:val="32"/>
          <w:szCs w:val="32"/>
        </w:rPr>
        <w:t>项目开展。</w:t>
      </w:r>
    </w:p>
    <w:p w14:paraId="2695B7BD">
      <w:pPr>
        <w:keepNext w:val="0"/>
        <w:keepLines w:val="0"/>
        <w:pageBreakBefore w:val="0"/>
        <w:widowControl/>
        <w:shd w:val="clear" w:color="auto" w:fill="FFFFFF"/>
        <w:kinsoku/>
        <w:wordWrap/>
        <w:overflowPunct/>
        <w:topLinePunct w:val="0"/>
        <w:autoSpaceDE/>
        <w:autoSpaceDN/>
        <w:bidi w:val="0"/>
        <w:adjustRightInd/>
        <w:snapToGrid/>
        <w:spacing w:after="100" w:afterAutospacing="1" w:line="560" w:lineRule="exact"/>
        <w:ind w:firstLine="641"/>
        <w:jc w:val="left"/>
        <w:textAlignment w:val="auto"/>
        <w:rPr>
          <w:rFonts w:ascii="仿宋_GB2312" w:hAnsi="Times New Roman" w:eastAsia="仿宋_GB2312" w:cs="Times New Roman"/>
          <w:color w:val="333333"/>
          <w:kern w:val="0"/>
          <w:sz w:val="32"/>
          <w:szCs w:val="32"/>
        </w:rPr>
      </w:pPr>
      <w:r>
        <w:rPr>
          <w:rFonts w:ascii="Times New Roman" w:hAnsi="Times New Roman" w:eastAsia="微软雅黑" w:cs="Times New Roman"/>
          <w:color w:val="333333"/>
          <w:kern w:val="0"/>
          <w:sz w:val="32"/>
          <w:szCs w:val="32"/>
        </w:rPr>
        <w:t>4</w:t>
      </w:r>
      <w:r>
        <w:rPr>
          <w:rFonts w:hint="eastAsia" w:ascii="Times New Roman" w:hAnsi="Times New Roman" w:eastAsia="仿宋_GB2312" w:cs="Times New Roman"/>
          <w:color w:val="333333"/>
          <w:kern w:val="0"/>
          <w:sz w:val="32"/>
          <w:szCs w:val="32"/>
        </w:rPr>
        <w:t>.</w:t>
      </w:r>
      <w:r>
        <w:rPr>
          <w:rFonts w:ascii="仿宋_GB2312" w:hAnsi="Times New Roman" w:eastAsia="仿宋_GB2312" w:cs="Times New Roman"/>
          <w:color w:val="333333"/>
          <w:kern w:val="0"/>
          <w:sz w:val="32"/>
          <w:szCs w:val="32"/>
        </w:rPr>
        <w:t>住房保障支出（</w:t>
      </w:r>
      <w:r>
        <w:rPr>
          <w:rFonts w:ascii="Times New Roman" w:hAnsi="Times New Roman" w:eastAsia="微软雅黑" w:cs="Times New Roman"/>
          <w:color w:val="333333"/>
          <w:kern w:val="0"/>
          <w:sz w:val="32"/>
          <w:szCs w:val="32"/>
        </w:rPr>
        <w:t>2210201</w:t>
      </w:r>
      <w:r>
        <w:rPr>
          <w:rFonts w:ascii="仿宋_GB2312" w:hAnsi="Times New Roman" w:eastAsia="仿宋_GB2312" w:cs="Times New Roman"/>
          <w:color w:val="333333"/>
          <w:kern w:val="0"/>
          <w:sz w:val="32"/>
          <w:szCs w:val="32"/>
        </w:rPr>
        <w:t>）支出</w:t>
      </w:r>
      <w:r>
        <w:rPr>
          <w:rFonts w:hint="eastAsia" w:ascii="Times New Roman" w:hAnsi="Times New Roman" w:eastAsia="微软雅黑" w:cs="Times New Roman"/>
          <w:color w:val="333333"/>
          <w:kern w:val="0"/>
          <w:sz w:val="32"/>
          <w:szCs w:val="32"/>
          <w:lang w:val="en-US" w:eastAsia="zh-CN"/>
        </w:rPr>
        <w:t>46.21</w:t>
      </w:r>
      <w:r>
        <w:rPr>
          <w:rFonts w:ascii="仿宋_GB2312" w:hAnsi="Times New Roman" w:eastAsia="仿宋_GB2312" w:cs="Times New Roman"/>
          <w:color w:val="333333"/>
          <w:kern w:val="0"/>
          <w:sz w:val="32"/>
          <w:szCs w:val="32"/>
        </w:rPr>
        <w:t>万元：主要用于职工住房公积金</w:t>
      </w:r>
      <w:r>
        <w:rPr>
          <w:rFonts w:hint="eastAsia" w:ascii="仿宋_GB2312" w:hAnsi="Times New Roman" w:eastAsia="仿宋_GB2312" w:cs="Times New Roman"/>
          <w:color w:val="333333"/>
          <w:kern w:val="0"/>
          <w:sz w:val="32"/>
          <w:szCs w:val="32"/>
          <w:lang w:val="en-US" w:eastAsia="zh-CN"/>
        </w:rPr>
        <w:t>缴费</w:t>
      </w:r>
      <w:r>
        <w:rPr>
          <w:rFonts w:ascii="仿宋_GB2312" w:hAnsi="Times New Roman" w:eastAsia="仿宋_GB2312" w:cs="Times New Roman"/>
          <w:color w:val="333333"/>
          <w:kern w:val="0"/>
          <w:sz w:val="32"/>
          <w:szCs w:val="32"/>
        </w:rPr>
        <w:t>。</w:t>
      </w:r>
    </w:p>
    <w:p w14:paraId="037238DD">
      <w:pPr>
        <w:pStyle w:val="12"/>
        <w:keepNext w:val="0"/>
        <w:keepLines w:val="0"/>
        <w:pageBreakBefore w:val="0"/>
        <w:kinsoku/>
        <w:wordWrap/>
        <w:overflowPunct/>
        <w:topLinePunct w:val="0"/>
        <w:autoSpaceDE/>
        <w:autoSpaceDN/>
        <w:bidi w:val="0"/>
        <w:spacing w:before="0" w:line="560" w:lineRule="exact"/>
        <w:ind w:firstLine="660"/>
        <w:textAlignment w:val="auto"/>
        <w:rPr>
          <w:rFonts w:ascii="黑体" w:eastAsia="黑体"/>
          <w:sz w:val="32"/>
          <w:szCs w:val="32"/>
        </w:rPr>
      </w:pPr>
      <w:r>
        <w:rPr>
          <w:rFonts w:hint="eastAsia" w:ascii="黑体" w:eastAsia="黑体"/>
          <w:sz w:val="32"/>
          <w:szCs w:val="32"/>
        </w:rPr>
        <w:t>六、一般公共预算基本支出情况说明</w:t>
      </w:r>
    </w:p>
    <w:p w14:paraId="7EC99D87">
      <w:pPr>
        <w:pStyle w:val="12"/>
        <w:keepNext w:val="0"/>
        <w:keepLines w:val="0"/>
        <w:pageBreakBefore w:val="0"/>
        <w:kinsoku/>
        <w:wordWrap/>
        <w:overflowPunct/>
        <w:topLinePunct w:val="0"/>
        <w:autoSpaceDE/>
        <w:autoSpaceDN/>
        <w:bidi w:val="0"/>
        <w:spacing w:before="0" w:line="560" w:lineRule="exact"/>
        <w:ind w:firstLine="640" w:firstLineChars="200"/>
        <w:textAlignment w:val="auto"/>
        <w:rPr>
          <w:rFonts w:hint="default" w:eastAsia="仿宋_GB2312" w:cs="仿宋_GB2312"/>
          <w:kern w:val="2"/>
          <w:sz w:val="32"/>
          <w:szCs w:val="32"/>
          <w:lang w:val="en-US" w:eastAsia="zh-CN"/>
        </w:rPr>
      </w:pPr>
      <w:r>
        <w:rPr>
          <w:rFonts w:hint="eastAsia" w:ascii="仿宋_GB2312" w:hAnsi="Times New Roman" w:eastAsia="仿宋_GB2312"/>
          <w:sz w:val="32"/>
          <w:szCs w:val="32"/>
          <w:lang w:val="en-US" w:eastAsia="zh-CN"/>
        </w:rPr>
        <w:t>大熊猫国家公园阿坝管理分局</w:t>
      </w: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年一般公共预算基本支出</w:t>
      </w:r>
      <w:r>
        <w:rPr>
          <w:rFonts w:hint="eastAsia" w:cs="仿宋_GB2312"/>
          <w:color w:val="000000" w:themeColor="text1"/>
          <w:kern w:val="2"/>
          <w:sz w:val="32"/>
          <w:szCs w:val="32"/>
          <w:lang w:val="en-US" w:eastAsia="zh-CN"/>
          <w14:textFill>
            <w14:solidFill>
              <w14:schemeClr w14:val="tx1"/>
            </w14:solidFill>
          </w14:textFill>
        </w:rPr>
        <w:t>568.49</w:t>
      </w:r>
      <w:r>
        <w:rPr>
          <w:rFonts w:hint="eastAsia" w:cs="仿宋_GB2312"/>
          <w:kern w:val="2"/>
          <w:sz w:val="32"/>
          <w:szCs w:val="32"/>
        </w:rPr>
        <w:t>万元，其中：人员经费</w:t>
      </w:r>
      <w:r>
        <w:rPr>
          <w:rFonts w:hint="eastAsia" w:cs="仿宋_GB2312"/>
          <w:color w:val="000000" w:themeColor="text1"/>
          <w:kern w:val="2"/>
          <w:sz w:val="32"/>
          <w:szCs w:val="32"/>
          <w:lang w:val="en-US" w:eastAsia="zh-CN"/>
          <w14:textFill>
            <w14:solidFill>
              <w14:schemeClr w14:val="tx1"/>
            </w14:solidFill>
          </w14:textFill>
        </w:rPr>
        <w:t>497.27</w:t>
      </w:r>
      <w:r>
        <w:rPr>
          <w:rFonts w:hint="eastAsia" w:cs="仿宋_GB2312"/>
          <w:kern w:val="2"/>
          <w:sz w:val="32"/>
          <w:szCs w:val="32"/>
        </w:rPr>
        <w:t>万元，主要包括：基本工资</w:t>
      </w:r>
      <w:r>
        <w:rPr>
          <w:rFonts w:hint="eastAsia" w:cs="仿宋_GB2312"/>
          <w:kern w:val="2"/>
          <w:sz w:val="32"/>
          <w:szCs w:val="32"/>
          <w:lang w:val="en-US" w:eastAsia="zh-CN"/>
        </w:rPr>
        <w:t>98.65万元</w:t>
      </w:r>
      <w:r>
        <w:rPr>
          <w:rFonts w:hint="eastAsia" w:cs="仿宋_GB2312"/>
          <w:kern w:val="2"/>
          <w:sz w:val="32"/>
          <w:szCs w:val="32"/>
        </w:rPr>
        <w:t>、津贴补贴</w:t>
      </w:r>
      <w:r>
        <w:rPr>
          <w:rFonts w:hint="eastAsia" w:cs="仿宋_GB2312"/>
          <w:kern w:val="2"/>
          <w:sz w:val="32"/>
          <w:szCs w:val="32"/>
          <w:lang w:val="en-US" w:eastAsia="zh-CN"/>
        </w:rPr>
        <w:t>56.95万元</w:t>
      </w:r>
      <w:r>
        <w:rPr>
          <w:rFonts w:hint="eastAsia" w:cs="仿宋_GB2312"/>
          <w:kern w:val="2"/>
          <w:sz w:val="32"/>
          <w:szCs w:val="32"/>
        </w:rPr>
        <w:t>、奖金</w:t>
      </w:r>
      <w:r>
        <w:rPr>
          <w:rFonts w:hint="eastAsia" w:cs="仿宋_GB2312"/>
          <w:kern w:val="2"/>
          <w:sz w:val="32"/>
          <w:szCs w:val="32"/>
          <w:lang w:val="en-US" w:eastAsia="zh-CN"/>
        </w:rPr>
        <w:t>94.05万元</w:t>
      </w:r>
      <w:r>
        <w:rPr>
          <w:rFonts w:hint="eastAsia" w:cs="仿宋_GB2312"/>
          <w:kern w:val="2"/>
          <w:sz w:val="32"/>
          <w:szCs w:val="32"/>
        </w:rPr>
        <w:t>、其他社会保障缴费</w:t>
      </w:r>
      <w:r>
        <w:rPr>
          <w:rFonts w:hint="eastAsia" w:cs="仿宋_GB2312"/>
          <w:kern w:val="2"/>
          <w:sz w:val="32"/>
          <w:szCs w:val="32"/>
          <w:lang w:val="en-US" w:eastAsia="zh-CN"/>
        </w:rPr>
        <w:t>7.28万元</w:t>
      </w:r>
      <w:r>
        <w:rPr>
          <w:rFonts w:hint="eastAsia" w:cs="仿宋_GB2312"/>
          <w:kern w:val="2"/>
          <w:sz w:val="32"/>
          <w:szCs w:val="32"/>
        </w:rPr>
        <w:t>、绩效工资</w:t>
      </w:r>
      <w:r>
        <w:rPr>
          <w:rFonts w:hint="eastAsia" w:cs="仿宋_GB2312"/>
          <w:kern w:val="2"/>
          <w:sz w:val="32"/>
          <w:szCs w:val="32"/>
          <w:lang w:val="en-US" w:eastAsia="zh-CN"/>
        </w:rPr>
        <w:t>70.35万元</w:t>
      </w:r>
      <w:r>
        <w:rPr>
          <w:rFonts w:hint="eastAsia" w:cs="仿宋_GB2312"/>
          <w:kern w:val="2"/>
          <w:sz w:val="32"/>
          <w:szCs w:val="32"/>
        </w:rPr>
        <w:t>、机关事业单位基本养老保险缴费</w:t>
      </w:r>
      <w:r>
        <w:rPr>
          <w:rFonts w:hint="eastAsia" w:cs="仿宋_GB2312"/>
          <w:kern w:val="2"/>
          <w:sz w:val="32"/>
          <w:szCs w:val="32"/>
          <w:lang w:val="en-US" w:eastAsia="zh-CN"/>
        </w:rPr>
        <w:t>52.08万元</w:t>
      </w:r>
      <w:r>
        <w:rPr>
          <w:rFonts w:hint="eastAsia" w:cs="仿宋_GB2312"/>
          <w:kern w:val="2"/>
          <w:sz w:val="32"/>
          <w:szCs w:val="32"/>
        </w:rPr>
        <w:t>、职业年金缴费</w:t>
      </w:r>
      <w:r>
        <w:rPr>
          <w:rFonts w:hint="eastAsia" w:cs="仿宋_GB2312"/>
          <w:kern w:val="2"/>
          <w:sz w:val="32"/>
          <w:szCs w:val="32"/>
          <w:lang w:val="en-US" w:eastAsia="zh-CN"/>
        </w:rPr>
        <w:t>26.04万元</w:t>
      </w:r>
      <w:r>
        <w:rPr>
          <w:rFonts w:hint="eastAsia" w:cs="仿宋_GB2312"/>
          <w:kern w:val="2"/>
          <w:sz w:val="32"/>
          <w:szCs w:val="32"/>
        </w:rPr>
        <w:t>、</w:t>
      </w:r>
      <w:r>
        <w:rPr>
          <w:rFonts w:hint="eastAsia" w:cs="仿宋_GB2312"/>
          <w:color w:val="000000" w:themeColor="text1"/>
          <w:kern w:val="2"/>
          <w:sz w:val="32"/>
          <w:szCs w:val="32"/>
          <w14:textFill>
            <w14:solidFill>
              <w14:schemeClr w14:val="tx1"/>
            </w14:solidFill>
          </w14:textFill>
        </w:rPr>
        <w:t>职工基本医疗保险缴费</w:t>
      </w:r>
      <w:r>
        <w:rPr>
          <w:rFonts w:hint="eastAsia" w:cs="仿宋_GB2312"/>
          <w:color w:val="000000" w:themeColor="text1"/>
          <w:kern w:val="2"/>
          <w:sz w:val="32"/>
          <w:szCs w:val="32"/>
          <w:lang w:val="en-US" w:eastAsia="zh-CN"/>
          <w14:textFill>
            <w14:solidFill>
              <w14:schemeClr w14:val="tx1"/>
            </w14:solidFill>
          </w14:textFill>
        </w:rPr>
        <w:t>27.53</w:t>
      </w:r>
      <w:r>
        <w:rPr>
          <w:rFonts w:hint="eastAsia" w:cs="仿宋_GB2312"/>
          <w:color w:val="000000" w:themeColor="text1"/>
          <w:kern w:val="2"/>
          <w:sz w:val="32"/>
          <w:szCs w:val="32"/>
          <w14:textFill>
            <w14:solidFill>
              <w14:schemeClr w14:val="tx1"/>
            </w14:solidFill>
          </w14:textFill>
        </w:rPr>
        <w:t>万元、</w:t>
      </w:r>
      <w:r>
        <w:rPr>
          <w:rFonts w:hint="eastAsia" w:cs="仿宋_GB2312"/>
          <w:kern w:val="2"/>
          <w:sz w:val="32"/>
          <w:szCs w:val="32"/>
        </w:rPr>
        <w:t>其他工资福利支出</w:t>
      </w:r>
      <w:r>
        <w:rPr>
          <w:rFonts w:hint="eastAsia" w:cs="仿宋_GB2312"/>
          <w:kern w:val="2"/>
          <w:sz w:val="32"/>
          <w:szCs w:val="32"/>
          <w:lang w:val="en-US" w:eastAsia="zh-CN"/>
        </w:rPr>
        <w:t>12万元</w:t>
      </w:r>
      <w:r>
        <w:rPr>
          <w:rFonts w:hint="eastAsia" w:cs="仿宋_GB2312"/>
          <w:kern w:val="2"/>
          <w:sz w:val="32"/>
          <w:szCs w:val="32"/>
        </w:rPr>
        <w:t>、离休费</w:t>
      </w:r>
      <w:r>
        <w:rPr>
          <w:rFonts w:hint="eastAsia" w:cs="仿宋_GB2312"/>
          <w:kern w:val="2"/>
          <w:sz w:val="32"/>
          <w:szCs w:val="32"/>
          <w:lang w:val="en-US" w:eastAsia="zh-CN"/>
        </w:rPr>
        <w:t>0万元</w:t>
      </w:r>
      <w:r>
        <w:rPr>
          <w:rFonts w:hint="eastAsia" w:cs="仿宋_GB2312"/>
          <w:kern w:val="2"/>
          <w:sz w:val="32"/>
          <w:szCs w:val="32"/>
        </w:rPr>
        <w:t>、奖励金</w:t>
      </w:r>
      <w:r>
        <w:rPr>
          <w:rFonts w:hint="eastAsia" w:cs="仿宋_GB2312"/>
          <w:kern w:val="2"/>
          <w:sz w:val="32"/>
          <w:szCs w:val="32"/>
          <w:lang w:val="en-US" w:eastAsia="zh-CN"/>
        </w:rPr>
        <w:t>0.02万元</w:t>
      </w:r>
      <w:r>
        <w:rPr>
          <w:rFonts w:hint="eastAsia" w:cs="仿宋_GB2312"/>
          <w:kern w:val="2"/>
          <w:sz w:val="32"/>
          <w:szCs w:val="32"/>
        </w:rPr>
        <w:t>、住房公积金</w:t>
      </w:r>
      <w:r>
        <w:rPr>
          <w:rFonts w:hint="eastAsia" w:cs="仿宋_GB2312"/>
          <w:kern w:val="2"/>
          <w:sz w:val="32"/>
          <w:szCs w:val="32"/>
          <w:lang w:val="en-US" w:eastAsia="zh-CN"/>
        </w:rPr>
        <w:t>46.21万元、</w:t>
      </w:r>
      <w:r>
        <w:rPr>
          <w:rFonts w:hint="eastAsia" w:cs="仿宋_GB2312"/>
          <w:kern w:val="2"/>
          <w:sz w:val="32"/>
          <w:szCs w:val="32"/>
        </w:rPr>
        <w:t>其他商品和服务支出</w:t>
      </w:r>
      <w:r>
        <w:rPr>
          <w:rFonts w:hint="eastAsia" w:cs="仿宋_GB2312"/>
          <w:kern w:val="2"/>
          <w:sz w:val="32"/>
          <w:szCs w:val="32"/>
          <w:lang w:val="en-US" w:eastAsia="zh-CN"/>
        </w:rPr>
        <w:t>0.1万元、</w:t>
      </w:r>
      <w:r>
        <w:rPr>
          <w:rFonts w:hint="eastAsia" w:cs="仿宋_GB2312"/>
          <w:kern w:val="2"/>
          <w:sz w:val="32"/>
          <w:szCs w:val="32"/>
        </w:rPr>
        <w:t>其他对个人和家庭的补助支出</w:t>
      </w:r>
      <w:r>
        <w:rPr>
          <w:rFonts w:hint="eastAsia" w:cs="仿宋_GB2312"/>
          <w:kern w:val="2"/>
          <w:sz w:val="32"/>
          <w:szCs w:val="32"/>
          <w:lang w:val="en-US" w:eastAsia="zh-CN"/>
        </w:rPr>
        <w:t>6万元。</w:t>
      </w:r>
    </w:p>
    <w:p w14:paraId="7042F213">
      <w:pPr>
        <w:pStyle w:val="12"/>
        <w:keepNext w:val="0"/>
        <w:keepLines w:val="0"/>
        <w:pageBreakBefore w:val="0"/>
        <w:kinsoku/>
        <w:wordWrap/>
        <w:overflowPunct/>
        <w:topLinePunct w:val="0"/>
        <w:autoSpaceDE/>
        <w:autoSpaceDN/>
        <w:bidi w:val="0"/>
        <w:spacing w:before="0" w:line="560" w:lineRule="exact"/>
        <w:ind w:firstLine="640" w:firstLineChars="200"/>
        <w:textAlignment w:val="auto"/>
        <w:rPr>
          <w:rFonts w:ascii="黑体" w:eastAsia="黑体"/>
          <w:sz w:val="32"/>
          <w:szCs w:val="32"/>
        </w:rPr>
      </w:pPr>
      <w:r>
        <w:rPr>
          <w:rFonts w:hint="eastAsia" w:cs="仿宋_GB2312"/>
          <w:kern w:val="2"/>
          <w:sz w:val="32"/>
          <w:szCs w:val="32"/>
        </w:rPr>
        <w:t>公用经费</w:t>
      </w:r>
      <w:r>
        <w:rPr>
          <w:rFonts w:hint="eastAsia" w:cs="仿宋_GB2312"/>
          <w:color w:val="000000" w:themeColor="text1"/>
          <w:kern w:val="2"/>
          <w:sz w:val="32"/>
          <w:szCs w:val="32"/>
          <w:lang w:val="en-US" w:eastAsia="zh-CN"/>
          <w14:textFill>
            <w14:solidFill>
              <w14:schemeClr w14:val="tx1"/>
            </w14:solidFill>
          </w14:textFill>
        </w:rPr>
        <w:t>71.22</w:t>
      </w:r>
      <w:r>
        <w:rPr>
          <w:rFonts w:hint="eastAsia" w:cs="仿宋_GB2312"/>
          <w:kern w:val="2"/>
          <w:sz w:val="32"/>
          <w:szCs w:val="32"/>
        </w:rPr>
        <w:t>万元，主要包括：办公费</w:t>
      </w:r>
      <w:r>
        <w:rPr>
          <w:rFonts w:hint="eastAsia" w:cs="仿宋_GB2312"/>
          <w:kern w:val="2"/>
          <w:sz w:val="32"/>
          <w:szCs w:val="32"/>
          <w:lang w:val="en-US" w:eastAsia="zh-CN"/>
        </w:rPr>
        <w:t>2.38万元</w:t>
      </w:r>
      <w:r>
        <w:rPr>
          <w:rFonts w:hint="eastAsia" w:cs="仿宋_GB2312"/>
          <w:kern w:val="2"/>
          <w:sz w:val="32"/>
          <w:szCs w:val="32"/>
        </w:rPr>
        <w:t>、印刷费</w:t>
      </w:r>
      <w:r>
        <w:rPr>
          <w:rFonts w:hint="eastAsia" w:cs="仿宋_GB2312"/>
          <w:kern w:val="2"/>
          <w:sz w:val="32"/>
          <w:szCs w:val="32"/>
          <w:lang w:val="en-US" w:eastAsia="zh-CN"/>
        </w:rPr>
        <w:t>0万元</w:t>
      </w:r>
      <w:r>
        <w:rPr>
          <w:rFonts w:hint="eastAsia" w:cs="仿宋_GB2312"/>
          <w:kern w:val="2"/>
          <w:sz w:val="32"/>
          <w:szCs w:val="32"/>
        </w:rPr>
        <w:t>、手续费</w:t>
      </w:r>
      <w:r>
        <w:rPr>
          <w:rFonts w:hint="eastAsia" w:cs="仿宋_GB2312"/>
          <w:kern w:val="2"/>
          <w:sz w:val="32"/>
          <w:szCs w:val="32"/>
          <w:lang w:val="en-US" w:eastAsia="zh-CN"/>
        </w:rPr>
        <w:t>0万元</w:t>
      </w:r>
      <w:r>
        <w:rPr>
          <w:rFonts w:hint="eastAsia" w:cs="仿宋_GB2312"/>
          <w:kern w:val="2"/>
          <w:sz w:val="32"/>
          <w:szCs w:val="32"/>
        </w:rPr>
        <w:t>、水费</w:t>
      </w:r>
      <w:r>
        <w:rPr>
          <w:rFonts w:hint="eastAsia" w:cs="仿宋_GB2312"/>
          <w:kern w:val="2"/>
          <w:sz w:val="32"/>
          <w:szCs w:val="32"/>
          <w:lang w:val="en-US" w:eastAsia="zh-CN"/>
        </w:rPr>
        <w:t>0.71万元</w:t>
      </w:r>
      <w:r>
        <w:rPr>
          <w:rFonts w:hint="eastAsia" w:cs="仿宋_GB2312"/>
          <w:kern w:val="2"/>
          <w:sz w:val="32"/>
          <w:szCs w:val="32"/>
        </w:rPr>
        <w:t>、电费</w:t>
      </w:r>
      <w:r>
        <w:rPr>
          <w:rFonts w:hint="eastAsia" w:cs="仿宋_GB2312"/>
          <w:kern w:val="2"/>
          <w:sz w:val="32"/>
          <w:szCs w:val="32"/>
          <w:lang w:val="en-US" w:eastAsia="zh-CN"/>
        </w:rPr>
        <w:t>0.95万元</w:t>
      </w:r>
      <w:r>
        <w:rPr>
          <w:rFonts w:hint="eastAsia" w:cs="仿宋_GB2312"/>
          <w:kern w:val="2"/>
          <w:sz w:val="32"/>
          <w:szCs w:val="32"/>
        </w:rPr>
        <w:t>、邮电费</w:t>
      </w:r>
      <w:r>
        <w:rPr>
          <w:rFonts w:hint="eastAsia" w:cs="仿宋_GB2312"/>
          <w:kern w:val="2"/>
          <w:sz w:val="32"/>
          <w:szCs w:val="32"/>
          <w:lang w:val="en-US" w:eastAsia="zh-CN"/>
        </w:rPr>
        <w:t>5.65万元</w:t>
      </w:r>
      <w:r>
        <w:rPr>
          <w:rFonts w:hint="eastAsia" w:cs="仿宋_GB2312"/>
          <w:kern w:val="2"/>
          <w:sz w:val="32"/>
          <w:szCs w:val="32"/>
        </w:rPr>
        <w:t>、差旅费</w:t>
      </w:r>
      <w:r>
        <w:rPr>
          <w:rFonts w:hint="eastAsia" w:cs="仿宋_GB2312"/>
          <w:kern w:val="2"/>
          <w:sz w:val="32"/>
          <w:szCs w:val="32"/>
          <w:lang w:val="en-US" w:eastAsia="zh-CN"/>
        </w:rPr>
        <w:t>13.07万元</w:t>
      </w:r>
      <w:r>
        <w:rPr>
          <w:rFonts w:hint="eastAsia" w:cs="仿宋_GB2312"/>
          <w:kern w:val="2"/>
          <w:sz w:val="32"/>
          <w:szCs w:val="32"/>
        </w:rPr>
        <w:t>、维修（护）费</w:t>
      </w:r>
      <w:r>
        <w:rPr>
          <w:rFonts w:hint="eastAsia" w:cs="仿宋_GB2312"/>
          <w:kern w:val="2"/>
          <w:sz w:val="32"/>
          <w:szCs w:val="32"/>
          <w:lang w:val="en-US" w:eastAsia="zh-CN"/>
        </w:rPr>
        <w:t>0.32万元</w:t>
      </w:r>
      <w:r>
        <w:rPr>
          <w:rFonts w:hint="eastAsia" w:cs="仿宋_GB2312"/>
          <w:kern w:val="2"/>
          <w:sz w:val="32"/>
          <w:szCs w:val="32"/>
        </w:rPr>
        <w:t>、租赁费</w:t>
      </w:r>
      <w:r>
        <w:rPr>
          <w:rFonts w:hint="eastAsia" w:cs="仿宋_GB2312"/>
          <w:kern w:val="2"/>
          <w:sz w:val="32"/>
          <w:szCs w:val="32"/>
          <w:lang w:val="en-US" w:eastAsia="zh-CN"/>
        </w:rPr>
        <w:t>0万元</w:t>
      </w:r>
      <w:r>
        <w:rPr>
          <w:rFonts w:hint="eastAsia" w:cs="仿宋_GB2312"/>
          <w:kern w:val="2"/>
          <w:sz w:val="32"/>
          <w:szCs w:val="32"/>
        </w:rPr>
        <w:t>、会议费</w:t>
      </w:r>
      <w:r>
        <w:rPr>
          <w:rFonts w:hint="eastAsia" w:cs="仿宋_GB2312"/>
          <w:kern w:val="2"/>
          <w:sz w:val="32"/>
          <w:szCs w:val="32"/>
          <w:lang w:val="en-US" w:eastAsia="zh-CN"/>
        </w:rPr>
        <w:t>0万元</w:t>
      </w:r>
      <w:r>
        <w:rPr>
          <w:rFonts w:hint="eastAsia" w:cs="仿宋_GB2312"/>
          <w:kern w:val="2"/>
          <w:sz w:val="32"/>
          <w:szCs w:val="32"/>
        </w:rPr>
        <w:t>、培训费</w:t>
      </w:r>
      <w:r>
        <w:rPr>
          <w:rFonts w:hint="eastAsia" w:cs="仿宋_GB2312"/>
          <w:kern w:val="2"/>
          <w:sz w:val="32"/>
          <w:szCs w:val="32"/>
          <w:lang w:val="en-US" w:eastAsia="zh-CN"/>
        </w:rPr>
        <w:t>4.28万元</w:t>
      </w:r>
      <w:r>
        <w:rPr>
          <w:rFonts w:hint="eastAsia" w:cs="仿宋_GB2312"/>
          <w:kern w:val="2"/>
          <w:sz w:val="32"/>
          <w:szCs w:val="32"/>
        </w:rPr>
        <w:t>、劳务费</w:t>
      </w:r>
      <w:r>
        <w:rPr>
          <w:rFonts w:hint="eastAsia" w:cs="仿宋_GB2312"/>
          <w:kern w:val="2"/>
          <w:sz w:val="32"/>
          <w:szCs w:val="32"/>
          <w:lang w:val="en-US" w:eastAsia="zh-CN"/>
        </w:rPr>
        <w:t>0万元</w:t>
      </w:r>
      <w:r>
        <w:rPr>
          <w:rFonts w:hint="eastAsia" w:cs="仿宋_GB2312"/>
          <w:kern w:val="2"/>
          <w:sz w:val="32"/>
          <w:szCs w:val="32"/>
        </w:rPr>
        <w:t>、工会经费</w:t>
      </w:r>
      <w:r>
        <w:rPr>
          <w:rFonts w:hint="eastAsia" w:cs="仿宋_GB2312"/>
          <w:kern w:val="2"/>
          <w:sz w:val="32"/>
          <w:szCs w:val="32"/>
          <w:lang w:val="en-US" w:eastAsia="zh-CN"/>
        </w:rPr>
        <w:t>0万元</w:t>
      </w:r>
      <w:r>
        <w:rPr>
          <w:rFonts w:hint="eastAsia" w:cs="仿宋_GB2312"/>
          <w:kern w:val="2"/>
          <w:sz w:val="32"/>
          <w:szCs w:val="32"/>
        </w:rPr>
        <w:t>、福利费</w:t>
      </w:r>
      <w:r>
        <w:rPr>
          <w:rFonts w:hint="eastAsia" w:cs="仿宋_GB2312"/>
          <w:kern w:val="2"/>
          <w:sz w:val="32"/>
          <w:szCs w:val="32"/>
          <w:lang w:val="en-US" w:eastAsia="zh-CN"/>
        </w:rPr>
        <w:t>18.5万元</w:t>
      </w:r>
      <w:r>
        <w:rPr>
          <w:rFonts w:hint="eastAsia" w:cs="仿宋_GB2312"/>
          <w:kern w:val="2"/>
          <w:sz w:val="32"/>
          <w:szCs w:val="32"/>
        </w:rPr>
        <w:t>、</w:t>
      </w:r>
      <w:r>
        <w:rPr>
          <w:rFonts w:hint="eastAsia" w:cs="仿宋_GB2312"/>
          <w:kern w:val="2"/>
          <w:sz w:val="32"/>
          <w:szCs w:val="32"/>
          <w:lang w:val="en-US" w:eastAsia="zh-CN"/>
        </w:rPr>
        <w:t>公</w:t>
      </w:r>
      <w:r>
        <w:rPr>
          <w:rFonts w:hint="eastAsia" w:cs="仿宋_GB2312"/>
          <w:color w:val="000000" w:themeColor="text1"/>
          <w:kern w:val="2"/>
          <w:sz w:val="32"/>
          <w:szCs w:val="32"/>
          <w14:textFill>
            <w14:solidFill>
              <w14:schemeClr w14:val="tx1"/>
            </w14:solidFill>
          </w14:textFill>
        </w:rPr>
        <w:t>务接待费</w:t>
      </w:r>
      <w:r>
        <w:rPr>
          <w:rFonts w:hint="eastAsia" w:cs="仿宋_GB2312"/>
          <w:color w:val="000000" w:themeColor="text1"/>
          <w:kern w:val="2"/>
          <w:sz w:val="32"/>
          <w:szCs w:val="32"/>
          <w:lang w:val="en-US" w:eastAsia="zh-CN"/>
          <w14:textFill>
            <w14:solidFill>
              <w14:schemeClr w14:val="tx1"/>
            </w14:solidFill>
          </w14:textFill>
        </w:rPr>
        <w:t>1.01</w:t>
      </w:r>
      <w:r>
        <w:rPr>
          <w:rFonts w:hint="eastAsia" w:cs="仿宋_GB2312"/>
          <w:color w:val="000000" w:themeColor="text1"/>
          <w:kern w:val="2"/>
          <w:sz w:val="32"/>
          <w:szCs w:val="32"/>
          <w14:textFill>
            <w14:solidFill>
              <w14:schemeClr w14:val="tx1"/>
            </w14:solidFill>
          </w14:textFill>
        </w:rPr>
        <w:t>万元、公务用车运行维护费</w:t>
      </w:r>
      <w:r>
        <w:rPr>
          <w:rFonts w:hint="eastAsia" w:cs="仿宋_GB2312"/>
          <w:color w:val="000000" w:themeColor="text1"/>
          <w:kern w:val="2"/>
          <w:sz w:val="32"/>
          <w:szCs w:val="32"/>
          <w:lang w:val="en-US" w:eastAsia="zh-CN"/>
          <w14:textFill>
            <w14:solidFill>
              <w14:schemeClr w14:val="tx1"/>
            </w14:solidFill>
          </w14:textFill>
        </w:rPr>
        <w:t>14.4</w:t>
      </w:r>
      <w:r>
        <w:rPr>
          <w:rFonts w:hint="eastAsia" w:cs="仿宋_GB2312"/>
          <w:color w:val="000000" w:themeColor="text1"/>
          <w:kern w:val="2"/>
          <w:sz w:val="32"/>
          <w:szCs w:val="32"/>
          <w14:textFill>
            <w14:solidFill>
              <w14:schemeClr w14:val="tx1"/>
            </w14:solidFill>
          </w14:textFill>
        </w:rPr>
        <w:t>万元、</w:t>
      </w:r>
      <w:r>
        <w:rPr>
          <w:rFonts w:hint="eastAsia" w:cs="仿宋_GB2312"/>
          <w:kern w:val="2"/>
          <w:sz w:val="32"/>
          <w:szCs w:val="32"/>
        </w:rPr>
        <w:t>其他交通工具运行维护费</w:t>
      </w:r>
      <w:r>
        <w:rPr>
          <w:rFonts w:hint="eastAsia" w:cs="仿宋_GB2312"/>
          <w:kern w:val="2"/>
          <w:sz w:val="32"/>
          <w:szCs w:val="32"/>
          <w:lang w:val="en-US" w:eastAsia="zh-CN"/>
        </w:rPr>
        <w:t>0万元</w:t>
      </w:r>
      <w:r>
        <w:rPr>
          <w:rFonts w:hint="eastAsia" w:cs="仿宋_GB2312"/>
          <w:kern w:val="2"/>
          <w:sz w:val="32"/>
          <w:szCs w:val="32"/>
        </w:rPr>
        <w:t>、其他商品和服务支出</w:t>
      </w:r>
      <w:r>
        <w:rPr>
          <w:rFonts w:hint="eastAsia" w:cs="仿宋_GB2312"/>
          <w:kern w:val="2"/>
          <w:sz w:val="32"/>
          <w:szCs w:val="32"/>
          <w:lang w:val="en-US" w:eastAsia="zh-CN"/>
        </w:rPr>
        <w:t>9.95万元</w:t>
      </w:r>
      <w:r>
        <w:rPr>
          <w:rFonts w:hint="eastAsia" w:cs="仿宋_GB2312"/>
          <w:kern w:val="2"/>
          <w:sz w:val="32"/>
          <w:szCs w:val="32"/>
        </w:rPr>
        <w:t>。</w:t>
      </w:r>
      <w:r>
        <w:rPr>
          <w:rFonts w:hint="eastAsia" w:cs="仿宋_GB2312"/>
          <w:kern w:val="2"/>
          <w:sz w:val="32"/>
          <w:szCs w:val="32"/>
        </w:rPr>
        <w:br w:type="textWrapping"/>
      </w:r>
      <w:r>
        <w:rPr>
          <w:rFonts w:hint="eastAsia" w:ascii="黑体" w:eastAsia="黑体"/>
          <w:sz w:val="32"/>
          <w:szCs w:val="32"/>
        </w:rPr>
        <w:t xml:space="preserve">    七、“三公”经费财政拨款预算安排情况说明</w:t>
      </w:r>
    </w:p>
    <w:p w14:paraId="68585D32">
      <w:pPr>
        <w:pStyle w:val="12"/>
        <w:keepNext w:val="0"/>
        <w:keepLines w:val="0"/>
        <w:pageBreakBefore w:val="0"/>
        <w:kinsoku/>
        <w:wordWrap/>
        <w:overflowPunct/>
        <w:topLinePunct w:val="0"/>
        <w:autoSpaceDE/>
        <w:autoSpaceDN/>
        <w:bidi w:val="0"/>
        <w:spacing w:before="0" w:line="560" w:lineRule="exact"/>
        <w:ind w:firstLine="640" w:firstLineChars="200"/>
        <w:textAlignment w:val="auto"/>
        <w:rPr>
          <w:rFonts w:cs="仿宋_GB2312"/>
          <w:kern w:val="2"/>
          <w:sz w:val="32"/>
          <w:szCs w:val="32"/>
        </w:rPr>
      </w:pPr>
      <w:r>
        <w:rPr>
          <w:rFonts w:hint="eastAsia" w:ascii="仿宋_GB2312" w:hAnsi="Times New Roman" w:eastAsia="仿宋_GB2312"/>
          <w:sz w:val="32"/>
          <w:szCs w:val="32"/>
          <w:lang w:val="en-US" w:eastAsia="zh-CN"/>
        </w:rPr>
        <w:t>大熊猫国家公园阿坝管理分局</w:t>
      </w:r>
      <w:r>
        <w:rPr>
          <w:rFonts w:hint="eastAsia" w:cs="仿宋_GB2312"/>
          <w:kern w:val="2"/>
          <w:sz w:val="32"/>
          <w:szCs w:val="32"/>
        </w:rPr>
        <w:t>2025年“三公”经费财政拨款预算数</w:t>
      </w:r>
      <w:r>
        <w:rPr>
          <w:rFonts w:hint="eastAsia" w:cs="仿宋_GB2312"/>
          <w:kern w:val="2"/>
          <w:sz w:val="32"/>
          <w:szCs w:val="32"/>
          <w:lang w:val="en-US" w:eastAsia="zh-CN"/>
        </w:rPr>
        <w:t>24.41</w:t>
      </w:r>
      <w:r>
        <w:rPr>
          <w:rFonts w:hint="eastAsia" w:cs="仿宋_GB2312"/>
          <w:kern w:val="2"/>
          <w:sz w:val="32"/>
          <w:szCs w:val="32"/>
        </w:rPr>
        <w:t>万元，其中：因公出国（境）经费</w:t>
      </w:r>
      <w:r>
        <w:rPr>
          <w:rFonts w:hint="eastAsia" w:cs="仿宋_GB2312"/>
          <w:kern w:val="2"/>
          <w:sz w:val="32"/>
          <w:szCs w:val="32"/>
          <w:lang w:val="en-US" w:eastAsia="zh-CN"/>
        </w:rPr>
        <w:t>0</w:t>
      </w:r>
      <w:r>
        <w:rPr>
          <w:rFonts w:hint="eastAsia" w:cs="仿宋_GB2312"/>
          <w:kern w:val="2"/>
          <w:sz w:val="32"/>
          <w:szCs w:val="32"/>
        </w:rPr>
        <w:t>万元，公务接待费</w:t>
      </w:r>
      <w:r>
        <w:rPr>
          <w:rFonts w:hint="eastAsia" w:cs="仿宋_GB2312"/>
          <w:kern w:val="2"/>
          <w:sz w:val="32"/>
          <w:szCs w:val="32"/>
          <w:lang w:val="en-US" w:eastAsia="zh-CN"/>
        </w:rPr>
        <w:t>1.01</w:t>
      </w:r>
      <w:r>
        <w:rPr>
          <w:rFonts w:hint="eastAsia" w:cs="仿宋_GB2312"/>
          <w:kern w:val="2"/>
          <w:sz w:val="32"/>
          <w:szCs w:val="32"/>
        </w:rPr>
        <w:t>万元，公务用车购置及运行维护费</w:t>
      </w:r>
      <w:r>
        <w:rPr>
          <w:rFonts w:hint="eastAsia" w:cs="仿宋_GB2312"/>
          <w:kern w:val="2"/>
          <w:sz w:val="32"/>
          <w:szCs w:val="32"/>
          <w:lang w:val="en-US" w:eastAsia="zh-CN"/>
        </w:rPr>
        <w:t>23.4</w:t>
      </w:r>
      <w:r>
        <w:rPr>
          <w:rFonts w:hint="eastAsia" w:cs="仿宋_GB2312"/>
          <w:kern w:val="2"/>
          <w:sz w:val="32"/>
          <w:szCs w:val="32"/>
        </w:rPr>
        <w:t>万元。</w:t>
      </w:r>
    </w:p>
    <w:p w14:paraId="6C3BF219">
      <w:pPr>
        <w:pStyle w:val="12"/>
        <w:keepNext w:val="0"/>
        <w:keepLines w:val="0"/>
        <w:pageBreakBefore w:val="0"/>
        <w:kinsoku/>
        <w:wordWrap/>
        <w:overflowPunct/>
        <w:topLinePunct w:val="0"/>
        <w:autoSpaceDE/>
        <w:autoSpaceDN/>
        <w:bidi w:val="0"/>
        <w:spacing w:before="0" w:line="560" w:lineRule="exact"/>
        <w:ind w:firstLine="640" w:firstLineChars="200"/>
        <w:textAlignment w:val="auto"/>
        <w:rPr>
          <w:rFonts w:cs="仿宋_GB2312"/>
          <w:kern w:val="2"/>
          <w:sz w:val="32"/>
          <w:szCs w:val="32"/>
        </w:rPr>
      </w:pPr>
      <w:r>
        <w:rPr>
          <w:rFonts w:hint="eastAsia" w:cs="仿宋_GB2312"/>
          <w:kern w:val="2"/>
          <w:sz w:val="32"/>
          <w:szCs w:val="32"/>
        </w:rPr>
        <w:t>（一）2025年因公出国（境）经费</w:t>
      </w:r>
      <w:r>
        <w:rPr>
          <w:rFonts w:hint="eastAsia" w:cs="仿宋_GB2312"/>
          <w:kern w:val="2"/>
          <w:sz w:val="32"/>
          <w:szCs w:val="32"/>
          <w:lang w:val="en-US" w:eastAsia="zh-CN"/>
        </w:rPr>
        <w:t>0</w:t>
      </w:r>
      <w:r>
        <w:rPr>
          <w:rFonts w:hint="eastAsia" w:cs="仿宋_GB2312"/>
          <w:kern w:val="2"/>
          <w:sz w:val="32"/>
          <w:szCs w:val="32"/>
        </w:rPr>
        <w:t>万元。</w:t>
      </w:r>
    </w:p>
    <w:p w14:paraId="6FC42596">
      <w:pPr>
        <w:pStyle w:val="12"/>
        <w:keepNext w:val="0"/>
        <w:keepLines w:val="0"/>
        <w:pageBreakBefore w:val="0"/>
        <w:kinsoku/>
        <w:wordWrap/>
        <w:overflowPunct/>
        <w:topLinePunct w:val="0"/>
        <w:autoSpaceDE/>
        <w:autoSpaceDN/>
        <w:bidi w:val="0"/>
        <w:spacing w:before="0" w:line="560" w:lineRule="exact"/>
        <w:ind w:firstLine="640" w:firstLineChars="200"/>
        <w:textAlignment w:val="auto"/>
        <w:rPr>
          <w:rFonts w:hint="default" w:cs="仿宋_GB2312"/>
          <w:color w:val="000000"/>
          <w:kern w:val="2"/>
          <w:sz w:val="32"/>
          <w:szCs w:val="32"/>
          <w:lang w:val="en-US" w:eastAsia="zh-CN"/>
        </w:rPr>
      </w:pPr>
      <w:r>
        <w:rPr>
          <w:rFonts w:hint="eastAsia" w:cs="仿宋_GB2312"/>
          <w:kern w:val="2"/>
          <w:sz w:val="32"/>
          <w:szCs w:val="32"/>
        </w:rPr>
        <w:t>（二）</w:t>
      </w:r>
      <w:r>
        <w:rPr>
          <w:rFonts w:hint="eastAsia" w:cs="仿宋_GB2312"/>
          <w:color w:val="000000"/>
          <w:kern w:val="2"/>
          <w:sz w:val="32"/>
          <w:szCs w:val="32"/>
        </w:rPr>
        <w:t>2025年公务接待经费</w:t>
      </w:r>
      <w:r>
        <w:rPr>
          <w:rFonts w:hint="eastAsia" w:cs="仿宋_GB2312"/>
          <w:color w:val="000000"/>
          <w:kern w:val="2"/>
          <w:sz w:val="32"/>
          <w:szCs w:val="32"/>
          <w:lang w:val="en-US" w:eastAsia="zh-CN"/>
        </w:rPr>
        <w:t>1.01</w:t>
      </w:r>
      <w:r>
        <w:rPr>
          <w:rFonts w:hint="eastAsia" w:cs="仿宋_GB2312"/>
          <w:color w:val="000000"/>
          <w:kern w:val="2"/>
          <w:sz w:val="32"/>
          <w:szCs w:val="32"/>
        </w:rPr>
        <w:t>万元。较2024年预算经费</w:t>
      </w:r>
      <w:r>
        <w:rPr>
          <w:rFonts w:hint="eastAsia" w:cs="宋体"/>
          <w:sz w:val="32"/>
          <w:szCs w:val="32"/>
        </w:rPr>
        <w:t>增加</w:t>
      </w:r>
      <w:r>
        <w:rPr>
          <w:rFonts w:hint="eastAsia" w:cs="宋体"/>
          <w:sz w:val="32"/>
          <w:szCs w:val="32"/>
          <w:lang w:val="en-US" w:eastAsia="zh-CN"/>
        </w:rPr>
        <w:t>0.01</w:t>
      </w:r>
      <w:r>
        <w:rPr>
          <w:rFonts w:hint="eastAsia" w:cs="仿宋_GB2312"/>
          <w:color w:val="000000"/>
          <w:kern w:val="2"/>
          <w:sz w:val="32"/>
          <w:szCs w:val="32"/>
        </w:rPr>
        <w:t>万元，</w:t>
      </w:r>
      <w:r>
        <w:rPr>
          <w:rFonts w:hint="eastAsia" w:cs="宋体"/>
          <w:sz w:val="32"/>
          <w:szCs w:val="32"/>
        </w:rPr>
        <w:t>增长</w:t>
      </w:r>
      <w:r>
        <w:rPr>
          <w:rFonts w:hint="eastAsia" w:cs="仿宋_GB2312"/>
          <w:color w:val="000000"/>
          <w:kern w:val="2"/>
          <w:sz w:val="32"/>
          <w:szCs w:val="32"/>
          <w:lang w:val="en-US" w:eastAsia="zh-CN"/>
        </w:rPr>
        <w:t>1</w:t>
      </w:r>
      <w:r>
        <w:rPr>
          <w:rFonts w:hint="eastAsia" w:cs="仿宋_GB2312"/>
          <w:color w:val="000000"/>
          <w:kern w:val="2"/>
          <w:sz w:val="32"/>
          <w:szCs w:val="32"/>
        </w:rPr>
        <w:t>%，主要原因</w:t>
      </w:r>
      <w:r>
        <w:rPr>
          <w:rFonts w:hint="eastAsia" w:cs="仿宋_GB2312"/>
          <w:color w:val="000000"/>
          <w:kern w:val="2"/>
          <w:sz w:val="32"/>
          <w:szCs w:val="32"/>
          <w:lang w:val="en-US" w:eastAsia="zh-CN"/>
        </w:rPr>
        <w:t>是2024年8月新调入1人。</w:t>
      </w:r>
    </w:p>
    <w:p w14:paraId="03CEDE93">
      <w:pPr>
        <w:pStyle w:val="12"/>
        <w:keepNext w:val="0"/>
        <w:keepLines w:val="0"/>
        <w:pageBreakBefore w:val="0"/>
        <w:kinsoku/>
        <w:wordWrap/>
        <w:overflowPunct/>
        <w:topLinePunct w:val="0"/>
        <w:autoSpaceDE/>
        <w:autoSpaceDN/>
        <w:bidi w:val="0"/>
        <w:spacing w:before="0" w:line="560" w:lineRule="exact"/>
        <w:ind w:firstLine="640" w:firstLineChars="200"/>
        <w:textAlignment w:val="auto"/>
        <w:rPr>
          <w:rFonts w:hint="default" w:eastAsia="仿宋_GB2312" w:cs="仿宋_GB2312"/>
          <w:color w:val="000000"/>
          <w:kern w:val="2"/>
          <w:sz w:val="32"/>
          <w:szCs w:val="32"/>
          <w:lang w:val="en-US" w:eastAsia="zh-CN"/>
        </w:rPr>
      </w:pPr>
      <w:r>
        <w:rPr>
          <w:rFonts w:hint="eastAsia" w:cs="仿宋_GB2312"/>
          <w:color w:val="000000"/>
          <w:kern w:val="2"/>
          <w:sz w:val="32"/>
          <w:szCs w:val="32"/>
        </w:rPr>
        <w:t>（三）2025年公务用车购置及运行维护费</w:t>
      </w:r>
      <w:r>
        <w:rPr>
          <w:rFonts w:hint="eastAsia" w:cs="仿宋_GB2312"/>
          <w:color w:val="000000"/>
          <w:kern w:val="2"/>
          <w:sz w:val="32"/>
          <w:szCs w:val="32"/>
          <w:lang w:val="en-US" w:eastAsia="zh-CN"/>
        </w:rPr>
        <w:t>23.4</w:t>
      </w:r>
      <w:r>
        <w:rPr>
          <w:rFonts w:hint="eastAsia" w:cs="仿宋_GB2312"/>
          <w:color w:val="000000"/>
          <w:kern w:val="2"/>
          <w:sz w:val="32"/>
          <w:szCs w:val="32"/>
        </w:rPr>
        <w:t>万元。较2024年预算经费</w:t>
      </w:r>
      <w:r>
        <w:rPr>
          <w:rFonts w:hint="eastAsia" w:cs="宋体"/>
          <w:sz w:val="32"/>
          <w:szCs w:val="32"/>
        </w:rPr>
        <w:t>增加</w:t>
      </w:r>
      <w:r>
        <w:rPr>
          <w:rFonts w:hint="eastAsia" w:cs="仿宋_GB2312"/>
          <w:color w:val="000000"/>
          <w:kern w:val="2"/>
          <w:sz w:val="32"/>
          <w:szCs w:val="32"/>
          <w:lang w:val="en-US" w:eastAsia="zh-CN"/>
        </w:rPr>
        <w:t>3</w:t>
      </w:r>
      <w:r>
        <w:rPr>
          <w:rFonts w:hint="eastAsia" w:cs="仿宋_GB2312"/>
          <w:color w:val="000000"/>
          <w:kern w:val="2"/>
          <w:sz w:val="32"/>
          <w:szCs w:val="32"/>
        </w:rPr>
        <w:t>万元，增长</w:t>
      </w:r>
      <w:r>
        <w:rPr>
          <w:rFonts w:hint="eastAsia" w:cs="仿宋_GB2312"/>
          <w:color w:val="000000"/>
          <w:kern w:val="2"/>
          <w:sz w:val="32"/>
          <w:szCs w:val="32"/>
          <w:lang w:val="en-US" w:eastAsia="zh-CN"/>
        </w:rPr>
        <w:t>14.7</w:t>
      </w:r>
      <w:r>
        <w:rPr>
          <w:rFonts w:hint="eastAsia" w:cs="仿宋_GB2312"/>
          <w:color w:val="000000"/>
          <w:kern w:val="2"/>
          <w:sz w:val="32"/>
          <w:szCs w:val="32"/>
        </w:rPr>
        <w:t>%，主要原因</w:t>
      </w:r>
      <w:r>
        <w:rPr>
          <w:rFonts w:hint="eastAsia" w:cs="仿宋_GB2312"/>
          <w:color w:val="000000"/>
          <w:kern w:val="2"/>
          <w:sz w:val="32"/>
          <w:szCs w:val="32"/>
          <w:lang w:val="en-US" w:eastAsia="zh-CN"/>
        </w:rPr>
        <w:t>是单位处于机构改革期，公务外出参加会议及上级检查工作较多，故在卧龙体制改革工作经费里列支9万元公务用车运行维护费。</w:t>
      </w:r>
    </w:p>
    <w:p w14:paraId="783D7D06">
      <w:pPr>
        <w:pStyle w:val="12"/>
        <w:keepNext w:val="0"/>
        <w:keepLines w:val="0"/>
        <w:pageBreakBefore w:val="0"/>
        <w:kinsoku/>
        <w:wordWrap/>
        <w:overflowPunct/>
        <w:topLinePunct w:val="0"/>
        <w:autoSpaceDE/>
        <w:autoSpaceDN/>
        <w:bidi w:val="0"/>
        <w:spacing w:before="0" w:line="560" w:lineRule="exact"/>
        <w:ind w:firstLine="640" w:firstLineChars="200"/>
        <w:textAlignment w:val="auto"/>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14:paraId="56D02925">
      <w:pPr>
        <w:pStyle w:val="12"/>
        <w:keepNext w:val="0"/>
        <w:keepLines w:val="0"/>
        <w:pageBreakBefore w:val="0"/>
        <w:kinsoku/>
        <w:wordWrap/>
        <w:overflowPunct/>
        <w:topLinePunct w:val="0"/>
        <w:autoSpaceDE/>
        <w:autoSpaceDN/>
        <w:bidi w:val="0"/>
        <w:spacing w:before="0" w:line="560" w:lineRule="exact"/>
        <w:ind w:firstLine="640" w:firstLineChars="200"/>
        <w:textAlignment w:val="auto"/>
        <w:rPr>
          <w:rFonts w:cs="仿宋_GB2312"/>
          <w:kern w:val="2"/>
          <w:sz w:val="32"/>
          <w:szCs w:val="32"/>
        </w:rPr>
      </w:pPr>
      <w:r>
        <w:rPr>
          <w:rFonts w:hint="eastAsia" w:ascii="仿宋_GB2312" w:hAnsi="Times New Roman" w:eastAsia="仿宋_GB2312"/>
          <w:sz w:val="32"/>
          <w:szCs w:val="32"/>
          <w:lang w:val="en-US" w:eastAsia="zh-CN"/>
        </w:rPr>
        <w:t>大熊猫国家公园阿坝管理分局</w:t>
      </w:r>
      <w:r>
        <w:rPr>
          <w:rFonts w:hint="eastAsia" w:cs="仿宋_GB2312"/>
          <w:kern w:val="2"/>
          <w:sz w:val="32"/>
          <w:szCs w:val="32"/>
        </w:rPr>
        <w:t>2025年政府性基金预算拨款安排的支出</w:t>
      </w:r>
      <w:r>
        <w:rPr>
          <w:rFonts w:hint="eastAsia" w:cs="仿宋_GB2312"/>
          <w:kern w:val="2"/>
          <w:sz w:val="32"/>
          <w:szCs w:val="32"/>
          <w:lang w:val="en-US" w:eastAsia="zh-CN"/>
        </w:rPr>
        <w:t>0</w:t>
      </w:r>
      <w:r>
        <w:rPr>
          <w:rFonts w:hint="eastAsia" w:cs="仿宋_GB2312"/>
          <w:kern w:val="2"/>
          <w:sz w:val="32"/>
          <w:szCs w:val="32"/>
        </w:rPr>
        <w:t>万元。较2024年预算经费</w:t>
      </w:r>
      <w:r>
        <w:rPr>
          <w:rFonts w:hint="eastAsia" w:cs="宋体"/>
          <w:sz w:val="32"/>
          <w:szCs w:val="32"/>
        </w:rPr>
        <w:t>增加/</w:t>
      </w:r>
      <w:r>
        <w:rPr>
          <w:rFonts w:hint="eastAsia" w:cs="仿宋_GB2312"/>
          <w:color w:val="000000"/>
          <w:kern w:val="2"/>
          <w:sz w:val="32"/>
          <w:szCs w:val="32"/>
        </w:rPr>
        <w:t>减少</w:t>
      </w:r>
      <w:r>
        <w:rPr>
          <w:rFonts w:hint="eastAsia" w:cs="仿宋_GB2312"/>
          <w:kern w:val="2"/>
          <w:sz w:val="32"/>
          <w:szCs w:val="32"/>
          <w:lang w:val="en-US" w:eastAsia="zh-CN"/>
        </w:rPr>
        <w:t>0</w:t>
      </w:r>
      <w:r>
        <w:rPr>
          <w:rFonts w:hint="eastAsia" w:cs="仿宋_GB2312"/>
          <w:kern w:val="2"/>
          <w:sz w:val="32"/>
          <w:szCs w:val="32"/>
        </w:rPr>
        <w:t>万元，增长</w:t>
      </w:r>
      <w:r>
        <w:rPr>
          <w:rFonts w:hint="eastAsia" w:cs="仿宋_GB2312"/>
          <w:kern w:val="2"/>
          <w:sz w:val="32"/>
          <w:szCs w:val="32"/>
          <w:lang w:val="en-US" w:eastAsia="zh-CN"/>
        </w:rPr>
        <w:t>0</w:t>
      </w:r>
      <w:r>
        <w:rPr>
          <w:rFonts w:hint="eastAsia" w:cs="仿宋_GB2312"/>
          <w:kern w:val="2"/>
          <w:sz w:val="32"/>
          <w:szCs w:val="32"/>
        </w:rPr>
        <w:t>%。</w:t>
      </w:r>
      <w:r>
        <w:rPr>
          <w:rFonts w:hint="eastAsia" w:cs="仿宋_GB2312"/>
          <w:kern w:val="2"/>
          <w:sz w:val="32"/>
          <w:szCs w:val="32"/>
          <w:lang w:val="en-US" w:eastAsia="zh-CN"/>
        </w:rPr>
        <w:t>较上年相比无变化</w:t>
      </w:r>
      <w:r>
        <w:rPr>
          <w:rFonts w:hint="eastAsia" w:cs="仿宋_GB2312"/>
          <w:kern w:val="2"/>
          <w:sz w:val="32"/>
          <w:szCs w:val="32"/>
        </w:rPr>
        <w:t>。</w:t>
      </w:r>
    </w:p>
    <w:p w14:paraId="7F786D1B">
      <w:pPr>
        <w:pStyle w:val="12"/>
        <w:keepNext w:val="0"/>
        <w:keepLines w:val="0"/>
        <w:pageBreakBefore w:val="0"/>
        <w:kinsoku/>
        <w:wordWrap/>
        <w:overflowPunct/>
        <w:topLinePunct w:val="0"/>
        <w:autoSpaceDE/>
        <w:autoSpaceDN/>
        <w:bidi w:val="0"/>
        <w:spacing w:before="0" w:line="560" w:lineRule="exact"/>
        <w:ind w:firstLine="640" w:firstLineChars="200"/>
        <w:textAlignment w:val="auto"/>
        <w:rPr>
          <w:rFonts w:ascii="黑体" w:eastAsia="黑体"/>
          <w:sz w:val="32"/>
          <w:szCs w:val="32"/>
        </w:rPr>
      </w:pPr>
      <w:r>
        <w:rPr>
          <w:rFonts w:hint="eastAsia" w:ascii="黑体" w:eastAsia="黑体"/>
          <w:sz w:val="32"/>
          <w:szCs w:val="32"/>
        </w:rPr>
        <w:t>九、其他重要事项的情况说明</w:t>
      </w:r>
    </w:p>
    <w:p w14:paraId="48D2F52D">
      <w:pPr>
        <w:pStyle w:val="12"/>
        <w:keepNext w:val="0"/>
        <w:keepLines w:val="0"/>
        <w:pageBreakBefore w:val="0"/>
        <w:kinsoku/>
        <w:wordWrap/>
        <w:overflowPunct/>
        <w:topLinePunct w:val="0"/>
        <w:autoSpaceDE/>
        <w:autoSpaceDN/>
        <w:bidi w:val="0"/>
        <w:spacing w:before="0" w:line="560" w:lineRule="exact"/>
        <w:ind w:firstLine="640" w:firstLineChars="200"/>
        <w:textAlignment w:val="auto"/>
        <w:rPr>
          <w:rFonts w:cs="仿宋_GB2312"/>
          <w:color w:val="FF0000"/>
          <w:kern w:val="2"/>
          <w:sz w:val="32"/>
          <w:szCs w:val="32"/>
        </w:rPr>
      </w:pPr>
      <w:r>
        <w:rPr>
          <w:rFonts w:hint="eastAsia" w:asci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xml:space="preserve">　  </w:t>
      </w:r>
      <w:r>
        <w:rPr>
          <w:rFonts w:hint="eastAsia" w:ascii="仿宋_GB2312" w:hAnsi="Times New Roman" w:eastAsia="仿宋_GB2312"/>
          <w:sz w:val="32"/>
          <w:szCs w:val="32"/>
          <w:lang w:val="en-US" w:eastAsia="zh-CN"/>
        </w:rPr>
        <w:t>大熊猫国家公园阿坝管理分局</w:t>
      </w:r>
      <w:r>
        <w:rPr>
          <w:rFonts w:hint="eastAsia" w:cs="仿宋_GB2312"/>
          <w:kern w:val="2"/>
          <w:sz w:val="32"/>
          <w:szCs w:val="32"/>
        </w:rPr>
        <w:t>2025年机关运行经费财政拨款预算为</w:t>
      </w:r>
      <w:r>
        <w:rPr>
          <w:rFonts w:hint="eastAsia" w:cs="仿宋_GB2312"/>
          <w:kern w:val="2"/>
          <w:sz w:val="32"/>
          <w:szCs w:val="32"/>
          <w:lang w:val="en-US" w:eastAsia="zh-CN"/>
        </w:rPr>
        <w:t>0</w:t>
      </w:r>
      <w:r>
        <w:rPr>
          <w:rFonts w:hint="eastAsia" w:cs="仿宋_GB2312"/>
          <w:kern w:val="2"/>
          <w:sz w:val="32"/>
          <w:szCs w:val="32"/>
        </w:rPr>
        <w:t>万元，比2024年预算</w:t>
      </w:r>
      <w:r>
        <w:rPr>
          <w:rFonts w:hint="eastAsia" w:cs="宋体"/>
          <w:sz w:val="32"/>
          <w:szCs w:val="32"/>
        </w:rPr>
        <w:t>增加/</w:t>
      </w:r>
      <w:r>
        <w:rPr>
          <w:rFonts w:hint="eastAsia" w:cs="仿宋_GB2312"/>
          <w:color w:val="000000"/>
          <w:kern w:val="2"/>
          <w:sz w:val="32"/>
          <w:szCs w:val="32"/>
        </w:rPr>
        <w:t>减少</w:t>
      </w:r>
      <w:r>
        <w:rPr>
          <w:rFonts w:hint="eastAsia" w:cs="仿宋_GB2312"/>
          <w:color w:val="000000"/>
          <w:kern w:val="2"/>
          <w:sz w:val="32"/>
          <w:szCs w:val="32"/>
          <w:lang w:val="en-US" w:eastAsia="zh-CN"/>
        </w:rPr>
        <w:t>0</w:t>
      </w:r>
      <w:r>
        <w:rPr>
          <w:rFonts w:hint="eastAsia" w:cs="仿宋_GB2312"/>
          <w:color w:val="000000"/>
          <w:kern w:val="2"/>
          <w:sz w:val="32"/>
          <w:szCs w:val="32"/>
        </w:rPr>
        <w:t>万元，减少</w:t>
      </w:r>
      <w:r>
        <w:rPr>
          <w:rFonts w:hint="eastAsia" w:cs="仿宋_GB2312"/>
          <w:color w:val="000000"/>
          <w:kern w:val="2"/>
          <w:sz w:val="32"/>
          <w:szCs w:val="32"/>
          <w:lang w:val="en-US" w:eastAsia="zh-CN"/>
        </w:rPr>
        <w:t>0</w:t>
      </w:r>
      <w:r>
        <w:rPr>
          <w:rFonts w:hint="eastAsia" w:cs="仿宋_GB2312"/>
          <w:color w:val="000000"/>
          <w:kern w:val="2"/>
          <w:sz w:val="32"/>
          <w:szCs w:val="32"/>
        </w:rPr>
        <w:t>%。</w:t>
      </w:r>
      <w:r>
        <w:rPr>
          <w:rFonts w:hint="eastAsia" w:cs="仿宋_GB2312"/>
          <w:color w:val="000000"/>
          <w:kern w:val="2"/>
          <w:sz w:val="32"/>
          <w:szCs w:val="32"/>
          <w:lang w:val="en-US" w:eastAsia="zh-CN"/>
        </w:rPr>
        <w:t>较上年相比无变化。</w:t>
      </w:r>
      <w:r>
        <w:rPr>
          <w:rFonts w:hint="eastAsia" w:cs="仿宋_GB2312"/>
          <w:color w:val="000000"/>
          <w:kern w:val="2"/>
          <w:sz w:val="32"/>
          <w:szCs w:val="32"/>
        </w:rPr>
        <w:t xml:space="preserve"> </w:t>
      </w:r>
    </w:p>
    <w:p w14:paraId="49BDA1B3">
      <w:pPr>
        <w:pStyle w:val="12"/>
        <w:keepNext w:val="0"/>
        <w:keepLines w:val="0"/>
        <w:pageBreakBefore w:val="0"/>
        <w:kinsoku/>
        <w:wordWrap/>
        <w:overflowPunct/>
        <w:topLinePunct w:val="0"/>
        <w:autoSpaceDE/>
        <w:autoSpaceDN/>
        <w:bidi w:val="0"/>
        <w:spacing w:before="0" w:line="560" w:lineRule="exact"/>
        <w:ind w:firstLine="640" w:firstLineChars="200"/>
        <w:textAlignment w:val="auto"/>
        <w:rPr>
          <w:rFonts w:hint="default" w:cs="仿宋_GB2312"/>
          <w:kern w:val="2"/>
          <w:sz w:val="32"/>
          <w:szCs w:val="32"/>
          <w:lang w:val="en-US" w:eastAsia="zh-CN"/>
        </w:rPr>
      </w:pPr>
      <w:r>
        <w:rPr>
          <w:rFonts w:hint="eastAsia" w:asci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2025年</w:t>
      </w:r>
      <w:r>
        <w:rPr>
          <w:rFonts w:hint="eastAsia" w:cs="仿宋_GB2312"/>
          <w:color w:val="000000"/>
          <w:kern w:val="2"/>
          <w:sz w:val="32"/>
          <w:szCs w:val="32"/>
          <w:lang w:val="en-US" w:eastAsia="zh-CN"/>
        </w:rPr>
        <w:t>我</w:t>
      </w:r>
      <w:r>
        <w:rPr>
          <w:rFonts w:hint="eastAsia" w:cs="仿宋_GB2312"/>
          <w:kern w:val="2"/>
          <w:sz w:val="32"/>
          <w:szCs w:val="32"/>
          <w:lang w:val="en-US" w:eastAsia="zh-CN"/>
        </w:rPr>
        <w:t>单位</w:t>
      </w:r>
      <w:r>
        <w:rPr>
          <w:rFonts w:hint="eastAsia" w:cs="仿宋_GB2312"/>
          <w:color w:val="000000"/>
          <w:kern w:val="2"/>
          <w:sz w:val="32"/>
          <w:szCs w:val="32"/>
        </w:rPr>
        <w:t>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万元，</w:t>
      </w:r>
      <w:r>
        <w:rPr>
          <w:rFonts w:hint="eastAsia" w:cs="仿宋_GB2312"/>
          <w:kern w:val="2"/>
          <w:sz w:val="32"/>
          <w:szCs w:val="32"/>
          <w:lang w:val="en-US" w:eastAsia="zh-CN"/>
        </w:rPr>
        <w:t>无政府采购预算安排。</w:t>
      </w:r>
    </w:p>
    <w:p w14:paraId="472FDF64">
      <w:pPr>
        <w:pStyle w:val="12"/>
        <w:keepNext w:val="0"/>
        <w:keepLines w:val="0"/>
        <w:pageBreakBefore w:val="0"/>
        <w:kinsoku/>
        <w:wordWrap/>
        <w:overflowPunct/>
        <w:topLinePunct w:val="0"/>
        <w:autoSpaceDE/>
        <w:autoSpaceDN/>
        <w:bidi w:val="0"/>
        <w:spacing w:before="0" w:line="560" w:lineRule="exact"/>
        <w:ind w:firstLine="640" w:firstLineChars="200"/>
        <w:textAlignment w:val="auto"/>
        <w:rPr>
          <w:rFonts w:ascii="楷体" w:eastAsia="楷体" w:cs="仿宋_GB2312"/>
          <w:kern w:val="2"/>
          <w:sz w:val="32"/>
          <w:szCs w:val="32"/>
        </w:rPr>
      </w:pPr>
      <w:r>
        <w:rPr>
          <w:rFonts w:hint="eastAsia" w:ascii="楷体" w:eastAsia="楷体" w:cs="仿宋_GB2312"/>
          <w:kern w:val="2"/>
          <w:sz w:val="32"/>
          <w:szCs w:val="32"/>
        </w:rPr>
        <w:t>（三）国有资产占有使用情况</w:t>
      </w:r>
    </w:p>
    <w:p w14:paraId="22F72B54">
      <w:pPr>
        <w:pStyle w:val="12"/>
        <w:keepNext w:val="0"/>
        <w:keepLines w:val="0"/>
        <w:pageBreakBefore w:val="0"/>
        <w:kinsoku/>
        <w:wordWrap/>
        <w:overflowPunct/>
        <w:topLinePunct w:val="0"/>
        <w:autoSpaceDE/>
        <w:autoSpaceDN/>
        <w:bidi w:val="0"/>
        <w:spacing w:before="0" w:line="560" w:lineRule="exact"/>
        <w:ind w:firstLine="640" w:firstLineChars="200"/>
        <w:textAlignment w:val="auto"/>
        <w:rPr>
          <w:rFonts w:cs="仿宋_GB2312"/>
          <w:kern w:val="2"/>
          <w:sz w:val="32"/>
          <w:szCs w:val="32"/>
        </w:rPr>
      </w:pPr>
      <w:r>
        <w:rPr>
          <w:rFonts w:hint="eastAsia" w:cs="仿宋_GB2312"/>
          <w:kern w:val="2"/>
          <w:sz w:val="32"/>
          <w:szCs w:val="32"/>
        </w:rPr>
        <w:t>截至2024年12月31日，我单位固定资产</w:t>
      </w:r>
      <w:r>
        <w:rPr>
          <w:rFonts w:hint="eastAsia" w:cs="仿宋_GB2312"/>
          <w:kern w:val="2"/>
          <w:sz w:val="32"/>
          <w:szCs w:val="32"/>
          <w:lang w:val="en-US" w:eastAsia="zh-CN"/>
        </w:rPr>
        <w:t>356.5</w:t>
      </w:r>
      <w:r>
        <w:rPr>
          <w:rFonts w:hint="eastAsia" w:cs="仿宋_GB2312"/>
          <w:kern w:val="2"/>
          <w:sz w:val="32"/>
          <w:szCs w:val="32"/>
        </w:rPr>
        <w:t>万元。</w:t>
      </w:r>
    </w:p>
    <w:p w14:paraId="479488F3">
      <w:pPr>
        <w:pStyle w:val="12"/>
        <w:keepNext w:val="0"/>
        <w:keepLines w:val="0"/>
        <w:pageBreakBefore w:val="0"/>
        <w:numPr>
          <w:ilvl w:val="0"/>
          <w:numId w:val="3"/>
        </w:numPr>
        <w:kinsoku/>
        <w:wordWrap/>
        <w:overflowPunct/>
        <w:topLinePunct w:val="0"/>
        <w:autoSpaceDE/>
        <w:autoSpaceDN/>
        <w:bidi w:val="0"/>
        <w:spacing w:before="0" w:line="560" w:lineRule="exact"/>
        <w:ind w:left="0" w:leftChars="0" w:firstLine="640" w:firstLineChars="200"/>
        <w:textAlignment w:val="auto"/>
        <w:rPr>
          <w:rFonts w:hint="eastAsia" w:cs="仿宋_GB2312"/>
          <w:kern w:val="2"/>
          <w:sz w:val="32"/>
          <w:szCs w:val="32"/>
        </w:rPr>
      </w:pPr>
      <w:r>
        <w:rPr>
          <w:rFonts w:hint="eastAsia" w:asci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2025年部门（单位）通用项目和专用项目均按要求实行绩效目标管理，涉及一般公共预算当年拨款</w:t>
      </w:r>
      <w:r>
        <w:rPr>
          <w:rFonts w:hint="eastAsia" w:cs="仿宋_GB2312"/>
          <w:kern w:val="2"/>
          <w:sz w:val="32"/>
          <w:szCs w:val="32"/>
          <w:lang w:val="en-US" w:eastAsia="zh-CN"/>
        </w:rPr>
        <w:t>668.49</w:t>
      </w:r>
      <w:r>
        <w:rPr>
          <w:rFonts w:hint="eastAsia" w:cs="仿宋_GB2312"/>
          <w:kern w:val="2"/>
          <w:sz w:val="32"/>
          <w:szCs w:val="32"/>
        </w:rPr>
        <w:t>万元。年初</w:t>
      </w:r>
      <w:r>
        <w:rPr>
          <w:rFonts w:hint="eastAsia" w:cs="仿宋_GB2312"/>
          <w:kern w:val="2"/>
          <w:sz w:val="32"/>
          <w:szCs w:val="32"/>
          <w:lang w:val="en-US" w:eastAsia="zh-CN"/>
        </w:rPr>
        <w:t>编制预算时</w:t>
      </w:r>
      <w:r>
        <w:rPr>
          <w:rFonts w:hint="eastAsia" w:cs="仿宋_GB2312"/>
          <w:kern w:val="2"/>
          <w:sz w:val="32"/>
          <w:szCs w:val="32"/>
        </w:rPr>
        <w:t>制定了明确、</w:t>
      </w:r>
      <w:r>
        <w:rPr>
          <w:rFonts w:hint="eastAsia" w:cs="仿宋_GB2312"/>
          <w:kern w:val="2"/>
          <w:sz w:val="32"/>
          <w:szCs w:val="32"/>
          <w:lang w:val="en-US" w:eastAsia="zh-CN"/>
        </w:rPr>
        <w:t>可量化</w:t>
      </w:r>
      <w:r>
        <w:rPr>
          <w:rFonts w:hint="eastAsia" w:cs="仿宋_GB2312"/>
          <w:kern w:val="2"/>
          <w:sz w:val="32"/>
          <w:szCs w:val="32"/>
        </w:rPr>
        <w:t>、可实现的绩效目标，</w:t>
      </w:r>
      <w:r>
        <w:rPr>
          <w:rFonts w:hint="eastAsia" w:cs="仿宋_GB2312"/>
          <w:kern w:val="2"/>
          <w:sz w:val="32"/>
          <w:szCs w:val="32"/>
          <w:lang w:val="en-US" w:eastAsia="zh-CN"/>
        </w:rPr>
        <w:t>绩效</w:t>
      </w:r>
      <w:r>
        <w:rPr>
          <w:rFonts w:hint="eastAsia" w:cs="仿宋_GB2312"/>
          <w:kern w:val="2"/>
          <w:sz w:val="32"/>
          <w:szCs w:val="32"/>
        </w:rPr>
        <w:t>目标涵盖了</w:t>
      </w:r>
      <w:r>
        <w:rPr>
          <w:rFonts w:hint="eastAsia" w:cs="仿宋_GB2312"/>
          <w:kern w:val="2"/>
          <w:sz w:val="32"/>
          <w:szCs w:val="32"/>
          <w:lang w:val="en-US" w:eastAsia="zh-CN"/>
        </w:rPr>
        <w:t>全年</w:t>
      </w:r>
      <w:r>
        <w:rPr>
          <w:rFonts w:hint="eastAsia" w:cs="仿宋_GB2312"/>
          <w:kern w:val="2"/>
          <w:sz w:val="32"/>
          <w:szCs w:val="32"/>
        </w:rPr>
        <w:t>工作的各个方面，包括工作任务完成情况</w:t>
      </w:r>
      <w:r>
        <w:rPr>
          <w:rFonts w:hint="eastAsia" w:cs="仿宋_GB2312"/>
          <w:kern w:val="2"/>
          <w:sz w:val="32"/>
          <w:szCs w:val="32"/>
          <w:lang w:eastAsia="zh-CN"/>
        </w:rPr>
        <w:t>、</w:t>
      </w:r>
      <w:r>
        <w:rPr>
          <w:rFonts w:hint="eastAsia" w:cs="仿宋_GB2312"/>
          <w:kern w:val="2"/>
          <w:sz w:val="32"/>
          <w:szCs w:val="32"/>
          <w:lang w:val="en-US" w:eastAsia="zh-CN"/>
        </w:rPr>
        <w:t>宣传方式、对公众影响力和知晓度的提升等</w:t>
      </w:r>
      <w:r>
        <w:rPr>
          <w:rFonts w:hint="eastAsia" w:cs="仿宋_GB2312"/>
          <w:kern w:val="2"/>
          <w:sz w:val="32"/>
          <w:szCs w:val="32"/>
        </w:rPr>
        <w:t>。</w:t>
      </w:r>
    </w:p>
    <w:p w14:paraId="5733724A">
      <w:pPr>
        <w:pStyle w:val="12"/>
        <w:keepNext w:val="0"/>
        <w:keepLines w:val="0"/>
        <w:pageBreakBefore w:val="0"/>
        <w:kinsoku/>
        <w:wordWrap/>
        <w:overflowPunct/>
        <w:topLinePunct w:val="0"/>
        <w:autoSpaceDE/>
        <w:autoSpaceDN/>
        <w:bidi w:val="0"/>
        <w:spacing w:before="0" w:line="560" w:lineRule="exact"/>
        <w:ind w:firstLine="640" w:firstLineChars="200"/>
        <w:textAlignment w:val="auto"/>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03D74FF4">
      <w:pPr>
        <w:keepNext w:val="0"/>
        <w:keepLines w:val="0"/>
        <w:pageBreakBefore w:val="0"/>
        <w:kinsoku/>
        <w:wordWrap/>
        <w:overflowPunct/>
        <w:topLinePunct w:val="0"/>
        <w:autoSpaceDE/>
        <w:autoSpaceDN/>
        <w:bidi w:val="0"/>
        <w:spacing w:line="560" w:lineRule="exact"/>
        <w:textAlignment w:val="auto"/>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ˎ̥">
    <w:altName w:val="Times New Roman"/>
    <w:panose1 w:val="00000000000000000000"/>
    <w:charset w:val="00"/>
    <w:family w:val="roman"/>
    <w:pitch w:val="default"/>
    <w:sig w:usb0="00000000" w:usb1="00000000" w:usb2="00000000" w:usb3="00000000" w:csb0="00000000" w:csb1="00000000"/>
  </w:font>
  <w:font w:name="方正楷体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方正仿宋_GBK">
    <w:altName w:val="Arial Unicode MS"/>
    <w:panose1 w:val="03000509000000000000"/>
    <w:charset w:val="86"/>
    <w:family w:val="script"/>
    <w:pitch w:val="default"/>
    <w:sig w:usb0="00000000" w:usb1="0000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0AE9AB">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426640"/>
    <w:multiLevelType w:val="singleLevel"/>
    <w:tmpl w:val="07426640"/>
    <w:lvl w:ilvl="0" w:tentative="0">
      <w:start w:val="2"/>
      <w:numFmt w:val="chineseCounting"/>
      <w:suff w:val="nothing"/>
      <w:lvlText w:val="（%1）"/>
      <w:lvlJc w:val="left"/>
      <w:rPr>
        <w:rFonts w:hint="eastAsia"/>
      </w:rPr>
    </w:lvl>
  </w:abstractNum>
  <w:abstractNum w:abstractNumId="1">
    <w:nsid w:val="3FD776E4"/>
    <w:multiLevelType w:val="singleLevel"/>
    <w:tmpl w:val="3FD776E4"/>
    <w:lvl w:ilvl="0" w:tentative="0">
      <w:start w:val="2"/>
      <w:numFmt w:val="chineseCounting"/>
      <w:suff w:val="nothing"/>
      <w:lvlText w:val="（%1）"/>
      <w:lvlJc w:val="left"/>
      <w:rPr>
        <w:rFonts w:hint="eastAsia"/>
      </w:rPr>
    </w:lvl>
  </w:abstractNum>
  <w:abstractNum w:abstractNumId="2">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0A93546"/>
    <w:rsid w:val="010A0DB6"/>
    <w:rsid w:val="02F5665B"/>
    <w:rsid w:val="04B92804"/>
    <w:rsid w:val="04D80E88"/>
    <w:rsid w:val="04FD60F7"/>
    <w:rsid w:val="05B9677F"/>
    <w:rsid w:val="073E6E8A"/>
    <w:rsid w:val="083C5E8C"/>
    <w:rsid w:val="0A3C5699"/>
    <w:rsid w:val="0A9E537E"/>
    <w:rsid w:val="0AF15110"/>
    <w:rsid w:val="0F8E6586"/>
    <w:rsid w:val="0FEE5277"/>
    <w:rsid w:val="11353AD6"/>
    <w:rsid w:val="11847C41"/>
    <w:rsid w:val="124D2044"/>
    <w:rsid w:val="130761CF"/>
    <w:rsid w:val="13180F89"/>
    <w:rsid w:val="14072DAB"/>
    <w:rsid w:val="144B399F"/>
    <w:rsid w:val="144D20A7"/>
    <w:rsid w:val="171E4694"/>
    <w:rsid w:val="176B1E7B"/>
    <w:rsid w:val="17A23532"/>
    <w:rsid w:val="182E0907"/>
    <w:rsid w:val="189334B7"/>
    <w:rsid w:val="1A5D1977"/>
    <w:rsid w:val="1AA36496"/>
    <w:rsid w:val="1CBF5FD1"/>
    <w:rsid w:val="1FE66701"/>
    <w:rsid w:val="2091237A"/>
    <w:rsid w:val="20923DE0"/>
    <w:rsid w:val="20FE1DFE"/>
    <w:rsid w:val="21352D06"/>
    <w:rsid w:val="21B005DE"/>
    <w:rsid w:val="21DD16D5"/>
    <w:rsid w:val="223B07F0"/>
    <w:rsid w:val="233562F1"/>
    <w:rsid w:val="246851A0"/>
    <w:rsid w:val="24F07BEB"/>
    <w:rsid w:val="255B6AB3"/>
    <w:rsid w:val="25F807A6"/>
    <w:rsid w:val="25F86609"/>
    <w:rsid w:val="268B5931"/>
    <w:rsid w:val="279761DB"/>
    <w:rsid w:val="279D450E"/>
    <w:rsid w:val="292332A3"/>
    <w:rsid w:val="2ABF44E9"/>
    <w:rsid w:val="2B432C49"/>
    <w:rsid w:val="2BF13CCD"/>
    <w:rsid w:val="2D2C1E5F"/>
    <w:rsid w:val="2D63556D"/>
    <w:rsid w:val="2E393E30"/>
    <w:rsid w:val="2E54265D"/>
    <w:rsid w:val="2F065CE2"/>
    <w:rsid w:val="30596FF6"/>
    <w:rsid w:val="310C502A"/>
    <w:rsid w:val="31927D00"/>
    <w:rsid w:val="335D32AD"/>
    <w:rsid w:val="33A855B9"/>
    <w:rsid w:val="354F3815"/>
    <w:rsid w:val="35771C89"/>
    <w:rsid w:val="35A10E52"/>
    <w:rsid w:val="3651018A"/>
    <w:rsid w:val="36D93CDC"/>
    <w:rsid w:val="374A41B9"/>
    <w:rsid w:val="37F963E3"/>
    <w:rsid w:val="38463EC9"/>
    <w:rsid w:val="38481119"/>
    <w:rsid w:val="39904B26"/>
    <w:rsid w:val="3B247C1B"/>
    <w:rsid w:val="3B553408"/>
    <w:rsid w:val="3CBB635D"/>
    <w:rsid w:val="3DF17B5D"/>
    <w:rsid w:val="3E133F77"/>
    <w:rsid w:val="3EE20FEA"/>
    <w:rsid w:val="3EEF4DE1"/>
    <w:rsid w:val="3F6011D8"/>
    <w:rsid w:val="402C1A30"/>
    <w:rsid w:val="40E877DE"/>
    <w:rsid w:val="417A1C6A"/>
    <w:rsid w:val="421837C0"/>
    <w:rsid w:val="42935686"/>
    <w:rsid w:val="44F47813"/>
    <w:rsid w:val="45992FB4"/>
    <w:rsid w:val="46753A31"/>
    <w:rsid w:val="490F6A90"/>
    <w:rsid w:val="49CB6069"/>
    <w:rsid w:val="4B820C21"/>
    <w:rsid w:val="4B9E1324"/>
    <w:rsid w:val="4BCB2B40"/>
    <w:rsid w:val="4C5440D8"/>
    <w:rsid w:val="4DA12680"/>
    <w:rsid w:val="4E04568A"/>
    <w:rsid w:val="4F135DEE"/>
    <w:rsid w:val="4F9E6E89"/>
    <w:rsid w:val="51832493"/>
    <w:rsid w:val="51BB2504"/>
    <w:rsid w:val="52020E44"/>
    <w:rsid w:val="52C75604"/>
    <w:rsid w:val="52CB56DA"/>
    <w:rsid w:val="537D529F"/>
    <w:rsid w:val="546C0F60"/>
    <w:rsid w:val="54750907"/>
    <w:rsid w:val="54B25E40"/>
    <w:rsid w:val="54F833D3"/>
    <w:rsid w:val="551C775D"/>
    <w:rsid w:val="55713605"/>
    <w:rsid w:val="557D04A4"/>
    <w:rsid w:val="55D911AB"/>
    <w:rsid w:val="570010E5"/>
    <w:rsid w:val="57460AC2"/>
    <w:rsid w:val="57AC6B77"/>
    <w:rsid w:val="57AD28EF"/>
    <w:rsid w:val="583D3C73"/>
    <w:rsid w:val="59382505"/>
    <w:rsid w:val="5A951B44"/>
    <w:rsid w:val="5AEC7BFA"/>
    <w:rsid w:val="5B1F3B03"/>
    <w:rsid w:val="5B850F54"/>
    <w:rsid w:val="5BA67D81"/>
    <w:rsid w:val="5C7E485A"/>
    <w:rsid w:val="5C8456B0"/>
    <w:rsid w:val="5D034B40"/>
    <w:rsid w:val="5FCA6734"/>
    <w:rsid w:val="60F375C4"/>
    <w:rsid w:val="62BE1E54"/>
    <w:rsid w:val="63EE6769"/>
    <w:rsid w:val="64D140C0"/>
    <w:rsid w:val="651E5B47"/>
    <w:rsid w:val="662875EE"/>
    <w:rsid w:val="66336951"/>
    <w:rsid w:val="66BA73A0"/>
    <w:rsid w:val="67AA4CC9"/>
    <w:rsid w:val="68492902"/>
    <w:rsid w:val="686E4E9E"/>
    <w:rsid w:val="695452C0"/>
    <w:rsid w:val="698536CB"/>
    <w:rsid w:val="6A2C5E85"/>
    <w:rsid w:val="6AAD6A36"/>
    <w:rsid w:val="6BAD7A5A"/>
    <w:rsid w:val="6BB64010"/>
    <w:rsid w:val="6C561AD8"/>
    <w:rsid w:val="6E1246BB"/>
    <w:rsid w:val="6EBF31DC"/>
    <w:rsid w:val="6F5E0C47"/>
    <w:rsid w:val="70781064"/>
    <w:rsid w:val="70B338A6"/>
    <w:rsid w:val="70B57BC5"/>
    <w:rsid w:val="71096990"/>
    <w:rsid w:val="713A123F"/>
    <w:rsid w:val="71E85F9D"/>
    <w:rsid w:val="71F633B8"/>
    <w:rsid w:val="728F349E"/>
    <w:rsid w:val="742E5A64"/>
    <w:rsid w:val="7521074C"/>
    <w:rsid w:val="75BC7564"/>
    <w:rsid w:val="75C80BC8"/>
    <w:rsid w:val="762A3631"/>
    <w:rsid w:val="76AC5014"/>
    <w:rsid w:val="774C5829"/>
    <w:rsid w:val="779564A0"/>
    <w:rsid w:val="7877697C"/>
    <w:rsid w:val="79314B25"/>
    <w:rsid w:val="79536547"/>
    <w:rsid w:val="7C3E7E36"/>
    <w:rsid w:val="7D253B5F"/>
    <w:rsid w:val="7E576F8D"/>
    <w:rsid w:val="7E5E42B5"/>
    <w:rsid w:val="7E8B30D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keepLines/>
      <w:widowControl w:val="0"/>
      <w:spacing w:before="340" w:after="330" w:line="578" w:lineRule="auto"/>
      <w:outlineLvl w:val="0"/>
    </w:pPr>
    <w:rPr>
      <w:b/>
      <w:bCs/>
      <w:kern w:val="44"/>
      <w:sz w:val="44"/>
    </w:rPr>
  </w:style>
  <w:style w:type="paragraph" w:styleId="4">
    <w:name w:val="heading 2"/>
    <w:basedOn w:val="1"/>
    <w:next w:val="1"/>
    <w:uiPriority w:val="0"/>
    <w:pPr>
      <w:keepNext/>
      <w:keepLines/>
      <w:widowControl w:val="0"/>
      <w:spacing w:before="260" w:after="260" w:line="415" w:lineRule="auto"/>
      <w:outlineLvl w:val="1"/>
    </w:pPr>
    <w:rPr>
      <w:rFonts w:ascii="Arial" w:hAnsi="Arial" w:eastAsia="黑体"/>
      <w:b/>
      <w:sz w:val="32"/>
    </w:rPr>
  </w:style>
  <w:style w:type="paragraph" w:styleId="5">
    <w:name w:val="heading 3"/>
    <w:basedOn w:val="1"/>
    <w:next w:val="1"/>
    <w:qFormat/>
    <w:uiPriority w:val="0"/>
    <w:pPr>
      <w:keepNext/>
      <w:keepLines/>
      <w:widowControl w:val="0"/>
      <w:spacing w:before="260" w:after="260" w:line="415" w:lineRule="auto"/>
      <w:outlineLvl w:val="2"/>
    </w:pPr>
    <w:rPr>
      <w:b/>
      <w:sz w:val="32"/>
    </w:rPr>
  </w:style>
  <w:style w:type="character" w:default="1" w:styleId="10">
    <w:name w:val="Default Paragraph Font"/>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table of figures"/>
    <w:basedOn w:val="1"/>
    <w:next w:val="1"/>
    <w:qFormat/>
    <w:uiPriority w:val="0"/>
    <w:pPr>
      <w:ind w:left="400" w:leftChars="200" w:hanging="200" w:hangingChars="200"/>
    </w:pPr>
    <w:rPr>
      <w:rFonts w:eastAsia="宋体" w:cs="Times New Roman"/>
      <w:szCs w:val="24"/>
    </w:rPr>
  </w:style>
  <w:style w:type="paragraph" w:styleId="6">
    <w:name w:val="index 5"/>
    <w:next w:val="1"/>
    <w:qFormat/>
    <w:uiPriority w:val="0"/>
    <w:pPr>
      <w:widowControl w:val="0"/>
      <w:ind w:left="1680"/>
      <w:jc w:val="both"/>
    </w:pPr>
    <w:rPr>
      <w:rFonts w:ascii="Calibri" w:hAnsi="Calibri" w:eastAsia="宋体" w:cs="Times New Roman"/>
      <w:kern w:val="2"/>
      <w:sz w:val="21"/>
      <w:szCs w:val="20"/>
      <w:lang w:val="en-US" w:eastAsia="zh-CN" w:bidi="ar-SA"/>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11">
    <w:name w:val="List Paragraph"/>
    <w:basedOn w:val="1"/>
    <w:uiPriority w:val="0"/>
    <w:pPr>
      <w:ind w:firstLine="200" w:firstLineChars="200"/>
    </w:pPr>
  </w:style>
  <w:style w:type="paragraph" w:customStyle="1" w:styleId="12">
    <w:name w:val="正文文本1"/>
    <w:basedOn w:val="1"/>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12</Pages>
  <Words>4735</Words>
  <Characters>5247</Characters>
  <Lines>124</Lines>
  <Paragraphs>51</Paragraphs>
  <TotalTime>6</TotalTime>
  <ScaleCrop>false</ScaleCrop>
  <LinksUpToDate>false</LinksUpToDate>
  <CharactersWithSpaces>5277</CharactersWithSpaces>
  <Application>WPS Office_12.1.0.19770_F1E327BC-269C-435d-A152-05C5408002CA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Lenovo</cp:lastModifiedBy>
  <cp:lastPrinted>2018-01-30T09:39:00Z</cp:lastPrinted>
  <dcterms:modified xsi:type="dcterms:W3CDTF">2025-02-14T06:45:56Z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eyJoZGlkIjoiODkwMjBiMDE0NDAzMDYwOGJjM2NjMzIxY2I3MmFjYzYifQ==</vt:lpwstr>
  </property>
  <property fmtid="{D5CDD505-2E9C-101B-9397-08002B2CF9AE}" pid="4" name="ICV">
    <vt:lpwstr>DAF76A207C8E4A43982C242D258EB091_12</vt:lpwstr>
  </property>
</Properties>
</file>