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F1BF5">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31BFC387"/>
    <w:p w14:paraId="4407086A"/>
    <w:p w14:paraId="6077A40C"/>
    <w:p w14:paraId="19B65C21">
      <w:pPr>
        <w:ind w:firstLine="1050" w:firstLineChars="500"/>
      </w:pPr>
    </w:p>
    <w:p w14:paraId="042027B6">
      <w:pPr>
        <w:ind w:firstLine="1050" w:firstLineChars="500"/>
      </w:pPr>
    </w:p>
    <w:p w14:paraId="448A020C">
      <w:pPr>
        <w:ind w:firstLine="1760" w:firstLineChars="400"/>
        <w:rPr>
          <w:rFonts w:ascii="黑体" w:hAnsi="黑体" w:eastAsia="黑体"/>
          <w:sz w:val="44"/>
          <w:szCs w:val="44"/>
        </w:rPr>
      </w:pPr>
    </w:p>
    <w:p w14:paraId="2275C5BE">
      <w:pPr>
        <w:ind w:firstLine="1760" w:firstLineChars="400"/>
        <w:rPr>
          <w:rFonts w:ascii="黑体" w:hAnsi="黑体" w:eastAsia="黑体"/>
          <w:sz w:val="44"/>
          <w:szCs w:val="44"/>
        </w:rPr>
      </w:pPr>
    </w:p>
    <w:p w14:paraId="1621EC3E">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大熊猫国家公园阿坝管理分局</w:t>
      </w:r>
    </w:p>
    <w:p w14:paraId="2C4DD59D">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235A3E67">
      <w:pPr>
        <w:ind w:firstLine="1760" w:firstLineChars="400"/>
        <w:rPr>
          <w:rFonts w:ascii="黑体" w:hAnsi="黑体" w:eastAsia="黑体"/>
          <w:sz w:val="44"/>
          <w:szCs w:val="44"/>
        </w:rPr>
      </w:pPr>
    </w:p>
    <w:p w14:paraId="65C3C324">
      <w:pPr>
        <w:ind w:firstLine="1760" w:firstLineChars="400"/>
        <w:rPr>
          <w:rFonts w:ascii="黑体" w:hAnsi="黑体" w:eastAsia="黑体"/>
          <w:sz w:val="44"/>
          <w:szCs w:val="44"/>
        </w:rPr>
      </w:pPr>
    </w:p>
    <w:p w14:paraId="0328D604">
      <w:pPr>
        <w:ind w:firstLine="1760" w:firstLineChars="400"/>
        <w:rPr>
          <w:rFonts w:ascii="黑体" w:hAnsi="黑体" w:eastAsia="黑体"/>
          <w:sz w:val="44"/>
          <w:szCs w:val="44"/>
        </w:rPr>
      </w:pPr>
    </w:p>
    <w:p w14:paraId="357B4AEE">
      <w:pPr>
        <w:ind w:firstLine="1760" w:firstLineChars="400"/>
        <w:rPr>
          <w:rFonts w:ascii="黑体" w:hAnsi="黑体" w:eastAsia="黑体"/>
          <w:sz w:val="44"/>
          <w:szCs w:val="44"/>
        </w:rPr>
      </w:pPr>
    </w:p>
    <w:p w14:paraId="298E60FE">
      <w:pPr>
        <w:ind w:firstLine="1760" w:firstLineChars="400"/>
        <w:rPr>
          <w:rFonts w:ascii="黑体" w:hAnsi="黑体" w:eastAsia="黑体"/>
          <w:sz w:val="44"/>
          <w:szCs w:val="44"/>
        </w:rPr>
      </w:pPr>
    </w:p>
    <w:p w14:paraId="7D5B0E66">
      <w:pPr>
        <w:ind w:firstLine="1760" w:firstLineChars="400"/>
        <w:rPr>
          <w:rFonts w:ascii="黑体" w:hAnsi="黑体" w:eastAsia="黑体"/>
          <w:sz w:val="44"/>
          <w:szCs w:val="44"/>
        </w:rPr>
      </w:pPr>
    </w:p>
    <w:p w14:paraId="574D1A19">
      <w:pPr>
        <w:ind w:firstLine="1760" w:firstLineChars="400"/>
        <w:rPr>
          <w:rFonts w:ascii="黑体" w:hAnsi="黑体" w:eastAsia="黑体"/>
          <w:sz w:val="44"/>
          <w:szCs w:val="44"/>
        </w:rPr>
      </w:pPr>
    </w:p>
    <w:p w14:paraId="2910E35F">
      <w:pPr>
        <w:ind w:firstLine="1760" w:firstLineChars="400"/>
        <w:rPr>
          <w:rFonts w:ascii="黑体" w:hAnsi="黑体" w:eastAsia="黑体"/>
          <w:sz w:val="44"/>
          <w:szCs w:val="44"/>
        </w:rPr>
      </w:pPr>
    </w:p>
    <w:p w14:paraId="428B3853">
      <w:pPr>
        <w:ind w:firstLine="1760" w:firstLineChars="400"/>
        <w:rPr>
          <w:rFonts w:ascii="黑体" w:hAnsi="黑体" w:eastAsia="黑体"/>
          <w:sz w:val="44"/>
          <w:szCs w:val="44"/>
        </w:rPr>
      </w:pPr>
    </w:p>
    <w:p w14:paraId="5DB80CD5">
      <w:pPr>
        <w:ind w:firstLine="1760" w:firstLineChars="400"/>
        <w:rPr>
          <w:rFonts w:ascii="黑体" w:hAnsi="黑体" w:eastAsia="黑体"/>
          <w:sz w:val="44"/>
          <w:szCs w:val="44"/>
        </w:rPr>
      </w:pPr>
    </w:p>
    <w:p w14:paraId="7DC10249">
      <w:pPr>
        <w:ind w:firstLine="1760" w:firstLineChars="400"/>
        <w:rPr>
          <w:rFonts w:ascii="黑体" w:hAnsi="黑体" w:eastAsia="黑体"/>
          <w:sz w:val="44"/>
          <w:szCs w:val="44"/>
        </w:rPr>
      </w:pPr>
    </w:p>
    <w:p w14:paraId="74DF8E21">
      <w:pPr>
        <w:ind w:firstLine="1760" w:firstLineChars="400"/>
        <w:rPr>
          <w:rFonts w:ascii="黑体" w:hAnsi="黑体" w:eastAsia="黑体"/>
          <w:sz w:val="44"/>
          <w:szCs w:val="44"/>
        </w:rPr>
      </w:pPr>
    </w:p>
    <w:p w14:paraId="09D7966F">
      <w:pPr>
        <w:ind w:firstLine="1760" w:firstLineChars="400"/>
        <w:rPr>
          <w:rFonts w:ascii="黑体" w:hAnsi="黑体" w:eastAsia="黑体"/>
          <w:sz w:val="44"/>
          <w:szCs w:val="44"/>
        </w:rPr>
      </w:pPr>
    </w:p>
    <w:p w14:paraId="66733D66">
      <w:pPr>
        <w:ind w:firstLine="1760" w:firstLineChars="400"/>
        <w:rPr>
          <w:rFonts w:ascii="黑体" w:hAnsi="黑体" w:eastAsia="黑体"/>
          <w:sz w:val="44"/>
          <w:szCs w:val="44"/>
        </w:rPr>
      </w:pPr>
    </w:p>
    <w:p w14:paraId="7C30D6C6">
      <w:pPr>
        <w:rPr>
          <w:rFonts w:ascii="黑体" w:hAnsi="黑体" w:eastAsia="黑体"/>
          <w:sz w:val="44"/>
          <w:szCs w:val="44"/>
        </w:rPr>
      </w:pPr>
    </w:p>
    <w:p w14:paraId="78ED8940">
      <w:pPr>
        <w:ind w:firstLine="3120" w:firstLineChars="600"/>
        <w:rPr>
          <w:rFonts w:ascii="黑体" w:hAnsi="黑体" w:eastAsia="黑体"/>
          <w:sz w:val="52"/>
          <w:szCs w:val="52"/>
        </w:rPr>
      </w:pPr>
      <w:r>
        <w:rPr>
          <w:rFonts w:hint="eastAsia" w:ascii="黑体" w:hAnsi="黑体" w:eastAsia="黑体"/>
          <w:sz w:val="52"/>
          <w:szCs w:val="52"/>
        </w:rPr>
        <w:t>目录</w:t>
      </w:r>
    </w:p>
    <w:p w14:paraId="11E9C7F7">
      <w:pPr>
        <w:ind w:firstLine="3080" w:firstLineChars="700"/>
        <w:rPr>
          <w:rFonts w:ascii="黑体" w:hAnsi="黑体" w:eastAsia="黑体"/>
          <w:sz w:val="44"/>
          <w:szCs w:val="44"/>
        </w:rPr>
      </w:pPr>
    </w:p>
    <w:p w14:paraId="1D69A4E4">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14:paraId="74B77E5B">
      <w:pPr>
        <w:rPr>
          <w:rFonts w:ascii="楷体" w:hAnsi="楷体" w:eastAsia="楷体"/>
          <w:sz w:val="32"/>
          <w:szCs w:val="32"/>
        </w:rPr>
      </w:pPr>
      <w:r>
        <w:rPr>
          <w:rFonts w:hint="eastAsia" w:ascii="楷体" w:hAnsi="楷体" w:eastAsia="楷体"/>
          <w:sz w:val="32"/>
          <w:szCs w:val="32"/>
        </w:rPr>
        <w:t>（一）部门职能简介</w:t>
      </w:r>
    </w:p>
    <w:p w14:paraId="464BD617">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14:paraId="12585BDB">
      <w:pPr>
        <w:rPr>
          <w:rFonts w:ascii="黑体" w:hAnsi="黑体" w:eastAsia="黑体"/>
          <w:sz w:val="32"/>
          <w:szCs w:val="32"/>
        </w:rPr>
      </w:pPr>
      <w:r>
        <w:rPr>
          <w:rFonts w:hint="eastAsia" w:ascii="黑体" w:hAnsi="黑体" w:eastAsia="黑体"/>
          <w:sz w:val="32"/>
          <w:szCs w:val="32"/>
        </w:rPr>
        <w:t>二、部门预算单位构成</w:t>
      </w:r>
    </w:p>
    <w:p w14:paraId="7ABA3AB0">
      <w:pPr>
        <w:rPr>
          <w:rFonts w:ascii="黑体" w:hAnsi="黑体" w:eastAsia="黑体"/>
          <w:sz w:val="32"/>
          <w:szCs w:val="32"/>
        </w:rPr>
      </w:pPr>
      <w:r>
        <w:rPr>
          <w:rFonts w:hint="eastAsia" w:ascii="黑体" w:hAnsi="黑体" w:eastAsia="黑体"/>
          <w:sz w:val="32"/>
          <w:szCs w:val="32"/>
        </w:rPr>
        <w:t>三、收支预算情况说明</w:t>
      </w:r>
    </w:p>
    <w:p w14:paraId="14C3FB1C">
      <w:pPr>
        <w:rPr>
          <w:rFonts w:ascii="楷体" w:hAnsi="楷体" w:eastAsia="楷体"/>
          <w:sz w:val="32"/>
          <w:szCs w:val="32"/>
        </w:rPr>
      </w:pPr>
      <w:r>
        <w:rPr>
          <w:rFonts w:hint="eastAsia" w:ascii="楷体" w:hAnsi="楷体" w:eastAsia="楷体"/>
          <w:sz w:val="32"/>
          <w:szCs w:val="32"/>
        </w:rPr>
        <w:t>（一）收入预算情况</w:t>
      </w:r>
    </w:p>
    <w:p w14:paraId="2208F10B">
      <w:pPr>
        <w:rPr>
          <w:rFonts w:ascii="楷体" w:hAnsi="楷体" w:eastAsia="楷体"/>
          <w:sz w:val="32"/>
          <w:szCs w:val="32"/>
        </w:rPr>
      </w:pPr>
      <w:r>
        <w:rPr>
          <w:rFonts w:hint="eastAsia" w:ascii="楷体" w:hAnsi="楷体" w:eastAsia="楷体"/>
          <w:sz w:val="32"/>
          <w:szCs w:val="32"/>
        </w:rPr>
        <w:t>（二）支出预算情况</w:t>
      </w:r>
    </w:p>
    <w:p w14:paraId="72A07C75">
      <w:pPr>
        <w:rPr>
          <w:rFonts w:ascii="黑体" w:hAnsi="黑体" w:eastAsia="黑体"/>
          <w:sz w:val="32"/>
          <w:szCs w:val="32"/>
        </w:rPr>
      </w:pPr>
      <w:r>
        <w:rPr>
          <w:rFonts w:hint="eastAsia" w:ascii="黑体" w:hAnsi="黑体" w:eastAsia="黑体"/>
          <w:sz w:val="32"/>
          <w:szCs w:val="32"/>
        </w:rPr>
        <w:t>四、财政拨款收支预算情况说明</w:t>
      </w:r>
    </w:p>
    <w:p w14:paraId="2A460DF4">
      <w:pPr>
        <w:rPr>
          <w:rFonts w:ascii="黑体" w:hAnsi="黑体" w:eastAsia="黑体"/>
          <w:sz w:val="32"/>
          <w:szCs w:val="32"/>
        </w:rPr>
      </w:pPr>
      <w:r>
        <w:rPr>
          <w:rFonts w:hint="eastAsia" w:ascii="黑体" w:hAnsi="黑体" w:eastAsia="黑体"/>
          <w:sz w:val="32"/>
          <w:szCs w:val="32"/>
        </w:rPr>
        <w:t>五、一般公共预算当年拨款情况说明</w:t>
      </w:r>
    </w:p>
    <w:p w14:paraId="19B0076B">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38F17F6A">
      <w:pPr>
        <w:rPr>
          <w:rFonts w:ascii="黑体" w:hAnsi="黑体" w:eastAsia="黑体"/>
          <w:sz w:val="32"/>
          <w:szCs w:val="32"/>
        </w:rPr>
      </w:pPr>
    </w:p>
    <w:p w14:paraId="2B46894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FA88F87">
      <w:pPr>
        <w:pStyle w:val="9"/>
        <w:ind w:firstLine="640"/>
        <w:rPr>
          <w:rFonts w:ascii="黑体" w:hAnsi="黑体" w:eastAsia="黑体"/>
          <w:sz w:val="32"/>
          <w:szCs w:val="32"/>
        </w:rPr>
      </w:pPr>
      <w:r>
        <w:rPr>
          <w:rFonts w:hint="eastAsia" w:ascii="黑体" w:hAnsi="黑体" w:eastAsia="黑体"/>
          <w:sz w:val="32"/>
          <w:szCs w:val="32"/>
        </w:rPr>
        <w:t>一、基本职能及主要工作</w:t>
      </w:r>
    </w:p>
    <w:p w14:paraId="27173A6F">
      <w:pPr>
        <w:ind w:firstLine="640" w:firstLineChars="200"/>
        <w:rPr>
          <w:rFonts w:ascii="楷体" w:hAnsi="楷体" w:eastAsia="楷体"/>
          <w:sz w:val="32"/>
          <w:szCs w:val="32"/>
        </w:rPr>
      </w:pPr>
      <w:r>
        <w:rPr>
          <w:rFonts w:hint="eastAsia" w:ascii="楷体" w:hAnsi="楷体" w:eastAsia="楷体"/>
          <w:sz w:val="32"/>
          <w:szCs w:val="32"/>
        </w:rPr>
        <w:t>（一）部门职能简介</w:t>
      </w:r>
    </w:p>
    <w:p w14:paraId="216D72C4">
      <w:pPr>
        <w:pStyle w:val="9"/>
        <w:spacing w:line="596" w:lineRule="exact"/>
        <w:ind w:firstLine="640"/>
        <w:rPr>
          <w:rFonts w:ascii="仿宋_GB2312" w:hAnsi="Times New Roman" w:eastAsia="仿宋_GB2312"/>
          <w:sz w:val="32"/>
          <w:szCs w:val="32"/>
        </w:rPr>
      </w:pPr>
      <w:r>
        <w:rPr>
          <w:rFonts w:hint="eastAsia" w:ascii="仿宋_GB2312" w:hAnsi="Times New Roman" w:eastAsia="仿宋_GB2312"/>
          <w:sz w:val="32"/>
          <w:szCs w:val="32"/>
        </w:rPr>
        <w:t>按照《四川省大熊猫国家公园管理机构设置实施方案》（川委厅〔2019〕2号）和《四川省大熊猫国家公园各管理分局运行机制意见》（川林发〔2019〕20号）等相关文件要求，组建大熊猫国家公园阿坝管理分局。我局主要职能职责是：</w:t>
      </w:r>
    </w:p>
    <w:p w14:paraId="37E7F653">
      <w:pPr>
        <w:spacing w:line="596" w:lineRule="exact"/>
        <w:rPr>
          <w:rFonts w:ascii="仿宋_GB2312" w:hAnsi="Times New Roman" w:eastAsia="仿宋_GB2312"/>
          <w:sz w:val="32"/>
          <w:szCs w:val="32"/>
        </w:rPr>
      </w:pPr>
      <w:r>
        <w:rPr>
          <w:rFonts w:hint="eastAsia" w:ascii="仿宋_GB2312" w:hAnsi="Times New Roman" w:eastAsia="仿宋_GB2312"/>
          <w:sz w:val="32"/>
          <w:szCs w:val="32"/>
        </w:rPr>
        <w:t>1.具体承担辖区内大熊猫国家公园体制试点工作。</w:t>
      </w:r>
    </w:p>
    <w:p w14:paraId="690B158E">
      <w:pPr>
        <w:pStyle w:val="9"/>
        <w:spacing w:line="596" w:lineRule="exact"/>
        <w:ind w:firstLine="0" w:firstLineChars="0"/>
        <w:rPr>
          <w:rFonts w:ascii="仿宋_GB2312" w:hAnsi="Times New Roman" w:eastAsia="仿宋_GB2312"/>
          <w:sz w:val="32"/>
          <w:szCs w:val="32"/>
        </w:rPr>
      </w:pPr>
      <w:r>
        <w:rPr>
          <w:rFonts w:hint="eastAsia" w:ascii="仿宋_GB2312" w:hAnsi="Times New Roman" w:eastAsia="仿宋_GB2312"/>
          <w:sz w:val="32"/>
          <w:szCs w:val="32"/>
        </w:rPr>
        <w:t>2.负责以大熊猫为核心的生物多样性保护和资源环境综合执法。</w:t>
      </w:r>
    </w:p>
    <w:p w14:paraId="0A113F0D">
      <w:pPr>
        <w:spacing w:line="596" w:lineRule="exact"/>
        <w:rPr>
          <w:rFonts w:ascii="仿宋_GB2312" w:hAnsi="Times New Roman" w:eastAsia="仿宋_GB2312"/>
          <w:sz w:val="32"/>
          <w:szCs w:val="32"/>
        </w:rPr>
      </w:pPr>
      <w:r>
        <w:rPr>
          <w:rFonts w:hint="eastAsia" w:ascii="仿宋_GB2312" w:hAnsi="Times New Roman" w:eastAsia="仿宋_GB2312"/>
          <w:sz w:val="32"/>
          <w:szCs w:val="32"/>
        </w:rPr>
        <w:t>3.负责项目审查。</w:t>
      </w:r>
    </w:p>
    <w:p w14:paraId="64C10406">
      <w:pPr>
        <w:spacing w:line="596" w:lineRule="exact"/>
        <w:rPr>
          <w:rFonts w:ascii="仿宋_GB2312" w:hAnsi="Times New Roman" w:eastAsia="仿宋_GB2312"/>
          <w:sz w:val="32"/>
          <w:szCs w:val="32"/>
        </w:rPr>
      </w:pPr>
      <w:r>
        <w:rPr>
          <w:rFonts w:hint="eastAsia" w:ascii="仿宋_GB2312" w:hAnsi="Times New Roman" w:eastAsia="仿宋_GB2312"/>
          <w:sz w:val="32"/>
          <w:szCs w:val="32"/>
        </w:rPr>
        <w:t>4.组织实施特许经营和社会参与，建立社区可持续发展机制。</w:t>
      </w:r>
    </w:p>
    <w:p w14:paraId="64680C4D">
      <w:pPr>
        <w:spacing w:line="596" w:lineRule="exact"/>
        <w:rPr>
          <w:rFonts w:ascii="仿宋_GB2312" w:hAnsi="Times New Roman" w:eastAsia="仿宋_GB2312"/>
          <w:sz w:val="32"/>
          <w:szCs w:val="32"/>
        </w:rPr>
      </w:pPr>
      <w:r>
        <w:rPr>
          <w:rFonts w:hint="eastAsia" w:ascii="仿宋_GB2312" w:hAnsi="Times New Roman" w:eastAsia="仿宋_GB2312"/>
          <w:sz w:val="32"/>
          <w:szCs w:val="32"/>
        </w:rPr>
        <w:t>5.配合地方政府落实国家公园内生产经营设施退出和生态移民搬迁工作。</w:t>
      </w:r>
    </w:p>
    <w:p w14:paraId="79169852">
      <w:pPr>
        <w:spacing w:line="596" w:lineRule="exact"/>
        <w:rPr>
          <w:rFonts w:ascii="仿宋_GB2312" w:hAnsi="Times New Roman" w:eastAsia="仿宋_GB2312"/>
          <w:sz w:val="32"/>
          <w:szCs w:val="32"/>
        </w:rPr>
      </w:pPr>
      <w:r>
        <w:rPr>
          <w:rFonts w:hint="eastAsia" w:ascii="仿宋_GB2312" w:hAnsi="Times New Roman" w:eastAsia="仿宋_GB2312"/>
          <w:sz w:val="32"/>
          <w:szCs w:val="32"/>
        </w:rPr>
        <w:t>6.开展巡护监测、科学研究、生态体验和科普教育。</w:t>
      </w:r>
    </w:p>
    <w:p w14:paraId="3837214F">
      <w:pPr>
        <w:spacing w:line="596" w:lineRule="exact"/>
        <w:rPr>
          <w:rFonts w:ascii="仿宋_GB2312" w:hAnsi="Times New Roman" w:eastAsia="仿宋_GB2312"/>
          <w:sz w:val="32"/>
          <w:szCs w:val="32"/>
        </w:rPr>
      </w:pPr>
      <w:r>
        <w:rPr>
          <w:rFonts w:hint="eastAsia" w:ascii="仿宋_GB2312" w:hAnsi="Times New Roman" w:eastAsia="仿宋_GB2312"/>
          <w:sz w:val="32"/>
          <w:szCs w:val="32"/>
        </w:rPr>
        <w:t>7.组织实施生态工程、保护设施建设。</w:t>
      </w:r>
    </w:p>
    <w:p w14:paraId="5BCF26B2">
      <w:pPr>
        <w:pStyle w:val="9"/>
        <w:spacing w:line="596" w:lineRule="exact"/>
        <w:ind w:firstLine="0" w:firstLineChars="0"/>
        <w:rPr>
          <w:rFonts w:ascii="仿宋_GB2312" w:hAnsi="Times New Roman" w:eastAsia="仿宋_GB2312"/>
          <w:sz w:val="32"/>
          <w:szCs w:val="32"/>
        </w:rPr>
      </w:pPr>
      <w:r>
        <w:rPr>
          <w:rFonts w:hint="eastAsia" w:ascii="仿宋_GB2312" w:hAnsi="Times New Roman" w:eastAsia="仿宋_GB2312"/>
          <w:sz w:val="32"/>
          <w:szCs w:val="32"/>
        </w:rPr>
        <w:t>8.完成省局交办的其他工作。</w:t>
      </w:r>
    </w:p>
    <w:p w14:paraId="6BC408D5">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14:paraId="574C7594">
      <w:pPr>
        <w:pStyle w:val="6"/>
        <w:widowControl w:val="0"/>
        <w:ind w:lef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坚持把学习好、宣传好党的二十大精神作为当前和今后一段时期最重大的政治任务，在学习报告精神、学习讲话精神、开展宣传宣讲上下功夫，深入践行习近平生态文明思想，努力在大熊猫国家公园阿坝园区营造学习党的二十大精神的浓厚氛围，高质量规划建设大熊猫国家公园，擦亮“熊猫家园·净土阿坝”金字招牌。</w:t>
      </w:r>
    </w:p>
    <w:p w14:paraId="7F1FB1DD">
      <w:pPr>
        <w:spacing w:line="578" w:lineRule="exact"/>
        <w:ind w:firstLine="643" w:firstLineChars="200"/>
        <w:jc w:val="left"/>
        <w:rPr>
          <w:rFonts w:hint="eastAsia" w:ascii="仿宋_GB2312" w:eastAsia="仿宋_GB2312"/>
          <w:bCs/>
          <w:color w:val="000000"/>
          <w:sz w:val="32"/>
          <w:szCs w:val="32"/>
        </w:rPr>
      </w:pPr>
      <w:r>
        <w:rPr>
          <w:rFonts w:hint="eastAsia" w:ascii="楷体_GB2312" w:eastAsia="楷体_GB2312"/>
          <w:b/>
          <w:bCs/>
          <w:color w:val="000000"/>
          <w:sz w:val="32"/>
          <w:szCs w:val="32"/>
        </w:rPr>
        <w:t>（一）强化规划引领。</w:t>
      </w:r>
      <w:r>
        <w:rPr>
          <w:rFonts w:hint="eastAsia" w:ascii="仿宋_GB2312" w:eastAsia="仿宋_GB2312"/>
          <w:color w:val="000000"/>
          <w:sz w:val="32"/>
          <w:szCs w:val="32"/>
        </w:rPr>
        <w:t>加快编制《大熊猫国家公园阿坝片区规划》，结合国土空间规划“三区三线”划定，科学划定边界范围</w:t>
      </w:r>
      <w:r>
        <w:rPr>
          <w:rFonts w:hint="eastAsia" w:ascii="仿宋_GB2312" w:eastAsia="仿宋_GB2312"/>
          <w:color w:val="000000"/>
          <w:spacing w:val="1"/>
          <w:w w:val="96"/>
          <w:kern w:val="0"/>
          <w:sz w:val="32"/>
          <w:szCs w:val="32"/>
          <w:fitText w:val="8007" w:id="912208599"/>
        </w:rPr>
        <w:t>和管控分区，明确管控方式和管控措施，依法依规留足发</w:t>
      </w:r>
      <w:r>
        <w:rPr>
          <w:rFonts w:hint="eastAsia" w:ascii="仿宋_GB2312" w:eastAsia="仿宋_GB2312"/>
          <w:color w:val="000000"/>
          <w:spacing w:val="11"/>
          <w:w w:val="96"/>
          <w:kern w:val="0"/>
          <w:sz w:val="32"/>
          <w:szCs w:val="32"/>
          <w:fitText w:val="8007" w:id="912208599"/>
        </w:rPr>
        <w:t>展</w:t>
      </w:r>
      <w:r>
        <w:rPr>
          <w:rFonts w:hint="eastAsia" w:ascii="仿宋_GB2312" w:eastAsia="仿宋_GB2312"/>
          <w:color w:val="000000"/>
          <w:sz w:val="32"/>
          <w:szCs w:val="32"/>
        </w:rPr>
        <w:t>空间。</w:t>
      </w:r>
    </w:p>
    <w:p w14:paraId="67EF6770">
      <w:pPr>
        <w:spacing w:line="578" w:lineRule="exact"/>
        <w:ind w:firstLine="643" w:firstLineChars="200"/>
        <w:jc w:val="left"/>
        <w:rPr>
          <w:rFonts w:hint="eastAsia" w:ascii="仿宋_GB2312" w:eastAsia="仿宋_GB2312"/>
          <w:color w:val="000000"/>
          <w:sz w:val="32"/>
          <w:szCs w:val="32"/>
        </w:rPr>
      </w:pPr>
      <w:r>
        <w:rPr>
          <w:rFonts w:hint="eastAsia" w:ascii="楷体_GB2312" w:eastAsia="楷体_GB2312"/>
          <w:b/>
          <w:bCs/>
          <w:color w:val="000000"/>
          <w:sz w:val="32"/>
          <w:szCs w:val="32"/>
        </w:rPr>
        <w:t>（二）强化生态保护。</w:t>
      </w:r>
      <w:r>
        <w:rPr>
          <w:rFonts w:hint="eastAsia" w:ascii="仿宋_GB2312" w:eastAsia="仿宋_GB2312"/>
          <w:bCs/>
          <w:color w:val="000000"/>
          <w:sz w:val="32"/>
          <w:szCs w:val="32"/>
        </w:rPr>
        <w:t>常态化开展管护、</w:t>
      </w:r>
      <w:r>
        <w:rPr>
          <w:rFonts w:hint="eastAsia" w:ascii="仿宋_GB2312" w:eastAsia="仿宋_GB2312"/>
          <w:color w:val="000000"/>
          <w:sz w:val="32"/>
          <w:szCs w:val="32"/>
        </w:rPr>
        <w:t>巡护监测工作，适时开展防火、反盗猎、违规采集、跨区巡护等专项行动，打击违法违规行为。全力做好环境问题整改，加速推进阿坝片区小水电有序退出和矿业权巡查监管。</w:t>
      </w:r>
    </w:p>
    <w:p w14:paraId="6A59DAC3">
      <w:pPr>
        <w:pStyle w:val="3"/>
        <w:spacing w:line="578" w:lineRule="exact"/>
        <w:rPr>
          <w:rFonts w:hint="eastAsia" w:ascii="仿宋_GB2312" w:eastAsia="仿宋_GB2312" w:cs="Times New Roman"/>
          <w:color w:val="000000"/>
          <w:sz w:val="32"/>
          <w:szCs w:val="32"/>
          <w:lang w:bidi="ar-SA"/>
        </w:rPr>
      </w:pPr>
      <w:r>
        <w:rPr>
          <w:rFonts w:hint="eastAsia" w:ascii="楷体_GB2312" w:eastAsia="楷体_GB2312" w:cs="Times New Roman"/>
          <w:b/>
          <w:bCs/>
          <w:color w:val="000000"/>
          <w:sz w:val="32"/>
          <w:szCs w:val="32"/>
          <w:lang w:bidi="ar-SA"/>
        </w:rPr>
        <w:t>（三）实施生态修复。</w:t>
      </w:r>
      <w:r>
        <w:rPr>
          <w:rFonts w:hint="eastAsia" w:ascii="仿宋_GB2312" w:eastAsia="仿宋_GB2312" w:cs="Times New Roman"/>
          <w:color w:val="000000"/>
          <w:sz w:val="32"/>
          <w:szCs w:val="32"/>
          <w:lang w:bidi="ar-SA"/>
        </w:rPr>
        <w:t>在</w:t>
      </w:r>
      <w:r>
        <w:rPr>
          <w:rFonts w:hint="eastAsia" w:ascii="仿宋_GB2312" w:eastAsia="仿宋_GB2312" w:cs="Times New Roman"/>
          <w:color w:val="000000"/>
          <w:sz w:val="32"/>
          <w:szCs w:val="32"/>
          <w:shd w:val="clear" w:color="auto" w:fill="FFFFFF"/>
          <w:lang w:bidi="ar-SA"/>
        </w:rPr>
        <w:t>黄土梁、小河、土地岭</w:t>
      </w:r>
      <w:r>
        <w:rPr>
          <w:rFonts w:hint="eastAsia" w:ascii="仿宋_GB2312" w:eastAsia="仿宋_GB2312" w:cs="Times New Roman"/>
          <w:color w:val="000000"/>
          <w:sz w:val="32"/>
          <w:szCs w:val="32"/>
          <w:lang w:bidi="ar-SA"/>
        </w:rPr>
        <w:t>开展以林相改造、动物通道为主的</w:t>
      </w:r>
      <w:r>
        <w:rPr>
          <w:rFonts w:hint="eastAsia" w:ascii="仿宋_GB2312" w:eastAsia="仿宋_GB2312" w:cs="Times New Roman"/>
          <w:color w:val="000000"/>
          <w:sz w:val="32"/>
          <w:szCs w:val="32"/>
          <w:shd w:val="clear" w:color="auto" w:fill="FFFFFF"/>
          <w:lang w:bidi="ar-SA"/>
        </w:rPr>
        <w:t>廊道建设。</w:t>
      </w:r>
      <w:r>
        <w:rPr>
          <w:rFonts w:hint="eastAsia" w:ascii="仿宋_GB2312" w:eastAsia="仿宋_GB2312" w:cs="Times New Roman"/>
          <w:color w:val="000000"/>
          <w:sz w:val="32"/>
          <w:szCs w:val="32"/>
          <w:lang w:bidi="ar-SA"/>
        </w:rPr>
        <w:t>开展乡土适生食用竹研究，建设试验示范栽植基地。实施生态修复和森林经营，培绿增绿，不断优化野生大熊猫生存环境。</w:t>
      </w:r>
    </w:p>
    <w:p w14:paraId="133AE807">
      <w:pPr>
        <w:pStyle w:val="3"/>
        <w:spacing w:line="578" w:lineRule="exact"/>
        <w:rPr>
          <w:rFonts w:hint="eastAsia" w:ascii="仿宋_GB2312" w:eastAsia="仿宋_GB2312" w:cs="Times New Roman"/>
          <w:color w:val="000000"/>
          <w:sz w:val="32"/>
          <w:szCs w:val="32"/>
          <w:lang w:bidi="ar-SA"/>
        </w:rPr>
      </w:pPr>
      <w:r>
        <w:rPr>
          <w:rFonts w:hint="eastAsia" w:ascii="楷体_GB2312" w:eastAsia="楷体_GB2312" w:cs="Times New Roman"/>
          <w:b/>
          <w:bCs/>
          <w:color w:val="000000"/>
          <w:sz w:val="32"/>
          <w:szCs w:val="32"/>
          <w:lang w:bidi="ar-SA"/>
        </w:rPr>
        <w:t>（四）推动融合发展。</w:t>
      </w:r>
      <w:r>
        <w:rPr>
          <w:rFonts w:hint="eastAsia" w:ascii="仿宋_GB2312" w:eastAsia="仿宋_GB2312" w:cs="Times New Roman"/>
          <w:color w:val="000000"/>
          <w:sz w:val="32"/>
          <w:szCs w:val="32"/>
          <w:lang w:bidi="ar-SA"/>
        </w:rPr>
        <w:t>立足品牌优势，推进“大熊猫国家公园+社区”“大熊猫国家公园+旅游”等业态融合发展。分批次在大熊猫国家公园开展</w:t>
      </w:r>
      <w:r>
        <w:rPr>
          <w:rFonts w:hint="eastAsia" w:ascii="仿宋_GB2312" w:eastAsia="仿宋_GB2312" w:cs="楷体_GB2312"/>
          <w:color w:val="000000"/>
          <w:sz w:val="32"/>
          <w:szCs w:val="32"/>
          <w:lang w:bidi="ar-SA"/>
        </w:rPr>
        <w:t>入口集镇建设，</w:t>
      </w:r>
      <w:r>
        <w:rPr>
          <w:rFonts w:hint="eastAsia" w:ascii="仿宋_GB2312" w:eastAsia="仿宋_GB2312" w:cs="Times New Roman"/>
          <w:color w:val="000000"/>
          <w:sz w:val="32"/>
          <w:szCs w:val="32"/>
          <w:lang w:bidi="ar-SA"/>
        </w:rPr>
        <w:t>同乡村振兴战略有机衔接，建立共建共管共享机制，促进人与自然和谐共生。</w:t>
      </w:r>
    </w:p>
    <w:p w14:paraId="079AF367">
      <w:pPr>
        <w:pStyle w:val="3"/>
        <w:spacing w:line="578" w:lineRule="exact"/>
        <w:rPr>
          <w:rFonts w:hint="eastAsia" w:ascii="仿宋_GB2312" w:eastAsia="仿宋_GB2312" w:cs="Times New Roman"/>
          <w:color w:val="000000"/>
          <w:sz w:val="32"/>
          <w:szCs w:val="32"/>
          <w:shd w:val="clear" w:color="auto" w:fill="FFFFFF"/>
          <w:lang w:bidi="ar-SA"/>
        </w:rPr>
      </w:pPr>
      <w:r>
        <w:rPr>
          <w:rFonts w:hint="eastAsia" w:ascii="楷体_GB2312" w:eastAsia="楷体_GB2312" w:cs="Times New Roman"/>
          <w:b/>
          <w:bCs/>
          <w:color w:val="000000"/>
          <w:sz w:val="32"/>
          <w:szCs w:val="32"/>
          <w:lang w:bidi="ar-SA"/>
        </w:rPr>
        <w:t>（</w:t>
      </w:r>
      <w:r>
        <w:rPr>
          <w:rFonts w:hint="eastAsia" w:ascii="楷体_GB2312" w:eastAsia="楷体_GB2312"/>
          <w:b/>
          <w:bCs/>
          <w:color w:val="000000"/>
          <w:sz w:val="32"/>
          <w:szCs w:val="32"/>
        </w:rPr>
        <w:t>五</w:t>
      </w:r>
      <w:r>
        <w:rPr>
          <w:rFonts w:hint="eastAsia" w:ascii="楷体_GB2312" w:eastAsia="楷体_GB2312" w:cs="Times New Roman"/>
          <w:b/>
          <w:bCs/>
          <w:color w:val="000000"/>
          <w:sz w:val="32"/>
          <w:szCs w:val="32"/>
          <w:lang w:bidi="ar-SA"/>
        </w:rPr>
        <w:t>）强化安全生产。</w:t>
      </w:r>
      <w:r>
        <w:rPr>
          <w:rFonts w:hint="eastAsia" w:ascii="仿宋_GB2312" w:eastAsia="仿宋_GB2312" w:cs="Times New Roman"/>
          <w:color w:val="000000"/>
          <w:sz w:val="32"/>
          <w:szCs w:val="32"/>
          <w:shd w:val="solid" w:color="FFFFFF" w:fill="FFFFFF"/>
          <w:lang w:bidi="ar-SA"/>
        </w:rPr>
        <w:t>做好片区普法宣传工作，抓实抓细森林草原防灭火及安全生产，</w:t>
      </w:r>
      <w:r>
        <w:rPr>
          <w:rStyle w:val="11"/>
          <w:rFonts w:hint="eastAsia" w:ascii="仿宋_GB2312" w:eastAsia="仿宋_GB2312" w:cs="Times New Roman"/>
          <w:color w:val="000000"/>
          <w:kern w:val="2"/>
          <w:sz w:val="32"/>
          <w:szCs w:val="32"/>
          <w:shd w:val="solid" w:color="FFFFFF" w:fill="FFFFFF"/>
          <w:lang w:bidi="ar-SA"/>
        </w:rPr>
        <w:t>推进基础设施建设，提高应急处置水平。</w:t>
      </w:r>
      <w:r>
        <w:rPr>
          <w:rFonts w:hint="eastAsia" w:ascii="仿宋_GB2312" w:eastAsia="仿宋_GB2312" w:cs="Times New Roman"/>
          <w:color w:val="000000"/>
          <w:sz w:val="32"/>
          <w:szCs w:val="32"/>
          <w:shd w:val="solid" w:color="FFFFFF" w:fill="FFFFFF"/>
          <w:lang w:bidi="ar-SA"/>
        </w:rPr>
        <w:t>持续开展“季度督导”“三防一安全”工作，排查安全隐患，及时整改落实。</w:t>
      </w:r>
    </w:p>
    <w:p w14:paraId="042A7BDF">
      <w:pPr>
        <w:spacing w:line="578" w:lineRule="exact"/>
        <w:ind w:firstLine="643" w:firstLineChars="200"/>
        <w:rPr>
          <w:rFonts w:hint="eastAsia" w:ascii="仿宋_GB2312" w:eastAsia="仿宋_GB2312"/>
          <w:color w:val="000000"/>
          <w:sz w:val="32"/>
          <w:szCs w:val="32"/>
          <w:shd w:val="solid" w:color="FFFFFF" w:fill="FFFFFF"/>
        </w:rPr>
      </w:pPr>
      <w:r>
        <w:rPr>
          <w:rFonts w:hint="eastAsia" w:ascii="楷体_GB2312" w:eastAsia="楷体_GB2312"/>
          <w:b/>
          <w:bCs/>
          <w:color w:val="000000"/>
          <w:sz w:val="32"/>
          <w:szCs w:val="32"/>
        </w:rPr>
        <w:t>（六）强化党的建设。</w:t>
      </w:r>
      <w:r>
        <w:rPr>
          <w:rFonts w:hint="eastAsia" w:ascii="仿宋_GB2312" w:eastAsia="仿宋_GB2312"/>
          <w:color w:val="000000"/>
          <w:sz w:val="32"/>
          <w:szCs w:val="32"/>
          <w:shd w:val="solid" w:color="FFFFFF" w:fill="FFFFFF"/>
        </w:rPr>
        <w:t>坚持以党的二十大精神为统领，不忘初心、牢记使命,谦虚谨慎、艰苦奋斗,敢于斗争、善于斗争,坚定历史自信,增强历史主动,在党的坚强领导下深入推进大熊猫国家公园阿坝园区各项工作，为新时代新征程稳州兴州事业发展贡献智慧和力量。</w:t>
      </w:r>
    </w:p>
    <w:p w14:paraId="0F9BFB21">
      <w:pPr>
        <w:ind w:firstLine="640" w:firstLineChars="200"/>
        <w:rPr>
          <w:rFonts w:hint="eastAsia" w:ascii="楷体" w:hAnsi="楷体" w:eastAsia="楷体"/>
          <w:sz w:val="32"/>
          <w:szCs w:val="32"/>
        </w:rPr>
      </w:pPr>
    </w:p>
    <w:p w14:paraId="7A78174C">
      <w:pPr>
        <w:pStyle w:val="9"/>
        <w:numPr>
          <w:ilvl w:val="0"/>
          <w:numId w:val="1"/>
        </w:numPr>
        <w:ind w:left="1350" w:leftChars="0" w:firstLineChars="0"/>
        <w:rPr>
          <w:rFonts w:ascii="黑体" w:hAnsi="黑体" w:eastAsia="黑体"/>
          <w:sz w:val="32"/>
          <w:szCs w:val="32"/>
        </w:rPr>
      </w:pPr>
      <w:r>
        <w:rPr>
          <w:rFonts w:hint="eastAsia" w:ascii="黑体" w:hAnsi="黑体" w:eastAsia="黑体"/>
          <w:sz w:val="32"/>
          <w:szCs w:val="32"/>
        </w:rPr>
        <w:t>部门预算单位构成</w:t>
      </w:r>
    </w:p>
    <w:p w14:paraId="34961135">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themeColor="text1"/>
          <w:sz w:val="32"/>
          <w:szCs w:val="32"/>
          <w14:textFill>
            <w14:solidFill>
              <w14:schemeClr w14:val="tx1"/>
            </w14:solidFill>
          </w14:textFill>
        </w:rPr>
        <w:t>大熊猫国家公园阿坝管理分局属一级预算单位，无下属二级预算单位</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val="en-US" w:eastAsia="zh-CN"/>
        </w:rPr>
        <w:t>单位</w:t>
      </w:r>
      <w:r>
        <w:rPr>
          <w:rFonts w:hint="eastAsia" w:ascii="仿宋_GB2312" w:hAnsi="仿宋" w:eastAsia="仿宋_GB2312"/>
          <w:color w:val="000000" w:themeColor="text1"/>
          <w:sz w:val="32"/>
          <w:szCs w:val="32"/>
          <w14:textFill>
            <w14:solidFill>
              <w14:schemeClr w14:val="tx1"/>
            </w14:solidFill>
          </w14:textFill>
        </w:rPr>
        <w:t>内设机构7个,</w:t>
      </w:r>
      <w:r>
        <w:rPr>
          <w:rFonts w:hint="eastAsia" w:ascii="仿宋_GB2312" w:hAnsi="楷体_GB2312" w:eastAsia="仿宋_GB2312"/>
          <w:bCs/>
          <w:color w:val="000000" w:themeColor="text1"/>
          <w:sz w:val="32"/>
          <w:szCs w:val="32"/>
          <w14:textFill>
            <w14:solidFill>
              <w14:schemeClr w14:val="tx1"/>
            </w14:solidFill>
          </w14:textFill>
        </w:rPr>
        <w:t xml:space="preserve"> 办公室、</w:t>
      </w:r>
      <w:r>
        <w:rPr>
          <w:rFonts w:hint="eastAsia" w:ascii="仿宋_GB2312" w:eastAsia="仿宋_GB2312"/>
          <w:bCs/>
          <w:color w:val="000000" w:themeColor="text1"/>
          <w:sz w:val="32"/>
          <w:szCs w:val="32"/>
          <w14:textFill>
            <w14:solidFill>
              <w14:schemeClr w14:val="tx1"/>
            </w14:solidFill>
          </w14:textFill>
        </w:rPr>
        <w:t>野生动植物保护部、</w:t>
      </w:r>
      <w:r>
        <w:rPr>
          <w:rFonts w:hint="eastAsia" w:ascii="仿宋_GB2312" w:hAnsi="楷体_GB2312" w:eastAsia="仿宋_GB2312"/>
          <w:bCs/>
          <w:color w:val="000000" w:themeColor="text1"/>
          <w:sz w:val="32"/>
          <w:szCs w:val="32"/>
          <w14:textFill>
            <w14:solidFill>
              <w14:schemeClr w14:val="tx1"/>
            </w14:solidFill>
          </w14:textFill>
        </w:rPr>
        <w:t>栖息地保护部、科研教育部、社会协调发展部、法规督查部、建设管理部</w:t>
      </w:r>
      <w:r>
        <w:rPr>
          <w:rFonts w:hint="eastAsia" w:ascii="仿宋_GB2312" w:hAnsi="仿宋" w:eastAsia="仿宋_GB2312"/>
          <w:color w:val="000000" w:themeColor="text1"/>
          <w:sz w:val="32"/>
          <w:szCs w:val="32"/>
          <w14:textFill>
            <w14:solidFill>
              <w14:schemeClr w14:val="tx1"/>
            </w14:solidFill>
          </w14:textFill>
        </w:rPr>
        <w:t>。根据</w:t>
      </w:r>
      <w:r>
        <w:rPr>
          <w:rFonts w:hint="eastAsia" w:ascii="仿宋_GB2312" w:hAnsi="Calibri" w:eastAsia="仿宋_GB2312" w:cs="Calibri"/>
          <w:color w:val="333333"/>
          <w:kern w:val="0"/>
          <w:sz w:val="32"/>
          <w:szCs w:val="32"/>
        </w:rPr>
        <w:t>《中共阿坝州委机构编制委员会关于调整</w:t>
      </w:r>
      <w:r>
        <w:rPr>
          <w:rFonts w:hint="eastAsia" w:ascii="仿宋_GB2312" w:hAnsi="Calibri" w:eastAsia="仿宋_GB2312" w:cs="Calibri"/>
          <w:color w:val="333333"/>
          <w:kern w:val="0"/>
          <w:sz w:val="32"/>
          <w:szCs w:val="32"/>
          <w:lang w:val="en-US" w:eastAsia="zh-CN"/>
        </w:rPr>
        <w:t>大熊猫国家公园阿坝管理分局</w:t>
      </w:r>
      <w:r>
        <w:rPr>
          <w:rFonts w:hint="eastAsia" w:ascii="仿宋_GB2312" w:hAnsi="Calibri" w:eastAsia="仿宋_GB2312" w:cs="Calibri"/>
          <w:color w:val="333333"/>
          <w:kern w:val="0"/>
          <w:sz w:val="32"/>
          <w:szCs w:val="32"/>
        </w:rPr>
        <w:t>有关机构编制事项的</w:t>
      </w:r>
      <w:r>
        <w:rPr>
          <w:rFonts w:hint="eastAsia" w:ascii="仿宋_GB2312" w:eastAsia="仿宋_GB2312" w:cs="Calibri"/>
          <w:color w:val="333333"/>
          <w:kern w:val="0"/>
          <w:sz w:val="32"/>
          <w:szCs w:val="32"/>
          <w:lang w:val="en-US" w:eastAsia="zh-CN"/>
        </w:rPr>
        <w:t>批复</w:t>
      </w:r>
      <w:r>
        <w:rPr>
          <w:rFonts w:hint="eastAsia" w:ascii="仿宋_GB2312" w:hAnsi="Calibri" w:eastAsia="仿宋_GB2312" w:cs="Calibri"/>
          <w:color w:val="333333"/>
          <w:kern w:val="0"/>
          <w:sz w:val="32"/>
          <w:szCs w:val="32"/>
        </w:rPr>
        <w:t>》（阿编发〔</w:t>
      </w:r>
      <w:r>
        <w:rPr>
          <w:rFonts w:ascii="Times New Roman" w:hAnsi="Times New Roman" w:eastAsia="宋体" w:cs="Times New Roman"/>
          <w:color w:val="333333"/>
          <w:kern w:val="0"/>
          <w:sz w:val="32"/>
          <w:szCs w:val="32"/>
        </w:rPr>
        <w:t>20</w:t>
      </w:r>
      <w:r>
        <w:rPr>
          <w:rFonts w:hint="eastAsia" w:ascii="Times New Roman" w:hAnsi="Times New Roman" w:cs="Times New Roman"/>
          <w:color w:val="333333"/>
          <w:kern w:val="0"/>
          <w:sz w:val="32"/>
          <w:szCs w:val="32"/>
          <w:lang w:val="en-US" w:eastAsia="zh-CN"/>
        </w:rPr>
        <w:t>20</w:t>
      </w:r>
      <w:r>
        <w:rPr>
          <w:rFonts w:hint="eastAsia" w:ascii="仿宋_GB2312" w:hAnsi="Calibri" w:eastAsia="仿宋_GB2312" w:cs="Calibri"/>
          <w:color w:val="333333"/>
          <w:kern w:val="0"/>
          <w:sz w:val="32"/>
          <w:szCs w:val="32"/>
        </w:rPr>
        <w:t>〕</w:t>
      </w:r>
      <w:r>
        <w:rPr>
          <w:rFonts w:hint="eastAsia" w:ascii="Times New Roman" w:hAnsi="Times New Roman" w:eastAsia="仿宋_GB2312" w:cs="Times New Roman"/>
          <w:color w:val="333333"/>
          <w:kern w:val="0"/>
          <w:sz w:val="32"/>
          <w:szCs w:val="32"/>
          <w:lang w:val="en-US" w:eastAsia="zh-CN"/>
        </w:rPr>
        <w:t>12</w:t>
      </w:r>
      <w:r>
        <w:rPr>
          <w:rFonts w:ascii="仿宋_GB2312" w:hAnsi="Times New Roman" w:eastAsia="仿宋_GB2312" w:cs="Times New Roman"/>
          <w:color w:val="333333"/>
          <w:kern w:val="0"/>
          <w:sz w:val="32"/>
          <w:szCs w:val="32"/>
        </w:rPr>
        <w:t>号</w:t>
      </w:r>
      <w:r>
        <w:rPr>
          <w:rFonts w:hint="eastAsia" w:ascii="仿宋_GB2312" w:hAnsi="Calibri" w:eastAsia="仿宋_GB2312" w:cs="Calibri"/>
          <w:color w:val="333333"/>
          <w:kern w:val="0"/>
          <w:sz w:val="32"/>
          <w:szCs w:val="32"/>
        </w:rPr>
        <w:t>）《中共阿坝州委机构编制委员会关于调整</w:t>
      </w:r>
      <w:r>
        <w:rPr>
          <w:rFonts w:hint="eastAsia" w:ascii="仿宋_GB2312" w:hAnsi="Calibri" w:eastAsia="仿宋_GB2312" w:cs="Calibri"/>
          <w:color w:val="333333"/>
          <w:kern w:val="0"/>
          <w:sz w:val="32"/>
          <w:szCs w:val="32"/>
          <w:lang w:val="en-US" w:eastAsia="zh-CN"/>
        </w:rPr>
        <w:t>大熊猫国家公园阿坝管理分局</w:t>
      </w:r>
      <w:r>
        <w:rPr>
          <w:rFonts w:hint="eastAsia" w:ascii="仿宋_GB2312" w:hAnsi="Calibri" w:eastAsia="仿宋_GB2312" w:cs="Calibri"/>
          <w:color w:val="333333"/>
          <w:kern w:val="0"/>
          <w:sz w:val="32"/>
          <w:szCs w:val="32"/>
        </w:rPr>
        <w:t>有关机构编制事项的</w:t>
      </w:r>
      <w:r>
        <w:rPr>
          <w:rFonts w:hint="eastAsia" w:ascii="仿宋_GB2312" w:hAnsi="Calibri" w:eastAsia="仿宋_GB2312" w:cs="Calibri"/>
          <w:color w:val="333333"/>
          <w:kern w:val="0"/>
          <w:sz w:val="32"/>
          <w:szCs w:val="32"/>
          <w:lang w:val="en-US" w:eastAsia="zh-CN"/>
        </w:rPr>
        <w:t>通知</w:t>
      </w:r>
      <w:r>
        <w:rPr>
          <w:rFonts w:hint="eastAsia" w:ascii="仿宋_GB2312" w:hAnsi="Calibri" w:eastAsia="仿宋_GB2312" w:cs="Calibri"/>
          <w:color w:val="333333"/>
          <w:kern w:val="0"/>
          <w:sz w:val="32"/>
          <w:szCs w:val="32"/>
        </w:rPr>
        <w:t>》（阿编发〔</w:t>
      </w:r>
      <w:r>
        <w:rPr>
          <w:rFonts w:ascii="Times New Roman" w:hAnsi="Times New Roman" w:eastAsia="宋体" w:cs="Times New Roman"/>
          <w:color w:val="333333"/>
          <w:kern w:val="0"/>
          <w:sz w:val="32"/>
          <w:szCs w:val="32"/>
        </w:rPr>
        <w:t>20</w:t>
      </w:r>
      <w:r>
        <w:rPr>
          <w:rFonts w:hint="eastAsia" w:ascii="Times New Roman" w:hAnsi="Times New Roman" w:eastAsia="仿宋_GB2312" w:cs="Times New Roman"/>
          <w:color w:val="333333"/>
          <w:kern w:val="0"/>
          <w:sz w:val="32"/>
          <w:szCs w:val="32"/>
        </w:rPr>
        <w:t>19</w:t>
      </w:r>
      <w:r>
        <w:rPr>
          <w:rFonts w:hint="eastAsia" w:ascii="仿宋_GB2312" w:hAnsi="Calibri" w:eastAsia="仿宋_GB2312" w:cs="Calibri"/>
          <w:color w:val="333333"/>
          <w:kern w:val="0"/>
          <w:sz w:val="32"/>
          <w:szCs w:val="32"/>
        </w:rPr>
        <w:t>〕</w:t>
      </w:r>
      <w:r>
        <w:rPr>
          <w:rFonts w:hint="eastAsia" w:ascii="Times New Roman" w:hAnsi="Times New Roman" w:eastAsia="仿宋_GB2312" w:cs="Times New Roman"/>
          <w:color w:val="333333"/>
          <w:kern w:val="0"/>
          <w:sz w:val="32"/>
          <w:szCs w:val="32"/>
          <w:lang w:val="en-US" w:eastAsia="zh-CN"/>
        </w:rPr>
        <w:t>3</w:t>
      </w:r>
      <w:r>
        <w:rPr>
          <w:rFonts w:hint="eastAsia" w:ascii="Times New Roman" w:hAnsi="Times New Roman" w:eastAsia="仿宋_GB2312" w:cs="Times New Roman"/>
          <w:color w:val="333333"/>
          <w:kern w:val="0"/>
          <w:sz w:val="32"/>
          <w:szCs w:val="32"/>
        </w:rPr>
        <w:t>6</w:t>
      </w:r>
      <w:r>
        <w:rPr>
          <w:rFonts w:ascii="仿宋_GB2312" w:hAnsi="Times New Roman" w:eastAsia="仿宋_GB2312" w:cs="Times New Roman"/>
          <w:color w:val="333333"/>
          <w:kern w:val="0"/>
          <w:sz w:val="32"/>
          <w:szCs w:val="32"/>
        </w:rPr>
        <w:t>号</w:t>
      </w:r>
      <w:r>
        <w:rPr>
          <w:rFonts w:hint="eastAsia" w:ascii="仿宋_GB2312" w:hAnsi="Calibri" w:eastAsia="仿宋_GB2312" w:cs="Calibri"/>
          <w:color w:val="333333"/>
          <w:kern w:val="0"/>
          <w:sz w:val="32"/>
          <w:szCs w:val="32"/>
        </w:rPr>
        <w:t>）</w:t>
      </w:r>
      <w:r>
        <w:rPr>
          <w:rFonts w:hint="eastAsia" w:ascii="仿宋_GB2312" w:hAnsi="Calibri" w:eastAsia="仿宋_GB2312" w:cs="Calibri"/>
          <w:color w:val="333333"/>
          <w:kern w:val="0"/>
          <w:sz w:val="32"/>
          <w:szCs w:val="32"/>
          <w:lang w:val="en-US" w:eastAsia="zh-CN"/>
        </w:rPr>
        <w:t>文件</w:t>
      </w:r>
      <w:r>
        <w:rPr>
          <w:rFonts w:hint="eastAsia" w:ascii="仿宋_GB2312" w:eastAsia="仿宋_GB2312" w:cs="Calibri"/>
          <w:color w:val="333333"/>
          <w:kern w:val="0"/>
          <w:sz w:val="32"/>
          <w:szCs w:val="32"/>
          <w:lang w:val="en-US" w:eastAsia="zh-CN"/>
        </w:rPr>
        <w:t>核定</w:t>
      </w:r>
      <w:r>
        <w:rPr>
          <w:rFonts w:hint="eastAsia" w:ascii="仿宋_GB2312" w:hAnsi="仿宋" w:eastAsia="仿宋_GB2312"/>
          <w:color w:val="000000" w:themeColor="text1"/>
          <w:sz w:val="32"/>
          <w:szCs w:val="32"/>
          <w14:textFill>
            <w14:solidFill>
              <w14:schemeClr w14:val="tx1"/>
            </w14:solidFill>
          </w14:textFill>
        </w:rPr>
        <w:t>事业编制24名。</w:t>
      </w:r>
    </w:p>
    <w:p w14:paraId="583B1A34">
      <w:pPr>
        <w:pStyle w:val="9"/>
        <w:ind w:left="0" w:leftChars="0" w:firstLine="1280" w:firstLineChars="400"/>
        <w:rPr>
          <w:rFonts w:ascii="黑体" w:hAnsi="黑体" w:eastAsia="黑体"/>
          <w:sz w:val="32"/>
          <w:szCs w:val="32"/>
        </w:rPr>
      </w:pPr>
      <w:r>
        <w:rPr>
          <w:rFonts w:hint="eastAsia" w:ascii="黑体" w:hAnsi="黑体" w:eastAsia="黑体"/>
          <w:sz w:val="32"/>
          <w:szCs w:val="32"/>
        </w:rPr>
        <w:t>三、收支预算情况说明</w:t>
      </w:r>
    </w:p>
    <w:p w14:paraId="0DD4CAC2">
      <w:pPr>
        <w:widowControl/>
        <w:shd w:val="clear" w:color="auto" w:fill="FFFFFF"/>
        <w:spacing w:after="100" w:afterAutospacing="1" w:line="560" w:lineRule="atLeas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14:paraId="1733A144">
      <w:pPr>
        <w:numPr>
          <w:ilvl w:val="0"/>
          <w:numId w:val="0"/>
        </w:numPr>
        <w:ind w:leftChars="0" w:firstLine="640" w:firstLineChars="200"/>
        <w:jc w:val="left"/>
        <w:rPr>
          <w:rFonts w:ascii="仿宋_GB2312" w:eastAsia="仿宋_GB2312"/>
          <w:sz w:val="32"/>
          <w:szCs w:val="32"/>
        </w:rPr>
      </w:pPr>
      <w:r>
        <w:rPr>
          <w:rFonts w:hint="eastAsia" w:ascii="仿宋_GB2312" w:hAnsi="Times New Roman" w:eastAsia="仿宋_GB2312"/>
          <w:sz w:val="32"/>
          <w:szCs w:val="32"/>
        </w:rPr>
        <w:t>按</w:t>
      </w:r>
      <w:r>
        <w:rPr>
          <w:rFonts w:hint="eastAsia" w:ascii="仿宋_GB2312" w:hAnsi="Times New Roman" w:eastAsia="仿宋_GB2312"/>
          <w:sz w:val="32"/>
          <w:szCs w:val="32"/>
          <w:lang w:val="en-US" w:eastAsia="zh-CN"/>
        </w:rPr>
        <w:t>规定</w:t>
      </w:r>
      <w:r>
        <w:rPr>
          <w:rFonts w:hint="eastAsia" w:ascii="仿宋_GB2312" w:hAnsi="Times New Roman" w:eastAsia="仿宋_GB2312"/>
          <w:sz w:val="32"/>
          <w:szCs w:val="32"/>
        </w:rPr>
        <w:t>，我局所有收入纳入部门预算管理。202</w:t>
      </w:r>
      <w:r>
        <w:rPr>
          <w:rFonts w:hint="eastAsia" w:ascii="仿宋_GB2312" w:hAnsi="Times New Roman" w:eastAsia="仿宋_GB2312"/>
          <w:sz w:val="32"/>
          <w:szCs w:val="32"/>
          <w:lang w:val="en-US" w:eastAsia="zh-CN"/>
        </w:rPr>
        <w:t>3</w:t>
      </w:r>
      <w:r>
        <w:rPr>
          <w:rFonts w:hint="eastAsia" w:ascii="仿宋_GB2312" w:hAnsi="Times New Roman" w:eastAsia="仿宋_GB2312"/>
          <w:sz w:val="32"/>
          <w:szCs w:val="32"/>
        </w:rPr>
        <w:t>年预算收入</w:t>
      </w:r>
      <w:r>
        <w:rPr>
          <w:rFonts w:hint="eastAsia" w:ascii="仿宋_GB2312" w:hAnsi="Times New Roman" w:eastAsia="仿宋_GB2312"/>
          <w:sz w:val="32"/>
          <w:szCs w:val="32"/>
          <w:lang w:val="en-US" w:eastAsia="zh-CN"/>
        </w:rPr>
        <w:t>714.59</w:t>
      </w:r>
      <w:r>
        <w:rPr>
          <w:rFonts w:hint="eastAsia" w:ascii="仿宋_GB2312" w:hAnsi="Times New Roman" w:eastAsia="仿宋_GB2312"/>
          <w:sz w:val="32"/>
          <w:szCs w:val="32"/>
        </w:rPr>
        <w:t>万元，其中：一般公共预算拨款收入</w:t>
      </w:r>
      <w:r>
        <w:rPr>
          <w:rFonts w:hint="eastAsia" w:ascii="仿宋_GB2312" w:hAnsi="Times New Roman" w:eastAsia="仿宋_GB2312"/>
          <w:sz w:val="32"/>
          <w:szCs w:val="32"/>
          <w:lang w:val="en-US" w:eastAsia="zh-CN"/>
        </w:rPr>
        <w:t>714.59</w:t>
      </w:r>
      <w:r>
        <w:rPr>
          <w:rFonts w:hint="eastAsia" w:ascii="仿宋_GB2312" w:hAnsi="Times New Roman" w:eastAsia="仿宋_GB2312"/>
          <w:sz w:val="32"/>
          <w:szCs w:val="32"/>
        </w:rPr>
        <w:t>万元，占100%，事业收入0万元，占0%，其他收入0万元，占0%。</w:t>
      </w:r>
    </w:p>
    <w:p w14:paraId="76E6002E">
      <w:pPr>
        <w:widowControl/>
        <w:numPr>
          <w:ilvl w:val="0"/>
          <w:numId w:val="2"/>
        </w:numPr>
        <w:shd w:val="clear" w:color="auto" w:fill="FFFFFF"/>
        <w:spacing w:after="100" w:afterAutospacing="1" w:line="560" w:lineRule="atLeast"/>
        <w:ind w:left="-643" w:leftChars="0" w:firstLine="643" w:firstLineChars="0"/>
        <w:jc w:val="both"/>
        <w:rPr>
          <w:rFonts w:hint="eastAsia" w:ascii="楷体" w:hAnsi="楷体" w:eastAsia="楷体" w:cs="仿宋_GB2312"/>
          <w:sz w:val="32"/>
          <w:szCs w:val="32"/>
        </w:rPr>
      </w:pPr>
      <w:r>
        <w:rPr>
          <w:rFonts w:hint="eastAsia" w:ascii="楷体" w:hAnsi="楷体" w:eastAsia="楷体" w:cs="仿宋_GB2312"/>
          <w:sz w:val="32"/>
          <w:szCs w:val="32"/>
        </w:rPr>
        <w:t>支出预算情况</w:t>
      </w:r>
    </w:p>
    <w:p w14:paraId="12112661">
      <w:pPr>
        <w:widowControl/>
        <w:shd w:val="clear" w:color="auto" w:fill="FFFFFF"/>
        <w:spacing w:after="100" w:afterAutospacing="1" w:line="560" w:lineRule="atLeast"/>
        <w:ind w:firstLine="640"/>
        <w:jc w:val="left"/>
      </w:pPr>
      <w:r>
        <w:rPr>
          <w:rFonts w:hint="eastAsia" w:ascii="仿宋_GB2312" w:hAnsi="Times New Roman" w:eastAsia="仿宋_GB2312"/>
          <w:sz w:val="32"/>
          <w:szCs w:val="32"/>
        </w:rPr>
        <w:t>我局202</w:t>
      </w:r>
      <w:r>
        <w:rPr>
          <w:rFonts w:hint="eastAsia" w:ascii="仿宋_GB2312" w:hAnsi="Times New Roman" w:eastAsia="仿宋_GB2312"/>
          <w:sz w:val="32"/>
          <w:szCs w:val="32"/>
          <w:lang w:val="en-US" w:eastAsia="zh-CN"/>
        </w:rPr>
        <w:t>3</w:t>
      </w:r>
      <w:r>
        <w:rPr>
          <w:rFonts w:hint="eastAsia" w:ascii="仿宋_GB2312" w:hAnsi="Times New Roman" w:eastAsia="仿宋_GB2312"/>
          <w:sz w:val="32"/>
          <w:szCs w:val="32"/>
        </w:rPr>
        <w:t>年支出预算</w:t>
      </w:r>
      <w:r>
        <w:rPr>
          <w:rFonts w:hint="eastAsia" w:ascii="仿宋_GB2312" w:hAnsi="Times New Roman" w:eastAsia="仿宋_GB2312"/>
          <w:sz w:val="32"/>
          <w:szCs w:val="32"/>
          <w:lang w:val="en-US" w:eastAsia="zh-CN"/>
        </w:rPr>
        <w:t>714.59</w:t>
      </w:r>
      <w:r>
        <w:rPr>
          <w:rFonts w:hint="eastAsia" w:ascii="仿宋_GB2312" w:hAnsi="Times New Roman" w:eastAsia="仿宋_GB2312"/>
          <w:sz w:val="32"/>
          <w:szCs w:val="32"/>
        </w:rPr>
        <w:t>万元，</w:t>
      </w:r>
      <w:r>
        <w:rPr>
          <w:rFonts w:ascii="仿宋_GB2312"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77.82</w:t>
      </w:r>
      <w:r>
        <w:rPr>
          <w:rFonts w:ascii="仿宋_GB2312" w:hAnsi="Times New Roman" w:eastAsia="仿宋_GB2312" w:cs="Times New Roman"/>
          <w:color w:val="333333"/>
          <w:kern w:val="0"/>
          <w:sz w:val="32"/>
          <w:szCs w:val="32"/>
        </w:rPr>
        <w:t>万元；医疗卫生与计划支出</w:t>
      </w:r>
      <w:r>
        <w:rPr>
          <w:rFonts w:hint="eastAsia" w:ascii="Times New Roman" w:hAnsi="Times New Roman" w:eastAsia="微软雅黑" w:cs="Times New Roman"/>
          <w:color w:val="333333"/>
          <w:kern w:val="0"/>
          <w:sz w:val="32"/>
          <w:szCs w:val="32"/>
          <w:lang w:val="en-US" w:eastAsia="zh-CN"/>
        </w:rPr>
        <w:t>27.6</w:t>
      </w:r>
      <w:r>
        <w:rPr>
          <w:rFonts w:ascii="仿宋_GB2312" w:hAnsi="Times New Roman" w:eastAsia="仿宋_GB2312" w:cs="Times New Roman"/>
          <w:color w:val="333333"/>
          <w:kern w:val="0"/>
          <w:sz w:val="32"/>
          <w:szCs w:val="32"/>
        </w:rPr>
        <w:t>万元；农林水支出</w:t>
      </w:r>
      <w:r>
        <w:rPr>
          <w:rFonts w:hint="eastAsia" w:ascii="Times New Roman" w:hAnsi="Times New Roman" w:eastAsia="微软雅黑" w:cs="Times New Roman"/>
          <w:color w:val="333333"/>
          <w:kern w:val="0"/>
          <w:sz w:val="32"/>
          <w:szCs w:val="32"/>
          <w:lang w:val="en-US" w:eastAsia="zh-CN"/>
        </w:rPr>
        <w:t>562.83</w:t>
      </w:r>
      <w:r>
        <w:rPr>
          <w:rFonts w:ascii="仿宋_GB2312" w:hAnsi="Times New Roman" w:eastAsia="仿宋_GB2312" w:cs="Times New Roman"/>
          <w:color w:val="333333"/>
          <w:kern w:val="0"/>
          <w:sz w:val="32"/>
          <w:szCs w:val="32"/>
        </w:rPr>
        <w:t>万元；住房保障支出</w:t>
      </w:r>
      <w:r>
        <w:rPr>
          <w:rFonts w:hint="eastAsia" w:ascii="Times New Roman" w:hAnsi="Times New Roman" w:eastAsia="微软雅黑" w:cs="Times New Roman"/>
          <w:color w:val="333333"/>
          <w:kern w:val="0"/>
          <w:sz w:val="32"/>
          <w:szCs w:val="32"/>
          <w:lang w:val="en-US" w:eastAsia="zh-CN"/>
        </w:rPr>
        <w:t>46.33</w:t>
      </w:r>
      <w:r>
        <w:rPr>
          <w:rFonts w:ascii="仿宋_GB2312" w:hAnsi="Times New Roman" w:eastAsia="仿宋_GB2312" w:cs="Times New Roman"/>
          <w:color w:val="333333"/>
          <w:kern w:val="0"/>
          <w:sz w:val="32"/>
          <w:szCs w:val="32"/>
        </w:rPr>
        <w:t>万元。</w:t>
      </w:r>
      <w:r>
        <w:rPr>
          <w:rFonts w:hint="eastAsia" w:ascii="仿宋_GB2312" w:hAnsi="Times New Roman" w:eastAsia="仿宋_GB2312" w:cs="Times New Roman"/>
          <w:color w:val="333333"/>
          <w:kern w:val="0"/>
          <w:sz w:val="32"/>
          <w:szCs w:val="32"/>
          <w:lang w:val="en-US" w:eastAsia="zh-CN"/>
        </w:rPr>
        <w:t>大熊猫国家公园阿坝管理分局</w:t>
      </w:r>
      <w:r>
        <w:rPr>
          <w:rFonts w:ascii="仿宋_GB2312" w:hAnsi="Times New Roman" w:eastAsia="仿宋_GB2312" w:cs="Times New Roman"/>
          <w:color w:val="333333"/>
          <w:kern w:val="0"/>
          <w:sz w:val="32"/>
          <w:szCs w:val="32"/>
        </w:rPr>
        <w:t>单位</w:t>
      </w:r>
      <w:r>
        <w:rPr>
          <w:rFonts w:ascii="Times New Roman" w:hAnsi="Times New Roman" w:eastAsia="微软雅黑" w:cs="Times New Roman"/>
          <w:color w:val="333333"/>
          <w:kern w:val="0"/>
          <w:sz w:val="32"/>
          <w:szCs w:val="32"/>
        </w:rPr>
        <w:t>2023</w:t>
      </w:r>
      <w:r>
        <w:rPr>
          <w:rFonts w:ascii="仿宋_GB2312" w:hAnsi="Times New Roman" w:eastAsia="仿宋_GB2312" w:cs="Times New Roman"/>
          <w:color w:val="333333"/>
          <w:kern w:val="0"/>
          <w:sz w:val="32"/>
          <w:szCs w:val="32"/>
        </w:rPr>
        <w:t>年收支总预算</w:t>
      </w:r>
      <w:r>
        <w:rPr>
          <w:rFonts w:hint="eastAsia" w:ascii="Times New Roman" w:hAnsi="Times New Roman" w:eastAsia="微软雅黑" w:cs="Times New Roman"/>
          <w:color w:val="333333"/>
          <w:kern w:val="0"/>
          <w:sz w:val="32"/>
          <w:szCs w:val="32"/>
          <w:lang w:val="en-US" w:eastAsia="zh-CN"/>
        </w:rPr>
        <w:t>714.59</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比</w:t>
      </w:r>
      <w:r>
        <w:rPr>
          <w:rFonts w:ascii="Times New Roman" w:hAnsi="Times New Roman" w:eastAsia="微软雅黑" w:cs="Times New Roman"/>
          <w:color w:val="333333"/>
          <w:kern w:val="0"/>
          <w:sz w:val="32"/>
          <w:szCs w:val="32"/>
        </w:rPr>
        <w:t>20</w:t>
      </w:r>
      <w:r>
        <w:rPr>
          <w:rFonts w:hint="eastAsia" w:ascii="Times New Roman" w:hAnsi="Times New Roman" w:eastAsia="仿宋_GB2312" w:cs="Times New Roman"/>
          <w:color w:val="333333"/>
          <w:kern w:val="0"/>
          <w:sz w:val="32"/>
          <w:szCs w:val="32"/>
        </w:rPr>
        <w:t>2</w:t>
      </w:r>
      <w:r>
        <w:rPr>
          <w:rFonts w:ascii="Times New Roman" w:hAnsi="Times New Roman" w:eastAsia="微软雅黑" w:cs="Times New Roman"/>
          <w:color w:val="333333"/>
          <w:kern w:val="0"/>
          <w:sz w:val="32"/>
          <w:szCs w:val="32"/>
        </w:rPr>
        <w:t>2</w:t>
      </w:r>
      <w:r>
        <w:rPr>
          <w:rFonts w:ascii="仿宋_GB2312" w:hAnsi="Times New Roman" w:eastAsia="仿宋_GB2312" w:cs="Times New Roman"/>
          <w:color w:val="333333"/>
          <w:kern w:val="0"/>
          <w:sz w:val="32"/>
          <w:szCs w:val="32"/>
        </w:rPr>
        <w:t>年收支预算总数增加</w:t>
      </w:r>
      <w:r>
        <w:rPr>
          <w:rFonts w:hint="eastAsia" w:ascii="Times New Roman" w:hAnsi="Times New Roman" w:eastAsia="微软雅黑" w:cs="Times New Roman"/>
          <w:color w:val="333333"/>
          <w:kern w:val="0"/>
          <w:sz w:val="32"/>
          <w:szCs w:val="32"/>
          <w:lang w:val="en-US" w:eastAsia="zh-CN"/>
        </w:rPr>
        <w:t>38.82</w:t>
      </w:r>
      <w:r>
        <w:rPr>
          <w:rFonts w:ascii="仿宋_GB2312" w:hAnsi="Times New Roman" w:eastAsia="仿宋_GB2312" w:cs="Times New Roman"/>
          <w:color w:val="333333"/>
          <w:kern w:val="0"/>
          <w:sz w:val="32"/>
          <w:szCs w:val="32"/>
        </w:rPr>
        <w:t>万元，增长</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5.74</w:t>
      </w:r>
      <w:r>
        <w:rPr>
          <w:rFonts w:ascii="Times New Roman" w:hAnsi="Times New Roman" w:eastAsia="微软雅黑" w:cs="Times New Roman"/>
          <w:color w:val="000000" w:themeColor="text1"/>
          <w:kern w:val="0"/>
          <w:sz w:val="32"/>
          <w:szCs w:val="32"/>
          <w14:textFill>
            <w14:solidFill>
              <w14:schemeClr w14:val="tx1"/>
            </w14:solidFill>
          </w14:textFill>
        </w:rPr>
        <w:t>%</w:t>
      </w:r>
      <w:r>
        <w:rPr>
          <w:rFonts w:ascii="仿宋_GB2312" w:hAnsi="Times New Roman" w:eastAsia="仿宋_GB2312" w:cs="Times New Roman"/>
          <w:color w:val="333333"/>
          <w:kern w:val="0"/>
          <w:sz w:val="32"/>
          <w:szCs w:val="32"/>
        </w:rPr>
        <w:t>。原因是工资</w:t>
      </w:r>
      <w:r>
        <w:rPr>
          <w:rFonts w:hint="eastAsia" w:ascii="仿宋_GB2312" w:hAnsi="Times New Roman" w:eastAsia="仿宋_GB2312" w:cs="Times New Roman"/>
          <w:color w:val="333333"/>
          <w:kern w:val="0"/>
          <w:sz w:val="32"/>
          <w:szCs w:val="32"/>
          <w:lang w:val="en-US" w:eastAsia="zh-CN"/>
        </w:rPr>
        <w:t>增长</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养老、职业年金、工伤、失业、住房公积金缴费</w:t>
      </w:r>
      <w:r>
        <w:rPr>
          <w:rFonts w:ascii="仿宋_GB2312" w:hAnsi="Times New Roman" w:eastAsia="仿宋_GB2312" w:cs="Times New Roman"/>
          <w:color w:val="333333"/>
          <w:kern w:val="0"/>
          <w:sz w:val="32"/>
          <w:szCs w:val="32"/>
        </w:rPr>
        <w:t>基数增加，导致人员费用增加。</w:t>
      </w:r>
    </w:p>
    <w:p w14:paraId="669BB83C">
      <w:pPr>
        <w:numPr>
          <w:ilvl w:val="0"/>
          <w:numId w:val="0"/>
        </w:numPr>
        <w:ind w:left="630" w:leftChars="0"/>
        <w:rPr>
          <w:rFonts w:hint="eastAsia"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财政拨款收支预算情况说明</w:t>
      </w:r>
    </w:p>
    <w:p w14:paraId="55267E71">
      <w:pPr>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单位2023年财政拨款收支总预算</w:t>
      </w:r>
      <w:r>
        <w:rPr>
          <w:rFonts w:hint="eastAsia" w:ascii="仿宋_GB2312" w:eastAsia="仿宋_GB2312" w:cs="仿宋_GB2312"/>
          <w:sz w:val="32"/>
          <w:szCs w:val="32"/>
          <w:lang w:val="en-US" w:eastAsia="zh-CN"/>
        </w:rPr>
        <w:t>714.59</w:t>
      </w:r>
      <w:r>
        <w:rPr>
          <w:rFonts w:hint="eastAsia" w:ascii="仿宋_GB2312" w:eastAsia="仿宋_GB2312" w:cs="仿宋_GB2312"/>
          <w:sz w:val="32"/>
          <w:szCs w:val="32"/>
        </w:rPr>
        <w:t>万元,比2022年财政拨款收支总预算增加</w:t>
      </w:r>
      <w:r>
        <w:rPr>
          <w:rFonts w:hint="eastAsia" w:ascii="仿宋_GB2312" w:eastAsia="仿宋_GB2312" w:cs="仿宋_GB2312"/>
          <w:sz w:val="32"/>
          <w:szCs w:val="32"/>
          <w:lang w:val="en-US" w:eastAsia="zh-CN"/>
        </w:rPr>
        <w:t>38.82</w:t>
      </w:r>
      <w:r>
        <w:rPr>
          <w:rFonts w:hint="eastAsia" w:ascii="仿宋_GB2312" w:eastAsia="仿宋_GB2312" w:cs="仿宋_GB2312"/>
          <w:sz w:val="32"/>
          <w:szCs w:val="32"/>
        </w:rPr>
        <w:t>万元，主要原因:工资</w:t>
      </w:r>
      <w:r>
        <w:rPr>
          <w:rFonts w:hint="eastAsia" w:ascii="仿宋_GB2312" w:eastAsia="仿宋_GB2312" w:cs="仿宋_GB2312"/>
          <w:sz w:val="32"/>
          <w:szCs w:val="32"/>
          <w:lang w:val="en-US" w:eastAsia="zh-CN"/>
        </w:rPr>
        <w:t>增长</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养老、职业年金、工伤、失业、住房公积金缴费</w:t>
      </w:r>
      <w:r>
        <w:rPr>
          <w:rFonts w:hint="eastAsia" w:ascii="仿宋_GB2312" w:eastAsia="仿宋_GB2312" w:cs="仿宋_GB2312"/>
          <w:sz w:val="32"/>
          <w:szCs w:val="32"/>
        </w:rPr>
        <w:t>基数增加，导致人员费用增加。</w:t>
      </w:r>
    </w:p>
    <w:p w14:paraId="764FB6CE">
      <w:pPr>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收入包括：202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714.59</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714.59</w:t>
      </w:r>
      <w:r>
        <w:rPr>
          <w:rFonts w:hint="eastAsia" w:ascii="仿宋_GB2312" w:eastAsia="仿宋_GB2312" w:cs="仿宋_GB2312"/>
          <w:sz w:val="32"/>
          <w:szCs w:val="32"/>
        </w:rPr>
        <w:t>万元，占100%，无其他收入。</w:t>
      </w:r>
    </w:p>
    <w:p w14:paraId="4853223B">
      <w:pPr>
        <w:ind w:firstLine="640" w:firstLineChars="200"/>
        <w:jc w:val="left"/>
        <w:rPr>
          <w:rFonts w:hint="eastAsia" w:asci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sz w:val="32"/>
          <w:szCs w:val="32"/>
        </w:rPr>
        <w:t>支出包括：202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714.59</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563.09</w:t>
      </w:r>
      <w:r>
        <w:rPr>
          <w:rFonts w:hint="eastAsia" w:ascii="仿宋_GB2312" w:eastAsia="仿宋_GB2312" w:cs="仿宋_GB2312"/>
          <w:sz w:val="32"/>
          <w:szCs w:val="32"/>
        </w:rPr>
        <w:t>万元，占</w:t>
      </w:r>
      <w:r>
        <w:rPr>
          <w:rFonts w:hint="eastAsia" w:ascii="仿宋_GB2312" w:eastAsia="仿宋_GB2312" w:cs="仿宋_GB2312"/>
          <w:color w:val="000000" w:themeColor="text1"/>
          <w:sz w:val="32"/>
          <w:szCs w:val="32"/>
          <w:lang w:val="en-US" w:eastAsia="zh-CN"/>
          <w14:textFill>
            <w14:solidFill>
              <w14:schemeClr w14:val="tx1"/>
            </w14:solidFill>
          </w14:textFill>
        </w:rPr>
        <w:t>78.8</w:t>
      </w:r>
      <w:r>
        <w:rPr>
          <w:rFonts w:hint="eastAsia" w:ascii="仿宋_GB2312" w:eastAsia="仿宋_GB2312" w:cs="仿宋_GB2312"/>
          <w:color w:val="000000" w:themeColor="text1"/>
          <w:sz w:val="32"/>
          <w:szCs w:val="32"/>
          <w14:textFill>
            <w14:solidFill>
              <w14:schemeClr w14:val="tx1"/>
            </w14:solidFill>
          </w14:textFill>
        </w:rPr>
        <w:t>%；项目支出</w:t>
      </w:r>
      <w:r>
        <w:rPr>
          <w:rFonts w:hint="eastAsia" w:ascii="仿宋_GB2312" w:eastAsia="仿宋_GB2312" w:cs="仿宋_GB2312"/>
          <w:color w:val="000000" w:themeColor="text1"/>
          <w:sz w:val="32"/>
          <w:szCs w:val="32"/>
          <w:lang w:val="en-US" w:eastAsia="zh-CN"/>
          <w14:textFill>
            <w14:solidFill>
              <w14:schemeClr w14:val="tx1"/>
            </w14:solidFill>
          </w14:textFill>
        </w:rPr>
        <w:t>151.5万元</w:t>
      </w:r>
      <w:r>
        <w:rPr>
          <w:rFonts w:hint="eastAsia" w:ascii="仿宋_GB2312" w:eastAsia="仿宋_GB2312" w:cs="仿宋_GB2312"/>
          <w:color w:val="000000" w:themeColor="text1"/>
          <w:sz w:val="32"/>
          <w:szCs w:val="32"/>
          <w14:textFill>
            <w14:solidFill>
              <w14:schemeClr w14:val="tx1"/>
            </w14:solidFill>
          </w14:textFill>
        </w:rPr>
        <w:t>，占</w:t>
      </w:r>
      <w:r>
        <w:rPr>
          <w:rFonts w:hint="eastAsia" w:ascii="仿宋_GB2312" w:eastAsia="仿宋_GB2312" w:cs="仿宋_GB2312"/>
          <w:color w:val="000000" w:themeColor="text1"/>
          <w:sz w:val="32"/>
          <w:szCs w:val="32"/>
          <w:lang w:val="en-US" w:eastAsia="zh-CN"/>
          <w14:textFill>
            <w14:solidFill>
              <w14:schemeClr w14:val="tx1"/>
            </w14:solidFill>
          </w14:textFill>
        </w:rPr>
        <w:t>21.2</w:t>
      </w:r>
      <w:r>
        <w:rPr>
          <w:rFonts w:hint="eastAsia" w:ascii="仿宋_GB2312" w:eastAsia="仿宋_GB2312" w:cs="仿宋_GB2312"/>
          <w:color w:val="000000" w:themeColor="text1"/>
          <w:sz w:val="32"/>
          <w:szCs w:val="32"/>
          <w14:textFill>
            <w14:solidFill>
              <w14:schemeClr w14:val="tx1"/>
            </w14:solidFill>
          </w14:textFill>
        </w:rPr>
        <w:t>%。</w:t>
      </w:r>
    </w:p>
    <w:p w14:paraId="3FD5A906">
      <w:pPr>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五、一般公共预算当年拨款情况说明</w:t>
      </w:r>
    </w:p>
    <w:p w14:paraId="4FF2998F">
      <w:pPr>
        <w:pStyle w:val="10"/>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6D99E547">
      <w:pPr>
        <w:pStyle w:val="10"/>
        <w:spacing w:before="0" w:line="360" w:lineRule="auto"/>
        <w:ind w:firstLine="660"/>
        <w:rPr>
          <w:rFonts w:hint="eastAsia" w:hAnsi="ˎ̥" w:cs="宋体"/>
          <w:sz w:val="32"/>
          <w:szCs w:val="32"/>
        </w:rPr>
      </w:pPr>
      <w:r>
        <w:rPr>
          <w:rFonts w:hint="eastAsia" w:cs="仿宋_GB2312"/>
          <w:kern w:val="2"/>
          <w:sz w:val="32"/>
          <w:szCs w:val="32"/>
        </w:rPr>
        <w:t>单位</w:t>
      </w:r>
      <w:r>
        <w:rPr>
          <w:rFonts w:hint="eastAsia" w:hAnsi="ˎ̥" w:cs="宋体"/>
          <w:sz w:val="32"/>
          <w:szCs w:val="32"/>
        </w:rPr>
        <w:t>2023年一般公共预算当年拨款</w:t>
      </w:r>
      <w:r>
        <w:rPr>
          <w:rFonts w:hint="eastAsia" w:hAnsi="ˎ̥" w:cs="宋体"/>
          <w:sz w:val="32"/>
          <w:szCs w:val="32"/>
          <w:lang w:val="en-US" w:eastAsia="zh-CN"/>
        </w:rPr>
        <w:t>714.59</w:t>
      </w:r>
      <w:r>
        <w:rPr>
          <w:rFonts w:hint="eastAsia" w:hAnsi="ˎ̥" w:cs="宋体"/>
          <w:sz w:val="32"/>
          <w:szCs w:val="32"/>
        </w:rPr>
        <w:t>万元，比2022年预算数增加</w:t>
      </w:r>
      <w:r>
        <w:rPr>
          <w:rFonts w:hint="eastAsia" w:hAnsi="ˎ̥" w:cs="宋体"/>
          <w:sz w:val="32"/>
          <w:szCs w:val="32"/>
          <w:lang w:val="en-US" w:eastAsia="zh-CN"/>
        </w:rPr>
        <w:t>38.82</w:t>
      </w:r>
      <w:r>
        <w:rPr>
          <w:rFonts w:hint="eastAsia" w:hAnsi="ˎ̥" w:cs="宋体"/>
          <w:sz w:val="32"/>
          <w:szCs w:val="32"/>
        </w:rPr>
        <w:t>万元，主要原因:工资</w:t>
      </w:r>
      <w:r>
        <w:rPr>
          <w:rFonts w:hint="eastAsia" w:hAnsi="ˎ̥" w:cs="宋体"/>
          <w:sz w:val="32"/>
          <w:szCs w:val="32"/>
          <w:lang w:val="en-US" w:eastAsia="zh-CN"/>
        </w:rPr>
        <w:t>增长</w:t>
      </w:r>
      <w:r>
        <w:rPr>
          <w:rFonts w:hint="eastAsia" w:hAnsi="ˎ̥" w:cs="宋体"/>
          <w:sz w:val="32"/>
          <w:szCs w:val="32"/>
          <w:lang w:eastAsia="zh-CN"/>
        </w:rPr>
        <w:t>、</w:t>
      </w:r>
      <w:r>
        <w:rPr>
          <w:rFonts w:hint="eastAsia" w:hAnsi="ˎ̥" w:cs="宋体"/>
          <w:sz w:val="32"/>
          <w:szCs w:val="32"/>
          <w:lang w:val="en-US" w:eastAsia="zh-CN"/>
        </w:rPr>
        <w:t>养老、职业年金、工伤、失业、住房公积金缴费</w:t>
      </w:r>
      <w:r>
        <w:rPr>
          <w:rFonts w:hint="eastAsia" w:hAnsi="ˎ̥" w:cs="宋体"/>
          <w:sz w:val="32"/>
          <w:szCs w:val="32"/>
        </w:rPr>
        <w:t>基数增加，导致人员费用增加。</w:t>
      </w:r>
    </w:p>
    <w:p w14:paraId="16D12949">
      <w:pPr>
        <w:pStyle w:val="10"/>
        <w:spacing w:before="0" w:line="360" w:lineRule="auto"/>
        <w:ind w:firstLine="660"/>
        <w:rPr>
          <w:rFonts w:cs="仿宋_GB2312"/>
          <w:kern w:val="2"/>
          <w:sz w:val="32"/>
          <w:szCs w:val="32"/>
        </w:rPr>
      </w:pPr>
    </w:p>
    <w:p w14:paraId="1E4BB02B">
      <w:pPr>
        <w:pStyle w:val="10"/>
        <w:numPr>
          <w:ilvl w:val="0"/>
          <w:numId w:val="2"/>
        </w:numPr>
        <w:spacing w:before="0" w:line="240" w:lineRule="auto"/>
        <w:ind w:left="-643" w:leftChars="0" w:firstLine="643" w:firstLineChars="0"/>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14:paraId="0415AF1C">
      <w:pPr>
        <w:widowControl/>
        <w:shd w:val="clear" w:color="auto" w:fill="FFFFFF"/>
        <w:spacing w:line="240" w:lineRule="auto"/>
        <w:ind w:firstLine="640" w:firstLineChars="2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社会保障和就业支出</w:t>
      </w:r>
      <w:r>
        <w:rPr>
          <w:rFonts w:hint="eastAsia" w:ascii="仿宋_GB2312" w:hAnsi="仿宋_GB2312" w:eastAsia="仿宋_GB2312" w:cs="仿宋_GB2312"/>
          <w:color w:val="333333"/>
          <w:kern w:val="0"/>
          <w:sz w:val="32"/>
          <w:szCs w:val="32"/>
          <w:lang w:val="en-US" w:eastAsia="zh-CN"/>
        </w:rPr>
        <w:t>77.82</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10.89</w:t>
      </w:r>
      <w:r>
        <w:rPr>
          <w:rFonts w:hint="eastAsia" w:ascii="仿宋_GB2312" w:hAnsi="仿宋_GB2312" w:eastAsia="仿宋_GB2312" w:cs="仿宋_GB2312"/>
          <w:color w:val="333333"/>
          <w:kern w:val="0"/>
          <w:sz w:val="32"/>
          <w:szCs w:val="32"/>
        </w:rPr>
        <w:t>%；医疗卫生与计划支出</w:t>
      </w:r>
      <w:r>
        <w:rPr>
          <w:rFonts w:hint="eastAsia" w:ascii="仿宋_GB2312" w:hAnsi="仿宋_GB2312" w:eastAsia="仿宋_GB2312" w:cs="仿宋_GB2312"/>
          <w:color w:val="333333"/>
          <w:kern w:val="0"/>
          <w:sz w:val="32"/>
          <w:szCs w:val="32"/>
          <w:lang w:val="en-US" w:eastAsia="zh-CN"/>
        </w:rPr>
        <w:t>27.6</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占</w:t>
      </w:r>
      <w:r>
        <w:rPr>
          <w:rFonts w:hint="eastAsia" w:ascii="仿宋_GB2312" w:hAnsi="仿宋_GB2312" w:eastAsia="仿宋_GB2312" w:cs="仿宋_GB2312"/>
          <w:color w:val="333333"/>
          <w:kern w:val="0"/>
          <w:sz w:val="32"/>
          <w:szCs w:val="32"/>
          <w:lang w:val="en-US" w:eastAsia="zh-CN"/>
        </w:rPr>
        <w:t>3.86</w:t>
      </w:r>
      <w:r>
        <w:rPr>
          <w:rFonts w:hint="eastAsia" w:ascii="仿宋_GB2312" w:hAnsi="仿宋_GB2312" w:eastAsia="仿宋_GB2312" w:cs="仿宋_GB2312"/>
          <w:color w:val="333333"/>
          <w:kern w:val="0"/>
          <w:sz w:val="32"/>
          <w:szCs w:val="32"/>
        </w:rPr>
        <w:t>%；农林水支出</w:t>
      </w:r>
      <w:r>
        <w:rPr>
          <w:rFonts w:hint="eastAsia" w:ascii="仿宋_GB2312" w:hAnsi="仿宋_GB2312" w:eastAsia="仿宋_GB2312" w:cs="仿宋_GB2312"/>
          <w:color w:val="333333"/>
          <w:kern w:val="0"/>
          <w:sz w:val="32"/>
          <w:szCs w:val="32"/>
          <w:lang w:val="en-US" w:eastAsia="zh-CN"/>
        </w:rPr>
        <w:t>562.83</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78.76</w:t>
      </w:r>
      <w:r>
        <w:rPr>
          <w:rFonts w:hint="eastAsia" w:ascii="仿宋_GB2312" w:hAnsi="仿宋_GB2312" w:eastAsia="仿宋_GB2312" w:cs="仿宋_GB2312"/>
          <w:color w:val="333333"/>
          <w:kern w:val="0"/>
          <w:sz w:val="32"/>
          <w:szCs w:val="32"/>
        </w:rPr>
        <w:t>%；住房保障支出</w:t>
      </w:r>
      <w:r>
        <w:rPr>
          <w:rFonts w:hint="eastAsia" w:ascii="仿宋_GB2312" w:hAnsi="仿宋_GB2312" w:eastAsia="仿宋_GB2312" w:cs="仿宋_GB2312"/>
          <w:color w:val="333333"/>
          <w:kern w:val="0"/>
          <w:sz w:val="32"/>
          <w:szCs w:val="32"/>
          <w:lang w:val="en-US" w:eastAsia="zh-CN"/>
        </w:rPr>
        <w:t>46.33</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6.48</w:t>
      </w:r>
      <w:r>
        <w:rPr>
          <w:rFonts w:hint="eastAsia" w:ascii="仿宋_GB2312" w:hAnsi="仿宋_GB2312" w:eastAsia="仿宋_GB2312" w:cs="仿宋_GB2312"/>
          <w:color w:val="333333"/>
          <w:kern w:val="0"/>
          <w:sz w:val="32"/>
          <w:szCs w:val="32"/>
        </w:rPr>
        <w:t>%。</w:t>
      </w:r>
    </w:p>
    <w:p w14:paraId="413DA6B8">
      <w:pPr>
        <w:pStyle w:val="10"/>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4F46A843">
      <w:pPr>
        <w:widowControl/>
        <w:shd w:val="clear" w:color="auto" w:fill="FFFFFF"/>
        <w:spacing w:after="100" w:afterAutospacing="1" w:line="560" w:lineRule="atLeast"/>
        <w:ind w:firstLine="640"/>
        <w:jc w:val="left"/>
        <w:rPr>
          <w:rFonts w:hint="eastAsia" w:ascii="仿宋_GB2312" w:hAnsi="Times New Roman" w:eastAsia="仿宋_GB2312" w:cs="Times New Roman"/>
          <w:color w:val="333333"/>
          <w:kern w:val="0"/>
          <w:sz w:val="32"/>
          <w:szCs w:val="32"/>
          <w:lang w:eastAsia="zh-CN"/>
        </w:rPr>
      </w:pPr>
      <w:r>
        <w:rPr>
          <w:rFonts w:ascii="Times New Roman" w:hAnsi="Times New Roman" w:eastAsia="微软雅黑" w:cs="Times New Roman"/>
          <w:color w:val="333333"/>
          <w:kern w:val="0"/>
          <w:sz w:val="32"/>
          <w:szCs w:val="32"/>
        </w:rPr>
        <w:t>1</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77.82</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主要用于职工社会保障缴费。</w:t>
      </w:r>
      <w:r>
        <w:rPr>
          <w:rFonts w:hint="eastAsia" w:ascii="仿宋_GB2312" w:hAnsi="Times New Roman" w:eastAsia="仿宋_GB2312" w:cs="Times New Roman"/>
          <w:color w:val="333333"/>
          <w:kern w:val="0"/>
          <w:sz w:val="32"/>
          <w:szCs w:val="32"/>
          <w:lang w:eastAsia="zh-CN"/>
        </w:rPr>
        <w:t>（</w:t>
      </w:r>
      <w:r>
        <w:rPr>
          <w:rFonts w:hint="eastAsia" w:ascii="仿宋_GB2312" w:hAnsi="微软雅黑" w:eastAsia="仿宋_GB2312" w:cs="Arial"/>
          <w:color w:val="333333"/>
          <w:kern w:val="0"/>
          <w:sz w:val="32"/>
          <w:szCs w:val="32"/>
          <w:lang w:val="en-US" w:eastAsia="zh-CN"/>
        </w:rPr>
        <w:t>2080505支出为养老保险，2080506支出为职业年金</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eastAsia="zh-CN"/>
        </w:rPr>
        <w:t>）</w:t>
      </w:r>
    </w:p>
    <w:p w14:paraId="43B7D00D">
      <w:pPr>
        <w:widowControl/>
        <w:shd w:val="clear" w:color="auto" w:fill="FFFFFF"/>
        <w:spacing w:after="100" w:afterAutospacing="1" w:line="560" w:lineRule="atLeast"/>
        <w:ind w:firstLine="640"/>
        <w:jc w:val="left"/>
        <w:rPr>
          <w:rFonts w:hint="eastAsia" w:ascii="微软雅黑" w:hAnsi="微软雅黑" w:eastAsia="微软雅黑" w:cs="Arial"/>
          <w:color w:val="333333"/>
          <w:kern w:val="0"/>
          <w:sz w:val="27"/>
          <w:szCs w:val="27"/>
        </w:rPr>
      </w:pPr>
      <w:r>
        <w:rPr>
          <w:rFonts w:ascii="Times New Roman" w:hAnsi="Times New Roman" w:eastAsia="微软雅黑" w:cs="Times New Roman"/>
          <w:color w:val="333333"/>
          <w:kern w:val="0"/>
          <w:sz w:val="32"/>
          <w:szCs w:val="32"/>
        </w:rPr>
        <w:t>2</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医疗卫生与计划支出</w:t>
      </w:r>
      <w:r>
        <w:rPr>
          <w:rFonts w:ascii="Times New Roman" w:hAnsi="Times New Roman" w:eastAsia="微软雅黑" w:cs="Times New Roman"/>
          <w:color w:val="333333"/>
          <w:kern w:val="0"/>
          <w:sz w:val="32"/>
          <w:szCs w:val="32"/>
        </w:rPr>
        <w:t>(210110</w:t>
      </w:r>
      <w:r>
        <w:rPr>
          <w:rFonts w:hint="eastAsia" w:ascii="Times New Roman" w:hAnsi="Times New Roman" w:eastAsia="微软雅黑" w:cs="Times New Roman"/>
          <w:color w:val="333333"/>
          <w:kern w:val="0"/>
          <w:sz w:val="32"/>
          <w:szCs w:val="32"/>
          <w:lang w:val="en-US" w:eastAsia="zh-CN"/>
        </w:rPr>
        <w:t>2</w:t>
      </w:r>
      <w:r>
        <w:rPr>
          <w:rFonts w:ascii="Times New Roman" w:hAnsi="Times New Roman" w:eastAsia="微软雅黑" w:cs="Times New Roman"/>
          <w:color w:val="333333"/>
          <w:kern w:val="0"/>
          <w:sz w:val="32"/>
          <w:szCs w:val="32"/>
        </w:rPr>
        <w:t>)</w:t>
      </w:r>
      <w:r>
        <w:rPr>
          <w:rFonts w:ascii="仿宋_GB2312" w:hAnsi="Times New Roman" w:eastAsia="仿宋_GB2312" w:cs="Times New Roman"/>
          <w:color w:val="333333"/>
          <w:kern w:val="0"/>
          <w:sz w:val="32"/>
          <w:szCs w:val="32"/>
        </w:rPr>
        <w:t>支出</w:t>
      </w:r>
      <w:r>
        <w:rPr>
          <w:rFonts w:hint="eastAsia" w:ascii="Times New Roman" w:hAnsi="Times New Roman" w:eastAsia="微软雅黑" w:cs="Times New Roman"/>
          <w:color w:val="333333"/>
          <w:kern w:val="0"/>
          <w:sz w:val="32"/>
          <w:szCs w:val="32"/>
          <w:lang w:val="en-US" w:eastAsia="zh-CN"/>
        </w:rPr>
        <w:t>27.6</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主要用于职工医疗保险缴费</w:t>
      </w:r>
    </w:p>
    <w:p w14:paraId="351E6F36">
      <w:pPr>
        <w:widowControl/>
        <w:shd w:val="clear" w:color="auto" w:fill="FFFFFF"/>
        <w:spacing w:line="560" w:lineRule="atLeast"/>
        <w:ind w:firstLine="640"/>
        <w:rPr>
          <w:rFonts w:hint="eastAsia" w:ascii="Calibri" w:hAnsi="Calibri" w:eastAsia="宋体" w:cs="Calibri"/>
          <w:color w:val="333333"/>
          <w:kern w:val="0"/>
          <w:szCs w:val="21"/>
        </w:rPr>
      </w:pPr>
      <w:r>
        <w:rPr>
          <w:rFonts w:ascii="Times New Roman" w:hAnsi="Times New Roman" w:eastAsia="宋体" w:cs="Times New Roman"/>
          <w:color w:val="333333"/>
          <w:kern w:val="0"/>
          <w:sz w:val="32"/>
          <w:szCs w:val="32"/>
        </w:rPr>
        <w:t>3</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农林水支出（</w:t>
      </w:r>
      <w:r>
        <w:rPr>
          <w:rFonts w:ascii="Times New Roman" w:hAnsi="Times New Roman" w:eastAsia="宋体" w:cs="Times New Roman"/>
          <w:color w:val="333333"/>
          <w:kern w:val="0"/>
          <w:sz w:val="32"/>
          <w:szCs w:val="32"/>
        </w:rPr>
        <w:t>213020</w:t>
      </w:r>
      <w:r>
        <w:rPr>
          <w:rFonts w:hint="eastAsia" w:ascii="Times New Roman" w:hAnsi="Times New Roman" w:cs="Times New Roman"/>
          <w:color w:val="333333"/>
          <w:kern w:val="0"/>
          <w:sz w:val="32"/>
          <w:szCs w:val="32"/>
          <w:lang w:val="en-US" w:eastAsia="zh-CN"/>
        </w:rPr>
        <w:t>4</w:t>
      </w:r>
      <w:r>
        <w:rPr>
          <w:rFonts w:ascii="仿宋_GB2312" w:hAnsi="Times New Roman" w:eastAsia="仿宋_GB2312" w:cs="Times New Roman"/>
          <w:color w:val="333333"/>
          <w:kern w:val="0"/>
          <w:sz w:val="32"/>
          <w:szCs w:val="32"/>
        </w:rPr>
        <w:t>）支出</w:t>
      </w:r>
      <w:r>
        <w:rPr>
          <w:rFonts w:hint="eastAsia" w:ascii="Times New Roman" w:hAnsi="Times New Roman" w:cs="Times New Roman"/>
          <w:color w:val="333333"/>
          <w:kern w:val="0"/>
          <w:sz w:val="32"/>
          <w:szCs w:val="32"/>
          <w:lang w:val="en-US" w:eastAsia="zh-CN"/>
        </w:rPr>
        <w:t>562.83</w:t>
      </w:r>
      <w:r>
        <w:rPr>
          <w:rFonts w:ascii="仿宋_GB2312" w:hAnsi="Times New Roman" w:eastAsia="仿宋_GB2312" w:cs="Times New Roman"/>
          <w:color w:val="333333"/>
          <w:kern w:val="0"/>
          <w:sz w:val="32"/>
          <w:szCs w:val="32"/>
        </w:rPr>
        <w:t>万元：主要用于</w:t>
      </w:r>
      <w:r>
        <w:rPr>
          <w:rFonts w:hint="eastAsia" w:ascii="仿宋_GB2312" w:hAnsi="Times New Roman" w:eastAsia="仿宋_GB2312" w:cs="Times New Roman"/>
          <w:color w:val="333333"/>
          <w:kern w:val="0"/>
          <w:sz w:val="32"/>
          <w:szCs w:val="32"/>
          <w:lang w:val="en-US" w:eastAsia="zh-CN"/>
        </w:rPr>
        <w:t>机构运行及</w:t>
      </w:r>
      <w:r>
        <w:rPr>
          <w:rFonts w:ascii="仿宋_GB2312" w:hAnsi="Times New Roman" w:eastAsia="仿宋_GB2312" w:cs="Times New Roman"/>
          <w:color w:val="333333"/>
          <w:kern w:val="0"/>
          <w:sz w:val="32"/>
          <w:szCs w:val="32"/>
        </w:rPr>
        <w:t>项目开展。</w:t>
      </w:r>
    </w:p>
    <w:p w14:paraId="4EC6A522">
      <w:pPr>
        <w:widowControl/>
        <w:shd w:val="clear" w:color="auto" w:fill="FFFFFF"/>
        <w:spacing w:after="100" w:afterAutospacing="1" w:line="560" w:lineRule="atLeast"/>
        <w:ind w:firstLine="640"/>
        <w:jc w:val="left"/>
        <w:rPr>
          <w:rFonts w:ascii="微软雅黑" w:hAnsi="微软雅黑" w:eastAsia="微软雅黑" w:cs="Arial"/>
          <w:color w:val="333333"/>
          <w:kern w:val="0"/>
          <w:sz w:val="27"/>
          <w:szCs w:val="27"/>
        </w:rPr>
      </w:pPr>
      <w:r>
        <w:rPr>
          <w:rFonts w:ascii="Times New Roman" w:hAnsi="Times New Roman" w:eastAsia="微软雅黑" w:cs="Times New Roman"/>
          <w:color w:val="333333"/>
          <w:kern w:val="0"/>
          <w:sz w:val="32"/>
          <w:szCs w:val="32"/>
        </w:rPr>
        <w:t>4</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住房保障支出（</w:t>
      </w:r>
      <w:r>
        <w:rPr>
          <w:rFonts w:ascii="Times New Roman" w:hAnsi="Times New Roman" w:eastAsia="微软雅黑" w:cs="Times New Roman"/>
          <w:color w:val="333333"/>
          <w:kern w:val="0"/>
          <w:sz w:val="32"/>
          <w:szCs w:val="32"/>
        </w:rPr>
        <w:t>2210201</w:t>
      </w:r>
      <w:r>
        <w:rPr>
          <w:rFonts w:ascii="仿宋_GB2312" w:hAnsi="Times New Roman" w:eastAsia="仿宋_GB2312" w:cs="Times New Roman"/>
          <w:color w:val="333333"/>
          <w:kern w:val="0"/>
          <w:sz w:val="32"/>
          <w:szCs w:val="32"/>
        </w:rPr>
        <w:t>）支出</w:t>
      </w:r>
      <w:r>
        <w:rPr>
          <w:rFonts w:hint="eastAsia" w:ascii="Times New Roman" w:hAnsi="Times New Roman" w:eastAsia="微软雅黑" w:cs="Times New Roman"/>
          <w:color w:val="333333"/>
          <w:kern w:val="0"/>
          <w:sz w:val="32"/>
          <w:szCs w:val="32"/>
          <w:lang w:val="en-US" w:eastAsia="zh-CN"/>
        </w:rPr>
        <w:t>46.33</w:t>
      </w:r>
      <w:r>
        <w:rPr>
          <w:rFonts w:ascii="仿宋_GB2312" w:hAnsi="Times New Roman" w:eastAsia="仿宋_GB2312" w:cs="Times New Roman"/>
          <w:color w:val="333333"/>
          <w:kern w:val="0"/>
          <w:sz w:val="32"/>
          <w:szCs w:val="32"/>
        </w:rPr>
        <w:t>万元：主要用于职工住房公积金。</w:t>
      </w:r>
    </w:p>
    <w:p w14:paraId="2E9AFBF5">
      <w:pPr>
        <w:pStyle w:val="10"/>
        <w:spacing w:before="0" w:line="360" w:lineRule="auto"/>
        <w:ind w:firstLine="66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六、一般公共预算基本支出情况说明</w:t>
      </w:r>
    </w:p>
    <w:p w14:paraId="73212B52">
      <w:pPr>
        <w:pStyle w:val="10"/>
        <w:spacing w:before="0" w:line="360" w:lineRule="auto"/>
        <w:ind w:firstLine="640" w:firstLineChars="200"/>
        <w:rPr>
          <w:rFonts w:hint="eastAsia" w:cs="仿宋_GB2312"/>
          <w:color w:val="000000" w:themeColor="text1"/>
          <w:kern w:val="2"/>
          <w:sz w:val="32"/>
          <w:szCs w:val="32"/>
          <w:lang w:eastAsia="zh-CN"/>
          <w14:textFill>
            <w14:solidFill>
              <w14:schemeClr w14:val="tx1"/>
            </w14:solidFill>
          </w14:textFill>
        </w:rPr>
      </w:pPr>
      <w:r>
        <w:rPr>
          <w:rFonts w:hint="eastAsia" w:cs="仿宋_GB2312"/>
          <w:color w:val="000000" w:themeColor="text1"/>
          <w:kern w:val="2"/>
          <w:sz w:val="32"/>
          <w:szCs w:val="32"/>
          <w:lang w:val="en-US" w:eastAsia="zh-CN"/>
          <w14:textFill>
            <w14:solidFill>
              <w14:schemeClr w14:val="tx1"/>
            </w14:solidFill>
          </w14:textFill>
        </w:rPr>
        <w:t>单位</w:t>
      </w:r>
      <w:r>
        <w:rPr>
          <w:rFonts w:hint="eastAsia" w:cs="仿宋_GB2312"/>
          <w:color w:val="000000" w:themeColor="text1"/>
          <w:kern w:val="2"/>
          <w:sz w:val="32"/>
          <w:szCs w:val="32"/>
          <w14:textFill>
            <w14:solidFill>
              <w14:schemeClr w14:val="tx1"/>
            </w14:solidFill>
          </w14:textFill>
        </w:rPr>
        <w:t>202</w:t>
      </w:r>
      <w:r>
        <w:rPr>
          <w:rFonts w:hint="eastAsia" w:cs="仿宋_GB2312"/>
          <w:color w:val="000000" w:themeColor="text1"/>
          <w:kern w:val="2"/>
          <w:sz w:val="32"/>
          <w:szCs w:val="32"/>
          <w:lang w:val="en-US" w:eastAsia="zh-CN"/>
          <w14:textFill>
            <w14:solidFill>
              <w14:schemeClr w14:val="tx1"/>
            </w14:solidFill>
          </w14:textFill>
        </w:rPr>
        <w:t>3</w:t>
      </w:r>
      <w:r>
        <w:rPr>
          <w:rFonts w:hint="eastAsia" w:cs="仿宋_GB2312"/>
          <w:color w:val="000000" w:themeColor="text1"/>
          <w:kern w:val="2"/>
          <w:sz w:val="32"/>
          <w:szCs w:val="32"/>
          <w14:textFill>
            <w14:solidFill>
              <w14:schemeClr w14:val="tx1"/>
            </w14:solidFill>
          </w14:textFill>
        </w:rPr>
        <w:t>年一般公共预算基本支出</w:t>
      </w:r>
      <w:r>
        <w:rPr>
          <w:rFonts w:hint="eastAsia" w:cs="仿宋_GB2312"/>
          <w:color w:val="000000" w:themeColor="text1"/>
          <w:kern w:val="2"/>
          <w:sz w:val="32"/>
          <w:szCs w:val="32"/>
          <w:lang w:val="en-US" w:eastAsia="zh-CN"/>
          <w14:textFill>
            <w14:solidFill>
              <w14:schemeClr w14:val="tx1"/>
            </w14:solidFill>
          </w14:textFill>
        </w:rPr>
        <w:t>563.09</w:t>
      </w:r>
      <w:r>
        <w:rPr>
          <w:rFonts w:hint="eastAsia" w:cs="仿宋_GB2312"/>
          <w:color w:val="000000" w:themeColor="text1"/>
          <w:kern w:val="2"/>
          <w:sz w:val="32"/>
          <w:szCs w:val="32"/>
          <w14:textFill>
            <w14:solidFill>
              <w14:schemeClr w14:val="tx1"/>
            </w14:solidFill>
          </w14:textFill>
        </w:rPr>
        <w:t>万元，其中：人员经费万元，主要包括：基本工资102.24万元、津贴补贴50.94万元、奖金</w:t>
      </w:r>
      <w:r>
        <w:rPr>
          <w:rFonts w:hint="eastAsia" w:ascii="仿宋_GB2312" w:hAnsi="仿宋_GB2312" w:eastAsia="仿宋_GB2312" w:cs="仿宋_GB2312"/>
          <w:i w:val="0"/>
          <w:iCs w:val="0"/>
          <w:color w:val="000000" w:themeColor="text1"/>
          <w:sz w:val="32"/>
          <w:szCs w:val="32"/>
          <w:u w:val="none"/>
          <w14:textFill>
            <w14:solidFill>
              <w14:schemeClr w14:val="tx1"/>
            </w14:solidFill>
          </w14:textFill>
        </w:rPr>
        <w:t>2.00</w:t>
      </w:r>
      <w:r>
        <w:rPr>
          <w:rFonts w:hint="eastAsia" w:cs="仿宋_GB2312"/>
          <w:color w:val="000000" w:themeColor="text1"/>
          <w:kern w:val="2"/>
          <w:sz w:val="32"/>
          <w:szCs w:val="32"/>
          <w14:textFill>
            <w14:solidFill>
              <w14:schemeClr w14:val="tx1"/>
            </w14:solidFill>
          </w14:textFill>
        </w:rPr>
        <w:t>万元、其他社会保障缴费11.23万元、绩效工资163.62万元、机关事业单位基本养老保险缴费</w:t>
      </w:r>
      <w:r>
        <w:rPr>
          <w:rFonts w:hint="eastAsia" w:cs="仿宋_GB2312"/>
          <w:color w:val="000000" w:themeColor="text1"/>
          <w:kern w:val="2"/>
          <w:sz w:val="32"/>
          <w:szCs w:val="32"/>
          <w:lang w:val="en-US" w:eastAsia="zh-CN"/>
          <w14:textFill>
            <w14:solidFill>
              <w14:schemeClr w14:val="tx1"/>
            </w14:solidFill>
          </w14:textFill>
        </w:rPr>
        <w:t>51.88</w:t>
      </w:r>
      <w:r>
        <w:rPr>
          <w:rFonts w:hint="eastAsia" w:cs="仿宋_GB2312"/>
          <w:color w:val="000000" w:themeColor="text1"/>
          <w:kern w:val="2"/>
          <w:sz w:val="32"/>
          <w:szCs w:val="32"/>
          <w14:textFill>
            <w14:solidFill>
              <w14:schemeClr w14:val="tx1"/>
            </w14:solidFill>
          </w14:textFill>
        </w:rPr>
        <w:t>万元、职业年金缴费</w:t>
      </w:r>
      <w:r>
        <w:rPr>
          <w:rFonts w:hint="eastAsia" w:cs="仿宋_GB2312"/>
          <w:color w:val="000000" w:themeColor="text1"/>
          <w:kern w:val="2"/>
          <w:sz w:val="32"/>
          <w:szCs w:val="32"/>
          <w:lang w:val="en-US" w:eastAsia="zh-CN"/>
          <w14:textFill>
            <w14:solidFill>
              <w14:schemeClr w14:val="tx1"/>
            </w14:solidFill>
          </w14:textFill>
        </w:rPr>
        <w:t>25.94</w:t>
      </w:r>
      <w:r>
        <w:rPr>
          <w:rFonts w:hint="eastAsia" w:cs="仿宋_GB2312"/>
          <w:color w:val="000000" w:themeColor="text1"/>
          <w:kern w:val="2"/>
          <w:sz w:val="32"/>
          <w:szCs w:val="32"/>
          <w14:textFill>
            <w14:solidFill>
              <w14:schemeClr w14:val="tx1"/>
            </w14:solidFill>
          </w14:textFill>
        </w:rPr>
        <w:t>万元、职工基本医疗保险缴费</w:t>
      </w:r>
      <w:r>
        <w:rPr>
          <w:rFonts w:hint="eastAsia" w:cs="仿宋_GB2312"/>
          <w:color w:val="000000" w:themeColor="text1"/>
          <w:kern w:val="2"/>
          <w:sz w:val="32"/>
          <w:szCs w:val="32"/>
          <w:lang w:val="en-US" w:eastAsia="zh-CN"/>
          <w14:textFill>
            <w14:solidFill>
              <w14:schemeClr w14:val="tx1"/>
            </w14:solidFill>
          </w14:textFill>
        </w:rPr>
        <w:t>27.6</w:t>
      </w:r>
      <w:r>
        <w:rPr>
          <w:rFonts w:hint="eastAsia" w:cs="仿宋_GB2312"/>
          <w:color w:val="000000" w:themeColor="text1"/>
          <w:kern w:val="2"/>
          <w:sz w:val="32"/>
          <w:szCs w:val="32"/>
          <w14:textFill>
            <w14:solidFill>
              <w14:schemeClr w14:val="tx1"/>
            </w14:solidFill>
          </w14:textFill>
        </w:rPr>
        <w:t>万元、其他工资福利支出</w:t>
      </w:r>
      <w:r>
        <w:rPr>
          <w:rFonts w:hint="eastAsia" w:cs="仿宋_GB2312"/>
          <w:color w:val="000000" w:themeColor="text1"/>
          <w:kern w:val="2"/>
          <w:sz w:val="32"/>
          <w:szCs w:val="32"/>
          <w:lang w:val="en-US" w:eastAsia="zh-CN"/>
          <w14:textFill>
            <w14:solidFill>
              <w14:schemeClr w14:val="tx1"/>
            </w14:solidFill>
          </w14:textFill>
        </w:rPr>
        <w:t>12</w:t>
      </w:r>
      <w:r>
        <w:rPr>
          <w:rFonts w:hint="eastAsia" w:cs="仿宋_GB2312"/>
          <w:color w:val="000000" w:themeColor="text1"/>
          <w:kern w:val="2"/>
          <w:sz w:val="32"/>
          <w:szCs w:val="32"/>
          <w14:textFill>
            <w14:solidFill>
              <w14:schemeClr w14:val="tx1"/>
            </w14:solidFill>
          </w14:textFill>
        </w:rPr>
        <w:t>万元、住房公积金</w:t>
      </w:r>
      <w:r>
        <w:rPr>
          <w:rFonts w:hint="eastAsia" w:cs="仿宋_GB2312"/>
          <w:color w:val="000000" w:themeColor="text1"/>
          <w:kern w:val="2"/>
          <w:sz w:val="32"/>
          <w:szCs w:val="32"/>
          <w:lang w:val="en-US" w:eastAsia="zh-CN"/>
          <w14:textFill>
            <w14:solidFill>
              <w14:schemeClr w14:val="tx1"/>
            </w14:solidFill>
          </w14:textFill>
        </w:rPr>
        <w:t>46.33</w:t>
      </w:r>
      <w:r>
        <w:rPr>
          <w:rFonts w:hint="eastAsia" w:cs="仿宋_GB2312"/>
          <w:color w:val="000000" w:themeColor="text1"/>
          <w:kern w:val="2"/>
          <w:sz w:val="32"/>
          <w:szCs w:val="32"/>
          <w14:textFill>
            <w14:solidFill>
              <w14:schemeClr w14:val="tx1"/>
            </w14:solidFill>
          </w14:textFill>
        </w:rPr>
        <w:t>万元</w:t>
      </w:r>
      <w:r>
        <w:rPr>
          <w:rFonts w:hint="eastAsia" w:cs="仿宋_GB2312"/>
          <w:color w:val="000000" w:themeColor="text1"/>
          <w:kern w:val="2"/>
          <w:sz w:val="32"/>
          <w:szCs w:val="32"/>
          <w:lang w:eastAsia="zh-CN"/>
          <w14:textFill>
            <w14:solidFill>
              <w14:schemeClr w14:val="tx1"/>
            </w14:solidFill>
          </w14:textFill>
        </w:rPr>
        <w:t>。</w:t>
      </w:r>
    </w:p>
    <w:p w14:paraId="4A5629B0">
      <w:pPr>
        <w:pStyle w:val="10"/>
        <w:spacing w:before="0" w:line="360" w:lineRule="auto"/>
        <w:ind w:firstLine="640" w:firstLineChars="200"/>
        <w:rPr>
          <w:rFonts w:hint="eastAsia"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公用经费</w:t>
      </w:r>
      <w:r>
        <w:rPr>
          <w:rFonts w:hint="eastAsia" w:cs="仿宋_GB2312"/>
          <w:color w:val="000000" w:themeColor="text1"/>
          <w:kern w:val="2"/>
          <w:sz w:val="32"/>
          <w:szCs w:val="32"/>
          <w:lang w:val="en-US" w:eastAsia="zh-CN"/>
          <w14:textFill>
            <w14:solidFill>
              <w14:schemeClr w14:val="tx1"/>
            </w14:solidFill>
          </w14:textFill>
        </w:rPr>
        <w:t>69.27</w:t>
      </w:r>
      <w:r>
        <w:rPr>
          <w:rFonts w:hint="eastAsia" w:cs="仿宋_GB2312"/>
          <w:color w:val="000000" w:themeColor="text1"/>
          <w:kern w:val="2"/>
          <w:sz w:val="32"/>
          <w:szCs w:val="32"/>
          <w14:textFill>
            <w14:solidFill>
              <w14:schemeClr w14:val="tx1"/>
            </w14:solidFill>
          </w14:textFill>
        </w:rPr>
        <w:t>万元，主要包括：办公费</w:t>
      </w:r>
      <w:r>
        <w:rPr>
          <w:rFonts w:hint="eastAsia" w:cs="仿宋_GB2312"/>
          <w:color w:val="000000" w:themeColor="text1"/>
          <w:kern w:val="2"/>
          <w:sz w:val="32"/>
          <w:szCs w:val="32"/>
          <w:lang w:val="en-US" w:eastAsia="zh-CN"/>
          <w14:textFill>
            <w14:solidFill>
              <w14:schemeClr w14:val="tx1"/>
            </w14:solidFill>
          </w14:textFill>
        </w:rPr>
        <w:t>2.48</w:t>
      </w:r>
      <w:r>
        <w:rPr>
          <w:rFonts w:hint="eastAsia" w:cs="仿宋_GB2312"/>
          <w:color w:val="000000" w:themeColor="text1"/>
          <w:kern w:val="2"/>
          <w:sz w:val="32"/>
          <w:szCs w:val="32"/>
          <w14:textFill>
            <w14:solidFill>
              <w14:schemeClr w14:val="tx1"/>
            </w14:solidFill>
          </w14:textFill>
        </w:rPr>
        <w:t>万元、印刷费</w:t>
      </w:r>
      <w:r>
        <w:rPr>
          <w:rFonts w:hint="eastAsia" w:cs="仿宋_GB2312"/>
          <w:color w:val="000000" w:themeColor="text1"/>
          <w:kern w:val="2"/>
          <w:sz w:val="32"/>
          <w:szCs w:val="32"/>
          <w:lang w:val="en-US" w:eastAsia="zh-CN"/>
          <w14:textFill>
            <w14:solidFill>
              <w14:schemeClr w14:val="tx1"/>
            </w14:solidFill>
          </w14:textFill>
        </w:rPr>
        <w:t>0</w:t>
      </w:r>
      <w:r>
        <w:rPr>
          <w:rFonts w:hint="eastAsia" w:cs="仿宋_GB2312"/>
          <w:color w:val="000000" w:themeColor="text1"/>
          <w:kern w:val="2"/>
          <w:sz w:val="32"/>
          <w:szCs w:val="32"/>
          <w14:textFill>
            <w14:solidFill>
              <w14:schemeClr w14:val="tx1"/>
            </w14:solidFill>
          </w14:textFill>
        </w:rPr>
        <w:t>万元、手续费0万元、水费</w:t>
      </w:r>
      <w:r>
        <w:rPr>
          <w:rFonts w:hint="eastAsia" w:cs="仿宋_GB2312"/>
          <w:color w:val="000000" w:themeColor="text1"/>
          <w:kern w:val="2"/>
          <w:sz w:val="32"/>
          <w:szCs w:val="32"/>
          <w:lang w:val="en-US" w:eastAsia="zh-CN"/>
          <w14:textFill>
            <w14:solidFill>
              <w14:schemeClr w14:val="tx1"/>
            </w14:solidFill>
          </w14:textFill>
        </w:rPr>
        <w:t>0.75</w:t>
      </w:r>
      <w:r>
        <w:rPr>
          <w:rFonts w:hint="eastAsia" w:cs="仿宋_GB2312"/>
          <w:color w:val="000000" w:themeColor="text1"/>
          <w:kern w:val="2"/>
          <w:sz w:val="32"/>
          <w:szCs w:val="32"/>
          <w14:textFill>
            <w14:solidFill>
              <w14:schemeClr w14:val="tx1"/>
            </w14:solidFill>
          </w14:textFill>
        </w:rPr>
        <w:t>万元、取暖费0.99万元、邮电费7.</w:t>
      </w:r>
      <w:r>
        <w:rPr>
          <w:rFonts w:hint="eastAsia" w:cs="仿宋_GB2312"/>
          <w:color w:val="000000" w:themeColor="text1"/>
          <w:kern w:val="2"/>
          <w:sz w:val="32"/>
          <w:szCs w:val="32"/>
          <w:lang w:val="en-US" w:eastAsia="zh-CN"/>
          <w14:textFill>
            <w14:solidFill>
              <w14:schemeClr w14:val="tx1"/>
            </w14:solidFill>
          </w14:textFill>
        </w:rPr>
        <w:t>2</w:t>
      </w:r>
      <w:r>
        <w:rPr>
          <w:rFonts w:hint="eastAsia" w:cs="仿宋_GB2312"/>
          <w:color w:val="000000" w:themeColor="text1"/>
          <w:kern w:val="2"/>
          <w:sz w:val="32"/>
          <w:szCs w:val="32"/>
          <w14:textFill>
            <w14:solidFill>
              <w14:schemeClr w14:val="tx1"/>
            </w14:solidFill>
          </w14:textFill>
        </w:rPr>
        <w:t>9万元、差旅费</w:t>
      </w:r>
      <w:r>
        <w:rPr>
          <w:rFonts w:hint="eastAsia" w:cs="仿宋_GB2312"/>
          <w:color w:val="000000" w:themeColor="text1"/>
          <w:kern w:val="2"/>
          <w:sz w:val="32"/>
          <w:szCs w:val="32"/>
          <w:lang w:val="en-US" w:eastAsia="zh-CN"/>
          <w14:textFill>
            <w14:solidFill>
              <w14:schemeClr w14:val="tx1"/>
            </w14:solidFill>
          </w14:textFill>
        </w:rPr>
        <w:t>13.66</w:t>
      </w:r>
      <w:r>
        <w:rPr>
          <w:rFonts w:hint="eastAsia" w:cs="仿宋_GB2312"/>
          <w:color w:val="000000" w:themeColor="text1"/>
          <w:kern w:val="2"/>
          <w:sz w:val="32"/>
          <w:szCs w:val="32"/>
          <w14:textFill>
            <w14:solidFill>
              <w14:schemeClr w14:val="tx1"/>
            </w14:solidFill>
          </w14:textFill>
        </w:rPr>
        <w:t>万元、维修（护）费0.</w:t>
      </w:r>
      <w:r>
        <w:rPr>
          <w:rFonts w:hint="eastAsia" w:cs="仿宋_GB2312"/>
          <w:color w:val="000000" w:themeColor="text1"/>
          <w:kern w:val="2"/>
          <w:sz w:val="32"/>
          <w:szCs w:val="32"/>
          <w:lang w:val="en-US" w:eastAsia="zh-CN"/>
          <w14:textFill>
            <w14:solidFill>
              <w14:schemeClr w14:val="tx1"/>
            </w14:solidFill>
          </w14:textFill>
        </w:rPr>
        <w:t>21</w:t>
      </w:r>
      <w:r>
        <w:rPr>
          <w:rFonts w:hint="eastAsia" w:cs="仿宋_GB2312"/>
          <w:color w:val="000000" w:themeColor="text1"/>
          <w:kern w:val="2"/>
          <w:sz w:val="32"/>
          <w:szCs w:val="32"/>
          <w14:textFill>
            <w14:solidFill>
              <w14:schemeClr w14:val="tx1"/>
            </w14:solidFill>
          </w14:textFill>
        </w:rPr>
        <w:t>万元、会议费0万元、培训费</w:t>
      </w:r>
      <w:r>
        <w:rPr>
          <w:rFonts w:hint="eastAsia" w:cs="仿宋_GB2312"/>
          <w:color w:val="000000" w:themeColor="text1"/>
          <w:kern w:val="2"/>
          <w:sz w:val="32"/>
          <w:szCs w:val="32"/>
          <w:lang w:val="en-US" w:eastAsia="zh-CN"/>
          <w14:textFill>
            <w14:solidFill>
              <w14:schemeClr w14:val="tx1"/>
            </w14:solidFill>
          </w14:textFill>
        </w:rPr>
        <w:t>5.21</w:t>
      </w:r>
      <w:r>
        <w:rPr>
          <w:rFonts w:hint="eastAsia" w:cs="仿宋_GB2312"/>
          <w:color w:val="000000" w:themeColor="text1"/>
          <w:kern w:val="2"/>
          <w:sz w:val="32"/>
          <w:szCs w:val="32"/>
          <w14:textFill>
            <w14:solidFill>
              <w14:schemeClr w14:val="tx1"/>
            </w14:solidFill>
          </w14:textFill>
        </w:rPr>
        <w:t>万元、务接待费1</w:t>
      </w:r>
      <w:r>
        <w:rPr>
          <w:rFonts w:hint="eastAsia" w:cs="仿宋_GB2312"/>
          <w:color w:val="000000" w:themeColor="text1"/>
          <w:kern w:val="2"/>
          <w:sz w:val="32"/>
          <w:szCs w:val="32"/>
          <w:lang w:val="en-US" w:eastAsia="zh-CN"/>
          <w14:textFill>
            <w14:solidFill>
              <w14:schemeClr w14:val="tx1"/>
            </w14:solidFill>
          </w14:textFill>
        </w:rPr>
        <w:t>.09</w:t>
      </w:r>
      <w:r>
        <w:rPr>
          <w:rFonts w:hint="eastAsia" w:cs="仿宋_GB2312"/>
          <w:color w:val="000000" w:themeColor="text1"/>
          <w:kern w:val="2"/>
          <w:sz w:val="32"/>
          <w:szCs w:val="32"/>
          <w14:textFill>
            <w14:solidFill>
              <w14:schemeClr w14:val="tx1"/>
            </w14:solidFill>
          </w14:textFill>
        </w:rPr>
        <w:t>万元、公务用车运行维护费</w:t>
      </w:r>
      <w:r>
        <w:rPr>
          <w:rFonts w:hint="eastAsia" w:cs="仿宋_GB2312"/>
          <w:color w:val="000000" w:themeColor="text1"/>
          <w:kern w:val="2"/>
          <w:sz w:val="32"/>
          <w:szCs w:val="32"/>
          <w:lang w:val="en-US" w:eastAsia="zh-CN"/>
          <w14:textFill>
            <w14:solidFill>
              <w14:schemeClr w14:val="tx1"/>
            </w14:solidFill>
          </w14:textFill>
        </w:rPr>
        <w:t>14.4</w:t>
      </w:r>
      <w:r>
        <w:rPr>
          <w:rFonts w:hint="eastAsia" w:cs="仿宋_GB2312"/>
          <w:color w:val="000000" w:themeColor="text1"/>
          <w:kern w:val="2"/>
          <w:sz w:val="32"/>
          <w:szCs w:val="32"/>
          <w14:textFill>
            <w14:solidFill>
              <w14:schemeClr w14:val="tx1"/>
            </w14:solidFill>
          </w14:textFill>
        </w:rPr>
        <w:t>万元、福利费</w:t>
      </w:r>
      <w:r>
        <w:rPr>
          <w:rFonts w:hint="eastAsia" w:cs="仿宋_GB2312"/>
          <w:color w:val="000000" w:themeColor="text1"/>
          <w:kern w:val="2"/>
          <w:sz w:val="32"/>
          <w:szCs w:val="32"/>
          <w:lang w:val="en-US" w:eastAsia="zh-CN"/>
          <w14:textFill>
            <w14:solidFill>
              <w14:schemeClr w14:val="tx1"/>
            </w14:solidFill>
          </w14:textFill>
        </w:rPr>
        <w:t>5.98</w:t>
      </w:r>
      <w:r>
        <w:rPr>
          <w:rFonts w:hint="eastAsia" w:cs="仿宋_GB2312"/>
          <w:color w:val="000000" w:themeColor="text1"/>
          <w:kern w:val="2"/>
          <w:sz w:val="32"/>
          <w:szCs w:val="32"/>
          <w14:textFill>
            <w14:solidFill>
              <w14:schemeClr w14:val="tx1"/>
            </w14:solidFill>
          </w14:textFill>
        </w:rPr>
        <w:t>万元、其他对个人和家庭的补助支出</w:t>
      </w:r>
      <w:r>
        <w:rPr>
          <w:rFonts w:hint="eastAsia" w:cs="仿宋_GB2312"/>
          <w:color w:val="000000" w:themeColor="text1"/>
          <w:kern w:val="2"/>
          <w:sz w:val="32"/>
          <w:szCs w:val="32"/>
          <w:lang w:val="en-US" w:eastAsia="zh-CN"/>
          <w14:textFill>
            <w14:solidFill>
              <w14:schemeClr w14:val="tx1"/>
            </w14:solidFill>
          </w14:textFill>
        </w:rPr>
        <w:t>0.03</w:t>
      </w:r>
      <w:r>
        <w:rPr>
          <w:rFonts w:hint="eastAsia" w:cs="仿宋_GB2312"/>
          <w:color w:val="000000" w:themeColor="text1"/>
          <w:kern w:val="2"/>
          <w:sz w:val="32"/>
          <w:szCs w:val="32"/>
          <w14:textFill>
            <w14:solidFill>
              <w14:schemeClr w14:val="tx1"/>
            </w14:solidFill>
          </w14:textFill>
        </w:rPr>
        <w:t>万元。其他商品和服务支出17</w:t>
      </w:r>
      <w:r>
        <w:rPr>
          <w:rFonts w:hint="eastAsia" w:cs="仿宋_GB2312"/>
          <w:color w:val="000000" w:themeColor="text1"/>
          <w:kern w:val="2"/>
          <w:sz w:val="32"/>
          <w:szCs w:val="32"/>
          <w:lang w:val="en-US" w:eastAsia="zh-CN"/>
          <w14:textFill>
            <w14:solidFill>
              <w14:schemeClr w14:val="tx1"/>
            </w14:solidFill>
          </w14:textFill>
        </w:rPr>
        <w:t>.22</w:t>
      </w:r>
      <w:r>
        <w:rPr>
          <w:rFonts w:hint="eastAsia" w:cs="仿宋_GB2312"/>
          <w:color w:val="000000" w:themeColor="text1"/>
          <w:kern w:val="2"/>
          <w:sz w:val="32"/>
          <w:szCs w:val="32"/>
          <w14:textFill>
            <w14:solidFill>
              <w14:schemeClr w14:val="tx1"/>
            </w14:solidFill>
          </w14:textFill>
        </w:rPr>
        <w:t>万元。</w:t>
      </w:r>
    </w:p>
    <w:p w14:paraId="57F11D01">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14:paraId="264102CC">
      <w:pPr>
        <w:pStyle w:val="10"/>
        <w:spacing w:before="0" w:line="360" w:lineRule="auto"/>
        <w:ind w:firstLine="640" w:firstLineChars="200"/>
        <w:rPr>
          <w:rFonts w:cs="仿宋_GB2312"/>
          <w:kern w:val="2"/>
          <w:sz w:val="32"/>
          <w:szCs w:val="32"/>
        </w:rPr>
      </w:pPr>
      <w:r>
        <w:rPr>
          <w:rFonts w:hint="eastAsia" w:cs="仿宋_GB2312"/>
          <w:kern w:val="2"/>
          <w:sz w:val="32"/>
          <w:szCs w:val="32"/>
        </w:rPr>
        <w:t>单位2023年“三公”经费财政拨款预算数</w:t>
      </w:r>
      <w:r>
        <w:rPr>
          <w:rFonts w:hint="eastAsia" w:cs="仿宋_GB2312"/>
          <w:kern w:val="2"/>
          <w:sz w:val="32"/>
          <w:szCs w:val="32"/>
          <w:lang w:val="en-US" w:eastAsia="zh-CN"/>
        </w:rPr>
        <w:t>15.49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color w:val="000000" w:themeColor="text1"/>
          <w:kern w:val="2"/>
          <w:sz w:val="32"/>
          <w:szCs w:val="32"/>
          <w:lang w:val="en-US" w:eastAsia="zh-CN"/>
          <w14:textFill>
            <w14:solidFill>
              <w14:schemeClr w14:val="tx1"/>
            </w14:solidFill>
          </w14:textFill>
        </w:rPr>
        <w:t>1.09</w:t>
      </w:r>
      <w:r>
        <w:rPr>
          <w:rFonts w:hint="eastAsia" w:cs="仿宋_GB2312"/>
          <w:color w:val="000000" w:themeColor="text1"/>
          <w:kern w:val="2"/>
          <w:sz w:val="32"/>
          <w:szCs w:val="32"/>
          <w14:textFill>
            <w14:solidFill>
              <w14:schemeClr w14:val="tx1"/>
            </w14:solidFill>
          </w14:textFill>
        </w:rPr>
        <w:t>万元，</w:t>
      </w:r>
      <w:r>
        <w:rPr>
          <w:rFonts w:hint="eastAsia" w:cs="仿宋_GB2312"/>
          <w:kern w:val="2"/>
          <w:sz w:val="32"/>
          <w:szCs w:val="32"/>
        </w:rPr>
        <w:t>公务用车购置及运行维护费</w:t>
      </w:r>
      <w:r>
        <w:rPr>
          <w:rFonts w:hint="eastAsia" w:cs="仿宋_GB2312"/>
          <w:kern w:val="2"/>
          <w:sz w:val="32"/>
          <w:szCs w:val="32"/>
          <w:lang w:val="en-US" w:eastAsia="zh-CN"/>
        </w:rPr>
        <w:t>14.4</w:t>
      </w:r>
      <w:r>
        <w:rPr>
          <w:rFonts w:hint="eastAsia" w:cs="仿宋_GB2312"/>
          <w:kern w:val="2"/>
          <w:sz w:val="32"/>
          <w:szCs w:val="32"/>
        </w:rPr>
        <w:t>万元。</w:t>
      </w:r>
    </w:p>
    <w:p w14:paraId="276C7571">
      <w:pPr>
        <w:pStyle w:val="10"/>
        <w:spacing w:before="0" w:line="360" w:lineRule="auto"/>
        <w:ind w:firstLine="640" w:firstLineChars="200"/>
        <w:rPr>
          <w:rFonts w:cs="仿宋_GB2312"/>
          <w:kern w:val="2"/>
          <w:sz w:val="32"/>
          <w:szCs w:val="32"/>
        </w:rPr>
      </w:pPr>
      <w:r>
        <w:rPr>
          <w:rFonts w:hint="eastAsia" w:cs="仿宋_GB2312"/>
          <w:kern w:val="2"/>
          <w:sz w:val="32"/>
          <w:szCs w:val="32"/>
        </w:rPr>
        <w:t>（一）2023年因公出国（境）经费</w:t>
      </w:r>
      <w:r>
        <w:rPr>
          <w:rFonts w:hint="eastAsia" w:cs="仿宋_GB2312"/>
          <w:kern w:val="2"/>
          <w:sz w:val="32"/>
          <w:szCs w:val="32"/>
          <w:lang w:val="en-US" w:eastAsia="zh-CN"/>
        </w:rPr>
        <w:t>0</w:t>
      </w:r>
      <w:r>
        <w:rPr>
          <w:rFonts w:hint="eastAsia" w:cs="仿宋_GB2312"/>
          <w:kern w:val="2"/>
          <w:sz w:val="32"/>
          <w:szCs w:val="32"/>
        </w:rPr>
        <w:t>万元。</w:t>
      </w:r>
    </w:p>
    <w:p w14:paraId="53E0A665">
      <w:pPr>
        <w:pStyle w:val="10"/>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1.09</w:t>
      </w:r>
      <w:r>
        <w:rPr>
          <w:rFonts w:hint="eastAsia" w:cs="仿宋_GB2312"/>
          <w:color w:val="000000"/>
          <w:kern w:val="2"/>
          <w:sz w:val="32"/>
          <w:szCs w:val="32"/>
        </w:rPr>
        <w:t>万元。较2022年预算经费减少</w:t>
      </w:r>
      <w:r>
        <w:rPr>
          <w:rFonts w:hint="eastAsia" w:cs="仿宋_GB2312"/>
          <w:color w:val="000000"/>
          <w:kern w:val="2"/>
          <w:sz w:val="32"/>
          <w:szCs w:val="32"/>
          <w:lang w:val="en-US" w:eastAsia="zh-CN"/>
        </w:rPr>
        <w:t>0.12</w:t>
      </w:r>
      <w:r>
        <w:rPr>
          <w:rFonts w:hint="eastAsia" w:cs="仿宋_GB2312"/>
          <w:color w:val="000000"/>
          <w:kern w:val="2"/>
          <w:sz w:val="32"/>
          <w:szCs w:val="32"/>
        </w:rPr>
        <w:t>万元，</w:t>
      </w:r>
      <w:r>
        <w:rPr>
          <w:rFonts w:hint="eastAsia" w:cs="仿宋_GB2312"/>
          <w:color w:val="000000"/>
          <w:kern w:val="2"/>
          <w:sz w:val="32"/>
          <w:szCs w:val="32"/>
          <w:lang w:val="en-US" w:eastAsia="zh-CN"/>
        </w:rPr>
        <w:t>下降9.92</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2022年中途按要求压减了20%，财政收回预算指标。</w:t>
      </w:r>
      <w:r>
        <w:rPr>
          <w:rFonts w:hint="eastAsia" w:cs="仿宋_GB2312"/>
          <w:color w:val="FF0000"/>
          <w:kern w:val="2"/>
          <w:sz w:val="32"/>
          <w:szCs w:val="32"/>
        </w:rPr>
        <w:t>　　</w:t>
      </w:r>
    </w:p>
    <w:p w14:paraId="21B04D54">
      <w:pPr>
        <w:pStyle w:val="10"/>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（三）2023年公务用车购置及运行维护费</w:t>
      </w:r>
      <w:r>
        <w:rPr>
          <w:rFonts w:hint="eastAsia" w:cs="仿宋_GB2312"/>
          <w:color w:val="000000"/>
          <w:kern w:val="2"/>
          <w:sz w:val="32"/>
          <w:szCs w:val="32"/>
          <w:lang w:val="en-US" w:eastAsia="zh-CN"/>
        </w:rPr>
        <w:t>19.4</w:t>
      </w:r>
      <w:r>
        <w:rPr>
          <w:rFonts w:hint="eastAsia" w:cs="仿宋_GB2312"/>
          <w:color w:val="000000"/>
          <w:kern w:val="2"/>
          <w:sz w:val="32"/>
          <w:szCs w:val="32"/>
        </w:rPr>
        <w:t>万元。较2022年预算经费减少</w:t>
      </w:r>
      <w:r>
        <w:rPr>
          <w:rFonts w:hint="eastAsia" w:cs="仿宋_GB2312"/>
          <w:color w:val="000000"/>
          <w:kern w:val="2"/>
          <w:sz w:val="32"/>
          <w:szCs w:val="32"/>
          <w:lang w:val="en-US" w:eastAsia="zh-CN"/>
        </w:rPr>
        <w:t>7.2</w:t>
      </w:r>
      <w:r>
        <w:rPr>
          <w:rFonts w:hint="eastAsia" w:cs="仿宋_GB2312"/>
          <w:color w:val="000000"/>
          <w:kern w:val="2"/>
          <w:sz w:val="32"/>
          <w:szCs w:val="32"/>
        </w:rPr>
        <w:t>万元，</w:t>
      </w:r>
      <w:r>
        <w:rPr>
          <w:rFonts w:hint="eastAsia" w:cs="仿宋_GB2312"/>
          <w:color w:val="000000"/>
          <w:kern w:val="2"/>
          <w:sz w:val="32"/>
          <w:szCs w:val="32"/>
          <w:lang w:val="en-US" w:eastAsia="zh-CN"/>
        </w:rPr>
        <w:t>下降27.6</w:t>
      </w:r>
      <w:r>
        <w:rPr>
          <w:rFonts w:hint="eastAsia" w:cs="仿宋_GB2312"/>
          <w:color w:val="000000"/>
          <w:kern w:val="2"/>
          <w:sz w:val="32"/>
          <w:szCs w:val="32"/>
        </w:rPr>
        <w:t>%，主要原因</w:t>
      </w:r>
      <w:r>
        <w:rPr>
          <w:rFonts w:hint="eastAsia" w:cs="仿宋_GB2312"/>
          <w:color w:val="000000"/>
          <w:kern w:val="2"/>
          <w:sz w:val="32"/>
          <w:szCs w:val="32"/>
          <w:lang w:val="en-US" w:eastAsia="zh-CN"/>
        </w:rPr>
        <w:t>2021年因工作需要在其他单位借用了一辆公务用车，2022年按3辆公务用车预算，2022年底归还了借用车辆，2023年按2辆公务用车预算，故</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有所下降。</w:t>
      </w:r>
    </w:p>
    <w:p w14:paraId="649901DF">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67746D7F">
      <w:pPr>
        <w:pStyle w:val="10"/>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2023年</w:t>
      </w:r>
      <w:r>
        <w:rPr>
          <w:rFonts w:hint="eastAsia" w:cs="仿宋_GB2312"/>
          <w:kern w:val="2"/>
          <w:sz w:val="32"/>
          <w:szCs w:val="32"/>
          <w:lang w:val="en-US" w:eastAsia="zh-CN"/>
        </w:rPr>
        <w:t>无</w:t>
      </w:r>
      <w:r>
        <w:rPr>
          <w:rFonts w:hint="eastAsia" w:cs="仿宋_GB2312"/>
          <w:kern w:val="2"/>
          <w:sz w:val="32"/>
          <w:szCs w:val="32"/>
        </w:rPr>
        <w:t>政府性基金预算拨款安排</w:t>
      </w:r>
      <w:r>
        <w:rPr>
          <w:rFonts w:hint="eastAsia" w:cs="仿宋_GB2312"/>
          <w:kern w:val="2"/>
          <w:sz w:val="32"/>
          <w:szCs w:val="32"/>
          <w:lang w:eastAsia="zh-CN"/>
        </w:rPr>
        <w:t>，</w:t>
      </w:r>
      <w:r>
        <w:rPr>
          <w:rFonts w:hint="eastAsia" w:cs="仿宋_GB2312"/>
          <w:kern w:val="2"/>
          <w:sz w:val="32"/>
          <w:szCs w:val="32"/>
        </w:rPr>
        <w:t>较</w:t>
      </w:r>
      <w:r>
        <w:rPr>
          <w:rFonts w:hint="eastAsia" w:cs="仿宋_GB2312"/>
          <w:kern w:val="2"/>
          <w:sz w:val="32"/>
          <w:szCs w:val="32"/>
          <w:lang w:val="en-US" w:eastAsia="zh-CN"/>
        </w:rPr>
        <w:t>上年相比无变化</w:t>
      </w:r>
      <w:r>
        <w:rPr>
          <w:rFonts w:hint="eastAsia" w:cs="仿宋_GB2312"/>
          <w:kern w:val="2"/>
          <w:sz w:val="32"/>
          <w:szCs w:val="32"/>
        </w:rPr>
        <w:t>。</w:t>
      </w:r>
    </w:p>
    <w:p w14:paraId="7D847040">
      <w:pPr>
        <w:pStyle w:val="10"/>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 xml:space="preserve"> 2023 年无政府性基金预算“三公”经费支出预算安排的支出，</w:t>
      </w:r>
      <w:r>
        <w:rPr>
          <w:rFonts w:hint="eastAsia" w:cs="仿宋_GB2312"/>
          <w:kern w:val="2"/>
          <w:sz w:val="32"/>
          <w:szCs w:val="32"/>
          <w:lang w:val="en-US" w:eastAsia="zh-CN"/>
        </w:rPr>
        <w:t>较</w:t>
      </w:r>
      <w:r>
        <w:rPr>
          <w:rFonts w:hint="eastAsia" w:cs="仿宋_GB2312"/>
          <w:kern w:val="2"/>
          <w:sz w:val="32"/>
          <w:szCs w:val="32"/>
        </w:rPr>
        <w:t>上年相比无变化。</w:t>
      </w:r>
    </w:p>
    <w:p w14:paraId="521869DB">
      <w:pPr>
        <w:pStyle w:val="10"/>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2023 年无国有资本经营预算安排的支出，</w:t>
      </w:r>
      <w:r>
        <w:rPr>
          <w:rFonts w:hint="eastAsia" w:cs="仿宋_GB2312"/>
          <w:kern w:val="2"/>
          <w:sz w:val="32"/>
          <w:szCs w:val="32"/>
          <w:lang w:val="en-US" w:eastAsia="zh-CN"/>
        </w:rPr>
        <w:t>较</w:t>
      </w:r>
      <w:r>
        <w:rPr>
          <w:rFonts w:hint="eastAsia" w:cs="仿宋_GB2312"/>
          <w:kern w:val="2"/>
          <w:sz w:val="32"/>
          <w:szCs w:val="32"/>
        </w:rPr>
        <w:t>上年相比无变化</w:t>
      </w:r>
      <w:r>
        <w:rPr>
          <w:rFonts w:hint="eastAsia" w:cs="仿宋_GB2312"/>
          <w:kern w:val="2"/>
          <w:sz w:val="32"/>
          <w:szCs w:val="32"/>
          <w:lang w:eastAsia="zh-CN"/>
        </w:rPr>
        <w:t>。</w:t>
      </w:r>
    </w:p>
    <w:p w14:paraId="4C79E0CF">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1E58679F">
      <w:pPr>
        <w:pStyle w:val="10"/>
        <w:spacing w:before="0" w:line="360" w:lineRule="auto"/>
        <w:ind w:firstLine="640" w:firstLineChars="200"/>
        <w:rPr>
          <w:rFonts w:hint="eastAsia" w:cs="仿宋_GB2312"/>
          <w:color w:val="000000"/>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我单位</w:t>
      </w:r>
      <w:r>
        <w:rPr>
          <w:rFonts w:hint="eastAsia" w:cs="仿宋_GB2312"/>
          <w:kern w:val="2"/>
          <w:sz w:val="32"/>
          <w:szCs w:val="32"/>
        </w:rPr>
        <w:t>2023年</w:t>
      </w:r>
      <w:r>
        <w:rPr>
          <w:rFonts w:hint="eastAsia" w:cs="仿宋_GB2312"/>
          <w:kern w:val="2"/>
          <w:sz w:val="32"/>
          <w:szCs w:val="32"/>
          <w:lang w:val="en-US" w:eastAsia="zh-CN"/>
        </w:rPr>
        <w:t>无</w:t>
      </w:r>
      <w:r>
        <w:rPr>
          <w:rFonts w:hint="eastAsia" w:cs="仿宋_GB2312"/>
          <w:kern w:val="2"/>
          <w:sz w:val="32"/>
          <w:szCs w:val="32"/>
        </w:rPr>
        <w:t>机关运行经费财政拨款预算</w:t>
      </w:r>
      <w:r>
        <w:rPr>
          <w:rFonts w:hint="eastAsia" w:cs="仿宋_GB2312"/>
          <w:kern w:val="2"/>
          <w:sz w:val="32"/>
          <w:szCs w:val="32"/>
          <w:lang w:val="en-US" w:eastAsia="zh-CN"/>
        </w:rPr>
        <w:t>安排，较上年相比无变化</w:t>
      </w:r>
      <w:r>
        <w:rPr>
          <w:rFonts w:hint="eastAsia" w:cs="仿宋_GB2312"/>
          <w:color w:val="000000"/>
          <w:kern w:val="2"/>
          <w:sz w:val="32"/>
          <w:szCs w:val="32"/>
        </w:rPr>
        <w:t>。</w:t>
      </w:r>
    </w:p>
    <w:p w14:paraId="794E1F65">
      <w:pPr>
        <w:pStyle w:val="10"/>
        <w:spacing w:before="0" w:line="360" w:lineRule="auto"/>
        <w:ind w:firstLine="640" w:firstLineChars="200"/>
        <w:rPr>
          <w:rFonts w:hint="eastAsia" w:cs="仿宋_GB2312"/>
          <w:color w:val="000000"/>
          <w:kern w:val="2"/>
          <w:sz w:val="32"/>
          <w:szCs w:val="32"/>
          <w:lang w:val="en-US" w:eastAsia="zh-CN"/>
        </w:rPr>
      </w:pPr>
      <w:bookmarkStart w:id="0" w:name="_GoBack"/>
      <w:bookmarkEnd w:id="0"/>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单位</w:t>
      </w:r>
    </w:p>
    <w:p w14:paraId="7253D054">
      <w:pPr>
        <w:pStyle w:val="10"/>
        <w:spacing w:before="0" w:line="360" w:lineRule="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年初无政府采购预算。</w:t>
      </w:r>
    </w:p>
    <w:p w14:paraId="424267AD">
      <w:pPr>
        <w:pStyle w:val="10"/>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7C9C1DF5">
      <w:pPr>
        <w:widowControl/>
        <w:shd w:val="clear" w:color="auto" w:fill="FFFFFF"/>
        <w:spacing w:after="100" w:afterAutospacing="1" w:line="560" w:lineRule="atLeast"/>
        <w:ind w:firstLine="640"/>
        <w:jc w:val="left"/>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截至2022年12月31日，</w:t>
      </w:r>
      <w:r>
        <w:rPr>
          <w:rFonts w:hint="eastAsia" w:ascii="仿宋_GB2312" w:hAnsi="仿宋_GB2312" w:eastAsia="仿宋_GB2312" w:cs="仿宋_GB2312"/>
          <w:kern w:val="2"/>
          <w:sz w:val="32"/>
          <w:szCs w:val="32"/>
          <w:lang w:val="en-US" w:eastAsia="zh-CN"/>
        </w:rPr>
        <w:t>大熊猫国家公园阿坝管理分局</w:t>
      </w:r>
      <w:r>
        <w:rPr>
          <w:rFonts w:hint="eastAsia" w:ascii="仿宋_GB2312" w:hAnsi="仿宋_GB2312" w:eastAsia="仿宋_GB2312" w:cs="仿宋_GB2312"/>
          <w:kern w:val="2"/>
          <w:sz w:val="32"/>
          <w:szCs w:val="32"/>
        </w:rPr>
        <w:t>共有国有资产原值</w:t>
      </w:r>
      <w:r>
        <w:rPr>
          <w:rFonts w:hint="eastAsia" w:ascii="仿宋_GB2312" w:hAnsi="仿宋_GB2312" w:eastAsia="仿宋_GB2312" w:cs="仿宋_GB2312"/>
          <w:kern w:val="2"/>
          <w:sz w:val="32"/>
          <w:szCs w:val="32"/>
          <w:lang w:val="en-US" w:eastAsia="zh-CN"/>
        </w:rPr>
        <w:t>240.45</w:t>
      </w:r>
      <w:r>
        <w:rPr>
          <w:rFonts w:hint="eastAsia" w:ascii="仿宋_GB2312" w:hAnsi="仿宋_GB2312" w:eastAsia="仿宋_GB2312" w:cs="仿宋_GB2312"/>
          <w:kern w:val="2"/>
          <w:sz w:val="32"/>
          <w:szCs w:val="32"/>
        </w:rPr>
        <w:t>万元，折旧</w:t>
      </w:r>
      <w:r>
        <w:rPr>
          <w:rFonts w:hint="eastAsia" w:ascii="仿宋_GB2312" w:hAnsi="仿宋_GB2312" w:eastAsia="仿宋_GB2312" w:cs="仿宋_GB2312"/>
          <w:kern w:val="2"/>
          <w:sz w:val="32"/>
          <w:szCs w:val="32"/>
          <w:lang w:val="en-US" w:eastAsia="zh-CN"/>
        </w:rPr>
        <w:t>48.95</w:t>
      </w:r>
      <w:r>
        <w:rPr>
          <w:rFonts w:hint="eastAsia" w:ascii="仿宋_GB2312" w:hAnsi="仿宋_GB2312" w:eastAsia="仿宋_GB2312" w:cs="仿宋_GB2312"/>
          <w:kern w:val="2"/>
          <w:sz w:val="32"/>
          <w:szCs w:val="32"/>
        </w:rPr>
        <w:t>万元，净值</w:t>
      </w:r>
      <w:r>
        <w:rPr>
          <w:rFonts w:hint="eastAsia" w:ascii="仿宋_GB2312" w:hAnsi="仿宋_GB2312" w:eastAsia="仿宋_GB2312" w:cs="仿宋_GB2312"/>
          <w:kern w:val="2"/>
          <w:sz w:val="32"/>
          <w:szCs w:val="32"/>
          <w:lang w:val="en-US" w:eastAsia="zh-CN"/>
        </w:rPr>
        <w:t>191.5</w:t>
      </w:r>
      <w:r>
        <w:rPr>
          <w:rFonts w:hint="eastAsia" w:ascii="仿宋_GB2312" w:hAnsi="仿宋_GB2312" w:eastAsia="仿宋_GB2312" w:cs="仿宋_GB2312"/>
          <w:kern w:val="2"/>
          <w:sz w:val="32"/>
          <w:szCs w:val="32"/>
        </w:rPr>
        <w:t>万元。其中车辆数量</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辆，价值</w:t>
      </w:r>
      <w:r>
        <w:rPr>
          <w:rFonts w:hint="eastAsia" w:ascii="仿宋_GB2312" w:hAnsi="仿宋_GB2312" w:eastAsia="仿宋_GB2312" w:cs="仿宋_GB2312"/>
          <w:kern w:val="2"/>
          <w:sz w:val="32"/>
          <w:szCs w:val="32"/>
          <w:lang w:val="en-US" w:eastAsia="zh-CN"/>
        </w:rPr>
        <w:t>117.41</w:t>
      </w:r>
      <w:r>
        <w:rPr>
          <w:rFonts w:hint="eastAsia" w:ascii="仿宋_GB2312" w:hAnsi="仿宋_GB2312" w:eastAsia="仿宋_GB2312" w:cs="仿宋_GB2312"/>
          <w:kern w:val="2"/>
          <w:sz w:val="32"/>
          <w:szCs w:val="32"/>
        </w:rPr>
        <w:t>万元；其他资产</w:t>
      </w:r>
      <w:r>
        <w:rPr>
          <w:rFonts w:hint="eastAsia" w:ascii="仿宋_GB2312" w:hAnsi="仿宋_GB2312" w:eastAsia="仿宋_GB2312" w:cs="仿宋_GB2312"/>
          <w:kern w:val="2"/>
          <w:sz w:val="32"/>
          <w:szCs w:val="32"/>
          <w:lang w:val="en-US" w:eastAsia="zh-CN"/>
        </w:rPr>
        <w:t>123.04</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val="en-US" w:eastAsia="zh-CN"/>
        </w:rPr>
        <w:t>无形资产原值5.55万元。</w:t>
      </w:r>
    </w:p>
    <w:p w14:paraId="09D1759D">
      <w:pPr>
        <w:widowControl/>
        <w:shd w:val="clear" w:color="auto" w:fill="FFFFFF"/>
        <w:spacing w:after="100" w:afterAutospacing="1" w:line="560" w:lineRule="atLeast"/>
        <w:ind w:firstLine="640"/>
        <w:jc w:val="lef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（四）绩效目标设置情况</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2023年单位通用项目和专用项目均按要求实行绩效目标管理，涉及一般公共预算当年拨款</w:t>
      </w:r>
      <w:r>
        <w:rPr>
          <w:rFonts w:hint="eastAsia" w:ascii="仿宋_GB2312" w:hAnsi="仿宋_GB2312" w:eastAsia="仿宋_GB2312" w:cs="仿宋_GB2312"/>
          <w:kern w:val="2"/>
          <w:sz w:val="32"/>
          <w:szCs w:val="32"/>
          <w:lang w:val="en-US" w:eastAsia="zh-CN"/>
        </w:rPr>
        <w:t>714.59</w:t>
      </w:r>
      <w:r>
        <w:rPr>
          <w:rFonts w:hint="eastAsia" w:ascii="仿宋_GB2312" w:hAnsi="仿宋_GB2312" w:eastAsia="仿宋_GB2312" w:cs="仿宋_GB2312"/>
          <w:kern w:val="2"/>
          <w:sz w:val="32"/>
          <w:szCs w:val="32"/>
        </w:rPr>
        <w:t>万元。年初</w:t>
      </w:r>
      <w:r>
        <w:rPr>
          <w:rFonts w:hint="eastAsia" w:ascii="仿宋_GB2312" w:hAnsi="仿宋_GB2312" w:eastAsia="仿宋_GB2312" w:cs="仿宋_GB2312"/>
          <w:kern w:val="2"/>
          <w:sz w:val="32"/>
          <w:szCs w:val="32"/>
          <w:lang w:val="en-US" w:eastAsia="zh-CN"/>
        </w:rPr>
        <w:t>编制预算时</w:t>
      </w:r>
      <w:r>
        <w:rPr>
          <w:rFonts w:hint="eastAsia" w:ascii="仿宋_GB2312" w:hAnsi="仿宋_GB2312" w:eastAsia="仿宋_GB2312" w:cs="仿宋_GB2312"/>
          <w:kern w:val="2"/>
          <w:sz w:val="32"/>
          <w:szCs w:val="32"/>
        </w:rPr>
        <w:t>制定了明确、</w:t>
      </w:r>
      <w:r>
        <w:rPr>
          <w:rFonts w:hint="eastAsia" w:ascii="仿宋_GB2312" w:hAnsi="仿宋_GB2312" w:eastAsia="仿宋_GB2312" w:cs="仿宋_GB2312"/>
          <w:kern w:val="2"/>
          <w:sz w:val="32"/>
          <w:szCs w:val="32"/>
          <w:lang w:val="en-US" w:eastAsia="zh-CN"/>
        </w:rPr>
        <w:t>可量化</w:t>
      </w:r>
      <w:r>
        <w:rPr>
          <w:rFonts w:hint="eastAsia" w:ascii="仿宋_GB2312" w:hAnsi="仿宋_GB2312" w:eastAsia="仿宋_GB2312" w:cs="仿宋_GB2312"/>
          <w:kern w:val="2"/>
          <w:sz w:val="32"/>
          <w:szCs w:val="32"/>
        </w:rPr>
        <w:t>、可实现的绩效目标，</w:t>
      </w:r>
      <w:r>
        <w:rPr>
          <w:rFonts w:hint="eastAsia" w:ascii="仿宋_GB2312" w:hAnsi="仿宋_GB2312" w:eastAsia="仿宋_GB2312" w:cs="仿宋_GB2312"/>
          <w:kern w:val="2"/>
          <w:sz w:val="32"/>
          <w:szCs w:val="32"/>
          <w:lang w:val="en-US" w:eastAsia="zh-CN"/>
        </w:rPr>
        <w:t>绩效</w:t>
      </w:r>
      <w:r>
        <w:rPr>
          <w:rFonts w:hint="eastAsia" w:ascii="仿宋_GB2312" w:hAnsi="仿宋_GB2312" w:eastAsia="仿宋_GB2312" w:cs="仿宋_GB2312"/>
          <w:kern w:val="2"/>
          <w:sz w:val="32"/>
          <w:szCs w:val="32"/>
        </w:rPr>
        <w:t>目标涵盖了</w:t>
      </w:r>
      <w:r>
        <w:rPr>
          <w:rFonts w:hint="eastAsia" w:ascii="仿宋_GB2312" w:hAnsi="仿宋_GB2312" w:eastAsia="仿宋_GB2312" w:cs="仿宋_GB2312"/>
          <w:kern w:val="2"/>
          <w:sz w:val="32"/>
          <w:szCs w:val="32"/>
          <w:lang w:val="en-US" w:eastAsia="zh-CN"/>
        </w:rPr>
        <w:t>全年</w:t>
      </w:r>
      <w:r>
        <w:rPr>
          <w:rFonts w:hint="eastAsia" w:ascii="仿宋_GB2312" w:hAnsi="仿宋_GB2312" w:eastAsia="仿宋_GB2312" w:cs="仿宋_GB2312"/>
          <w:kern w:val="2"/>
          <w:sz w:val="32"/>
          <w:szCs w:val="32"/>
        </w:rPr>
        <w:t>工作的各个方面，包括工作任务完成情况</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宣传方式、对公众影响力和知晓度的提升等</w:t>
      </w:r>
      <w:r>
        <w:rPr>
          <w:rFonts w:hint="eastAsia" w:ascii="仿宋_GB2312" w:hAnsi="仿宋_GB2312" w:eastAsia="仿宋_GB2312" w:cs="仿宋_GB2312"/>
          <w:kern w:val="2"/>
          <w:sz w:val="32"/>
          <w:szCs w:val="32"/>
        </w:rPr>
        <w:t>。</w:t>
      </w:r>
    </w:p>
    <w:p w14:paraId="6E4AA79D">
      <w:pPr>
        <w:pStyle w:val="10"/>
        <w:spacing w:before="0" w:line="360" w:lineRule="auto"/>
        <w:ind w:firstLine="640" w:firstLineChars="200"/>
        <w:rPr>
          <w:rFonts w:ascii="黑体" w:hAnsi="黑体" w:eastAsia="黑体"/>
          <w:sz w:val="32"/>
          <w:szCs w:val="32"/>
        </w:rPr>
      </w:pPr>
    </w:p>
    <w:p w14:paraId="550A1D74">
      <w:pPr>
        <w:pStyle w:val="10"/>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FC02BBD">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4E640">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BF6F4"/>
    <w:multiLevelType w:val="singleLevel"/>
    <w:tmpl w:val="C36BF6F4"/>
    <w:lvl w:ilvl="0" w:tentative="0">
      <w:start w:val="1"/>
      <w:numFmt w:val="chineseCounting"/>
      <w:suff w:val="nothing"/>
      <w:lvlText w:val="（%1）"/>
      <w:lvlJc w:val="left"/>
      <w:pPr>
        <w:ind w:left="-643"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wMjBiMDE0NDAzMDYwOGJjM2NjMzIxY2I3MmFjYzY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DF14BB"/>
    <w:rsid w:val="00FC59D7"/>
    <w:rsid w:val="016F563F"/>
    <w:rsid w:val="039C5442"/>
    <w:rsid w:val="041C059C"/>
    <w:rsid w:val="04AB4B65"/>
    <w:rsid w:val="06350229"/>
    <w:rsid w:val="07674A16"/>
    <w:rsid w:val="088F0C61"/>
    <w:rsid w:val="08EF61C8"/>
    <w:rsid w:val="09A11A04"/>
    <w:rsid w:val="0A6A7694"/>
    <w:rsid w:val="0B986BE7"/>
    <w:rsid w:val="100703B4"/>
    <w:rsid w:val="11570513"/>
    <w:rsid w:val="13197D31"/>
    <w:rsid w:val="13472B5B"/>
    <w:rsid w:val="15073CD2"/>
    <w:rsid w:val="15DA0CF3"/>
    <w:rsid w:val="164003A4"/>
    <w:rsid w:val="16C5583A"/>
    <w:rsid w:val="17033CFE"/>
    <w:rsid w:val="173E0D48"/>
    <w:rsid w:val="177904B8"/>
    <w:rsid w:val="17B97E86"/>
    <w:rsid w:val="17F0312F"/>
    <w:rsid w:val="189E5B60"/>
    <w:rsid w:val="19AD7F51"/>
    <w:rsid w:val="1AE479A2"/>
    <w:rsid w:val="1B0406D7"/>
    <w:rsid w:val="1BB235FD"/>
    <w:rsid w:val="1BB30575"/>
    <w:rsid w:val="1C1D316C"/>
    <w:rsid w:val="1C3129DC"/>
    <w:rsid w:val="1D372261"/>
    <w:rsid w:val="1DB20E90"/>
    <w:rsid w:val="20361CB8"/>
    <w:rsid w:val="217D130F"/>
    <w:rsid w:val="221A5EA3"/>
    <w:rsid w:val="29566940"/>
    <w:rsid w:val="2A4325FB"/>
    <w:rsid w:val="2C5A5D16"/>
    <w:rsid w:val="2F6D5D61"/>
    <w:rsid w:val="2FCB74E2"/>
    <w:rsid w:val="30C95219"/>
    <w:rsid w:val="32A9610A"/>
    <w:rsid w:val="32BF7DF5"/>
    <w:rsid w:val="32E14A9C"/>
    <w:rsid w:val="34B41D3C"/>
    <w:rsid w:val="352B0A65"/>
    <w:rsid w:val="38673FDA"/>
    <w:rsid w:val="38D86941"/>
    <w:rsid w:val="38EF5A38"/>
    <w:rsid w:val="3CD8599A"/>
    <w:rsid w:val="3DB53861"/>
    <w:rsid w:val="3E1E6982"/>
    <w:rsid w:val="3EA6303D"/>
    <w:rsid w:val="43BB0E80"/>
    <w:rsid w:val="4475692B"/>
    <w:rsid w:val="447E654B"/>
    <w:rsid w:val="45344EFF"/>
    <w:rsid w:val="45BF37A1"/>
    <w:rsid w:val="48EB0A3F"/>
    <w:rsid w:val="496D401D"/>
    <w:rsid w:val="4AEE5B50"/>
    <w:rsid w:val="4B35377F"/>
    <w:rsid w:val="4E0C1A49"/>
    <w:rsid w:val="51FD0A5E"/>
    <w:rsid w:val="55866F6E"/>
    <w:rsid w:val="56F92612"/>
    <w:rsid w:val="591C5F7E"/>
    <w:rsid w:val="5C293FC1"/>
    <w:rsid w:val="5D123920"/>
    <w:rsid w:val="5D8B5480"/>
    <w:rsid w:val="5E173E49"/>
    <w:rsid w:val="61693C9D"/>
    <w:rsid w:val="622D2FAA"/>
    <w:rsid w:val="64CC0F4B"/>
    <w:rsid w:val="64DA557F"/>
    <w:rsid w:val="657D5FF6"/>
    <w:rsid w:val="696C3C33"/>
    <w:rsid w:val="6B673089"/>
    <w:rsid w:val="6CB57E24"/>
    <w:rsid w:val="6EE626A9"/>
    <w:rsid w:val="7175666D"/>
    <w:rsid w:val="72084E9A"/>
    <w:rsid w:val="72E40557"/>
    <w:rsid w:val="732E6EBC"/>
    <w:rsid w:val="74B04AEF"/>
    <w:rsid w:val="76A333E3"/>
    <w:rsid w:val="78F66093"/>
    <w:rsid w:val="794B5DCC"/>
    <w:rsid w:val="7A757FAC"/>
    <w:rsid w:val="7AE4629A"/>
    <w:rsid w:val="7BEA3ECF"/>
    <w:rsid w:val="7EE32C29"/>
    <w:rsid w:val="7F482D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5"/>
    <w:next w:val="1"/>
    <w:autoRedefine/>
    <w:qFormat/>
    <w:uiPriority w:val="0"/>
    <w:pPr>
      <w:widowControl w:val="0"/>
      <w:ind w:left="1680"/>
      <w:jc w:val="both"/>
    </w:pPr>
    <w:rPr>
      <w:rFonts w:ascii="Calibri" w:hAnsi="Calibri" w:eastAsia="宋体" w:cs="Times New Roman"/>
      <w:kern w:val="2"/>
      <w:sz w:val="21"/>
      <w:szCs w:val="20"/>
      <w:lang w:val="en-US" w:eastAsia="zh-CN" w:bidi="ar-SA"/>
    </w:rPr>
  </w:style>
  <w:style w:type="paragraph" w:styleId="3">
    <w:name w:val="Normal Indent"/>
    <w:next w:val="2"/>
    <w:autoRedefine/>
    <w:qFormat/>
    <w:uiPriority w:val="0"/>
    <w:pPr>
      <w:widowControl w:val="0"/>
      <w:ind w:firstLine="200" w:firstLineChars="200"/>
      <w:jc w:val="both"/>
    </w:pPr>
    <w:rPr>
      <w:rFonts w:ascii="Calibri" w:hAnsi="Calibri" w:eastAsia="宋体" w:cs="Arial"/>
      <w:kern w:val="2"/>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index 7"/>
    <w:next w:val="1"/>
    <w:autoRedefine/>
    <w:qFormat/>
    <w:uiPriority w:val="0"/>
    <w:pPr>
      <w:widowControl w:val="0"/>
      <w:ind w:left="2520"/>
      <w:jc w:val="both"/>
    </w:pPr>
    <w:rPr>
      <w:rFonts w:ascii="Calibri" w:hAnsi="Calibri" w:eastAsia="宋体" w:cs="Times New Roman"/>
      <w:kern w:val="2"/>
      <w:sz w:val="21"/>
      <w:szCs w:val="20"/>
      <w:lang w:val="en-US" w:eastAsia="zh-CN" w:bidi="ar-SA"/>
    </w:rPr>
  </w:style>
  <w:style w:type="paragraph" w:styleId="9">
    <w:name w:val="List Paragraph"/>
    <w:basedOn w:val="1"/>
    <w:autoRedefine/>
    <w:qFormat/>
    <w:uiPriority w:val="99"/>
    <w:pPr>
      <w:ind w:firstLine="420" w:firstLineChars="200"/>
    </w:pPr>
  </w:style>
  <w:style w:type="paragraph" w:customStyle="1" w:styleId="10">
    <w:name w:val="正文文本1"/>
    <w:basedOn w:val="1"/>
    <w:autoRedefine/>
    <w:qFormat/>
    <w:uiPriority w:val="99"/>
    <w:pPr>
      <w:spacing w:before="93"/>
    </w:pPr>
    <w:rPr>
      <w:rFonts w:ascii="仿宋_GB2312" w:hAnsi="仿宋_GB2312" w:eastAsia="仿宋_GB2312"/>
      <w:kern w:val="0"/>
      <w:sz w:val="30"/>
      <w:szCs w:val="20"/>
    </w:rPr>
  </w:style>
  <w:style w:type="character" w:customStyle="1" w:styleId="11">
    <w:name w:val="UserStyle_0 Char"/>
    <w:basedOn w:val="8"/>
    <w:link w:val="12"/>
    <w:uiPriority w:val="0"/>
    <w:rPr>
      <w:rFonts w:ascii="Times New Roman" w:hAnsi="Times New Roman" w:eastAsia="宋体" w:cs="Arial"/>
      <w:sz w:val="20"/>
      <w:szCs w:val="20"/>
      <w:lang w:val="en-US" w:eastAsia="zh-CN" w:bidi="ar-SA"/>
    </w:rPr>
  </w:style>
  <w:style w:type="paragraph" w:customStyle="1" w:styleId="12">
    <w:name w:val="UserStyle_0"/>
    <w:next w:val="2"/>
    <w:link w:val="11"/>
    <w:qFormat/>
    <w:uiPriority w:val="0"/>
    <w:pPr>
      <w:spacing w:after="160" w:line="240" w:lineRule="exact"/>
      <w:textAlignment w:val="baseline"/>
    </w:pPr>
    <w:rPr>
      <w:rFonts w:ascii="Times New Roman" w:hAnsi="Times New Roman" w:eastAsia="宋体" w:cs="Arial"/>
      <w:sz w:val="20"/>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3563</Words>
  <Characters>4021</Characters>
  <Lines>13</Lines>
  <Paragraphs>3</Paragraphs>
  <TotalTime>59</TotalTime>
  <ScaleCrop>false</ScaleCrop>
  <LinksUpToDate>false</LinksUpToDate>
  <CharactersWithSpaces>4047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Lenovo</cp:lastModifiedBy>
  <cp:lastPrinted>2018-01-30T09:39:00Z</cp:lastPrinted>
  <dcterms:modified xsi:type="dcterms:W3CDTF">2024-08-12T02:06:45Z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E809EC56CBC4421D8E7CA86032812298</vt:lpwstr>
  </property>
</Properties>
</file>