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EA8E1F">
      <w:pPr>
        <w:rPr>
          <w:rFonts w:ascii="黑体" w:eastAsia="黑体"/>
          <w:sz w:val="32"/>
          <w:szCs w:val="32"/>
        </w:rPr>
      </w:pPr>
    </w:p>
    <w:p w14:paraId="671D3E92"/>
    <w:p w14:paraId="72228771"/>
    <w:p w14:paraId="7916956E"/>
    <w:p w14:paraId="78D9381A">
      <w:pPr>
        <w:ind w:firstLine="1050" w:firstLineChars="500"/>
      </w:pPr>
    </w:p>
    <w:p w14:paraId="51ED0B7F">
      <w:pPr>
        <w:ind w:firstLine="1050" w:firstLineChars="500"/>
      </w:pPr>
    </w:p>
    <w:p w14:paraId="5DE1899D">
      <w:pPr>
        <w:ind w:firstLine="1760" w:firstLineChars="400"/>
        <w:rPr>
          <w:rFonts w:ascii="黑体" w:eastAsia="黑体"/>
          <w:sz w:val="44"/>
          <w:szCs w:val="44"/>
        </w:rPr>
      </w:pPr>
    </w:p>
    <w:p w14:paraId="06CB3775">
      <w:pPr>
        <w:ind w:firstLine="1760" w:firstLineChars="400"/>
        <w:rPr>
          <w:rFonts w:ascii="黑体" w:eastAsia="黑体"/>
          <w:sz w:val="44"/>
          <w:szCs w:val="44"/>
        </w:rPr>
      </w:pPr>
    </w:p>
    <w:p w14:paraId="2CD7365B">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right="0" w:firstLine="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四川省龙日种畜场</w:t>
      </w:r>
    </w:p>
    <w:p w14:paraId="4C5EC670">
      <w:pPr>
        <w:jc w:val="center"/>
        <w:rPr>
          <w:rFonts w:ascii="黑体" w:eastAsia="黑体"/>
          <w:sz w:val="44"/>
          <w:szCs w:val="44"/>
        </w:rPr>
      </w:pPr>
      <w:r>
        <w:rPr>
          <w:rFonts w:ascii="黑体" w:eastAsia="黑体"/>
          <w:sz w:val="44"/>
          <w:szCs w:val="44"/>
        </w:rPr>
        <w:t>2025</w:t>
      </w:r>
      <w:r>
        <w:rPr>
          <w:rFonts w:hint="eastAsia" w:ascii="黑体" w:eastAsia="黑体"/>
          <w:sz w:val="44"/>
          <w:szCs w:val="44"/>
        </w:rPr>
        <w:t>年部门预算</w:t>
      </w:r>
    </w:p>
    <w:p w14:paraId="6FF845C1">
      <w:pPr>
        <w:ind w:firstLine="1760" w:firstLineChars="400"/>
        <w:rPr>
          <w:rFonts w:ascii="黑体" w:eastAsia="黑体"/>
          <w:sz w:val="44"/>
          <w:szCs w:val="44"/>
        </w:rPr>
      </w:pPr>
    </w:p>
    <w:p w14:paraId="53220DD6">
      <w:pPr>
        <w:ind w:firstLine="1760" w:firstLineChars="400"/>
        <w:rPr>
          <w:rFonts w:ascii="黑体" w:eastAsia="黑体"/>
          <w:sz w:val="44"/>
          <w:szCs w:val="44"/>
        </w:rPr>
      </w:pPr>
    </w:p>
    <w:p w14:paraId="5BC9957A">
      <w:pPr>
        <w:ind w:firstLine="1760" w:firstLineChars="400"/>
        <w:rPr>
          <w:rFonts w:ascii="黑体" w:eastAsia="黑体"/>
          <w:sz w:val="44"/>
          <w:szCs w:val="44"/>
        </w:rPr>
      </w:pPr>
    </w:p>
    <w:p w14:paraId="18140851">
      <w:pPr>
        <w:ind w:firstLine="1760" w:firstLineChars="400"/>
        <w:rPr>
          <w:rFonts w:ascii="黑体" w:eastAsia="黑体"/>
          <w:sz w:val="44"/>
          <w:szCs w:val="44"/>
        </w:rPr>
      </w:pPr>
    </w:p>
    <w:p w14:paraId="77C2B3F1">
      <w:pPr>
        <w:ind w:firstLine="1760" w:firstLineChars="400"/>
        <w:rPr>
          <w:rFonts w:ascii="黑体" w:eastAsia="黑体"/>
          <w:sz w:val="44"/>
          <w:szCs w:val="44"/>
        </w:rPr>
      </w:pPr>
    </w:p>
    <w:p w14:paraId="58452CA2">
      <w:pPr>
        <w:ind w:firstLine="1760" w:firstLineChars="400"/>
        <w:rPr>
          <w:rFonts w:ascii="黑体" w:eastAsia="黑体"/>
          <w:sz w:val="44"/>
          <w:szCs w:val="44"/>
        </w:rPr>
      </w:pPr>
    </w:p>
    <w:p w14:paraId="28F9BB64">
      <w:pPr>
        <w:ind w:firstLine="1760" w:firstLineChars="400"/>
        <w:rPr>
          <w:rFonts w:ascii="黑体" w:eastAsia="黑体"/>
          <w:sz w:val="44"/>
          <w:szCs w:val="44"/>
        </w:rPr>
      </w:pPr>
    </w:p>
    <w:p w14:paraId="37C5F321">
      <w:pPr>
        <w:ind w:firstLine="1760" w:firstLineChars="400"/>
        <w:rPr>
          <w:rFonts w:ascii="黑体" w:eastAsia="黑体"/>
          <w:sz w:val="44"/>
          <w:szCs w:val="44"/>
        </w:rPr>
      </w:pPr>
    </w:p>
    <w:p w14:paraId="322AB3F7">
      <w:pPr>
        <w:ind w:firstLine="1760" w:firstLineChars="400"/>
        <w:rPr>
          <w:rFonts w:ascii="黑体" w:eastAsia="黑体"/>
          <w:sz w:val="44"/>
          <w:szCs w:val="44"/>
        </w:rPr>
      </w:pPr>
    </w:p>
    <w:p w14:paraId="370EA1C5">
      <w:pPr>
        <w:ind w:firstLine="1760" w:firstLineChars="400"/>
        <w:rPr>
          <w:rFonts w:ascii="黑体" w:eastAsia="黑体"/>
          <w:sz w:val="44"/>
          <w:szCs w:val="44"/>
        </w:rPr>
      </w:pPr>
    </w:p>
    <w:p w14:paraId="4C96B65F">
      <w:pPr>
        <w:ind w:firstLine="1760" w:firstLineChars="400"/>
        <w:rPr>
          <w:rFonts w:ascii="黑体" w:eastAsia="黑体"/>
          <w:sz w:val="44"/>
          <w:szCs w:val="44"/>
        </w:rPr>
      </w:pPr>
    </w:p>
    <w:p w14:paraId="6FFC47BB">
      <w:pPr>
        <w:ind w:firstLine="1760" w:firstLineChars="400"/>
        <w:rPr>
          <w:rFonts w:ascii="黑体" w:eastAsia="黑体"/>
          <w:sz w:val="44"/>
          <w:szCs w:val="44"/>
        </w:rPr>
      </w:pPr>
    </w:p>
    <w:p w14:paraId="5F413C38">
      <w:pPr>
        <w:ind w:firstLine="1760" w:firstLineChars="400"/>
        <w:rPr>
          <w:rFonts w:ascii="黑体" w:eastAsia="黑体"/>
          <w:sz w:val="44"/>
          <w:szCs w:val="44"/>
        </w:rPr>
      </w:pPr>
    </w:p>
    <w:p w14:paraId="1CAD2F0D">
      <w:pPr>
        <w:ind w:firstLine="1760" w:firstLineChars="400"/>
        <w:rPr>
          <w:rFonts w:ascii="黑体" w:eastAsia="黑体"/>
          <w:sz w:val="44"/>
          <w:szCs w:val="44"/>
        </w:rPr>
      </w:pPr>
    </w:p>
    <w:p w14:paraId="11A491CE">
      <w:pPr>
        <w:rPr>
          <w:rFonts w:ascii="黑体" w:eastAsia="黑体"/>
          <w:sz w:val="44"/>
          <w:szCs w:val="44"/>
        </w:rPr>
      </w:pPr>
    </w:p>
    <w:p w14:paraId="3EE6FC69">
      <w:pPr>
        <w:ind w:firstLine="3120" w:firstLineChars="600"/>
        <w:rPr>
          <w:rFonts w:ascii="黑体" w:eastAsia="黑体"/>
          <w:sz w:val="52"/>
          <w:szCs w:val="52"/>
        </w:rPr>
      </w:pPr>
      <w:r>
        <w:rPr>
          <w:rFonts w:hint="eastAsia" w:ascii="黑体" w:eastAsia="黑体"/>
          <w:sz w:val="52"/>
          <w:szCs w:val="52"/>
        </w:rPr>
        <w:t>目录</w:t>
      </w:r>
    </w:p>
    <w:p w14:paraId="7EE45C97">
      <w:pPr>
        <w:ind w:firstLine="3080" w:firstLineChars="700"/>
        <w:rPr>
          <w:rFonts w:ascii="黑体" w:eastAsia="黑体"/>
          <w:sz w:val="44"/>
          <w:szCs w:val="44"/>
        </w:rPr>
      </w:pPr>
    </w:p>
    <w:p w14:paraId="0FBAE90D">
      <w:pPr>
        <w:pStyle w:val="11"/>
        <w:ind w:firstLine="0" w:firstLineChars="0"/>
        <w:rPr>
          <w:rFonts w:ascii="黑体" w:eastAsia="黑体"/>
          <w:sz w:val="32"/>
          <w:szCs w:val="32"/>
        </w:rPr>
      </w:pPr>
      <w:r>
        <w:rPr>
          <w:rFonts w:hint="eastAsia" w:ascii="黑体" w:eastAsia="黑体"/>
          <w:sz w:val="32"/>
          <w:szCs w:val="32"/>
        </w:rPr>
        <w:t>一、基本职能及主要工作</w:t>
      </w:r>
    </w:p>
    <w:p w14:paraId="2794DC2D">
      <w:pPr>
        <w:rPr>
          <w:rFonts w:ascii="楷体" w:eastAsia="楷体"/>
          <w:sz w:val="32"/>
          <w:szCs w:val="32"/>
        </w:rPr>
      </w:pPr>
      <w:r>
        <w:rPr>
          <w:rFonts w:hint="eastAsia" w:ascii="楷体" w:eastAsia="楷体"/>
          <w:sz w:val="32"/>
          <w:szCs w:val="32"/>
        </w:rPr>
        <w:t>（一）部门职能简介</w:t>
      </w:r>
    </w:p>
    <w:p w14:paraId="361A0E4B">
      <w:pPr>
        <w:rPr>
          <w:rFonts w:ascii="楷体" w:eastAsia="楷体"/>
          <w:sz w:val="32"/>
          <w:szCs w:val="32"/>
        </w:rPr>
      </w:pPr>
      <w:r>
        <w:rPr>
          <w:rFonts w:hint="eastAsia" w:ascii="楷体" w:eastAsia="楷体"/>
          <w:sz w:val="32"/>
          <w:szCs w:val="32"/>
        </w:rPr>
        <w:t>（二）</w:t>
      </w:r>
      <w:r>
        <w:rPr>
          <w:rFonts w:ascii="楷体" w:eastAsia="楷体"/>
          <w:sz w:val="32"/>
          <w:szCs w:val="32"/>
        </w:rPr>
        <w:t>2025</w:t>
      </w:r>
      <w:r>
        <w:rPr>
          <w:rFonts w:hint="eastAsia" w:ascii="楷体" w:eastAsia="楷体"/>
          <w:sz w:val="32"/>
          <w:szCs w:val="32"/>
        </w:rPr>
        <w:t>年重点工作</w:t>
      </w:r>
    </w:p>
    <w:p w14:paraId="32D55A2E">
      <w:pPr>
        <w:rPr>
          <w:rFonts w:ascii="黑体" w:eastAsia="黑体"/>
          <w:sz w:val="32"/>
          <w:szCs w:val="32"/>
        </w:rPr>
      </w:pPr>
      <w:r>
        <w:rPr>
          <w:rFonts w:hint="eastAsia" w:ascii="黑体" w:eastAsia="黑体"/>
          <w:sz w:val="32"/>
          <w:szCs w:val="32"/>
        </w:rPr>
        <w:t>二、部门预算单位构成</w:t>
      </w:r>
    </w:p>
    <w:p w14:paraId="0D55CA10">
      <w:pPr>
        <w:rPr>
          <w:rFonts w:ascii="黑体" w:eastAsia="黑体"/>
          <w:sz w:val="32"/>
          <w:szCs w:val="32"/>
        </w:rPr>
      </w:pPr>
      <w:r>
        <w:rPr>
          <w:rFonts w:hint="eastAsia" w:ascii="黑体" w:eastAsia="黑体"/>
          <w:sz w:val="32"/>
          <w:szCs w:val="32"/>
        </w:rPr>
        <w:t>三、收支预算情况说明</w:t>
      </w:r>
    </w:p>
    <w:p w14:paraId="5487D99A">
      <w:pPr>
        <w:rPr>
          <w:rFonts w:ascii="楷体" w:eastAsia="楷体"/>
          <w:sz w:val="32"/>
          <w:szCs w:val="32"/>
        </w:rPr>
      </w:pPr>
      <w:r>
        <w:rPr>
          <w:rFonts w:hint="eastAsia" w:ascii="楷体" w:eastAsia="楷体"/>
          <w:sz w:val="32"/>
          <w:szCs w:val="32"/>
        </w:rPr>
        <w:t>（一）收入预算情况</w:t>
      </w:r>
    </w:p>
    <w:p w14:paraId="18493329">
      <w:pPr>
        <w:rPr>
          <w:rFonts w:ascii="楷体" w:eastAsia="楷体"/>
          <w:sz w:val="32"/>
          <w:szCs w:val="32"/>
        </w:rPr>
      </w:pPr>
      <w:r>
        <w:rPr>
          <w:rFonts w:hint="eastAsia" w:ascii="楷体" w:eastAsia="楷体"/>
          <w:sz w:val="32"/>
          <w:szCs w:val="32"/>
        </w:rPr>
        <w:t>（二）支出预算情况</w:t>
      </w:r>
    </w:p>
    <w:p w14:paraId="7070C1C1">
      <w:pPr>
        <w:rPr>
          <w:rFonts w:ascii="黑体" w:eastAsia="黑体"/>
          <w:sz w:val="32"/>
          <w:szCs w:val="32"/>
        </w:rPr>
      </w:pPr>
      <w:r>
        <w:rPr>
          <w:rFonts w:hint="eastAsia" w:ascii="黑体" w:eastAsia="黑体"/>
          <w:sz w:val="32"/>
          <w:szCs w:val="32"/>
        </w:rPr>
        <w:t>四、财政拨款收支预算情况说明</w:t>
      </w:r>
    </w:p>
    <w:p w14:paraId="32E4E4C9">
      <w:pPr>
        <w:rPr>
          <w:rFonts w:ascii="黑体" w:eastAsia="黑体"/>
          <w:sz w:val="32"/>
          <w:szCs w:val="32"/>
        </w:rPr>
      </w:pPr>
      <w:r>
        <w:rPr>
          <w:rFonts w:hint="eastAsia" w:ascii="黑体" w:eastAsia="黑体"/>
          <w:sz w:val="32"/>
          <w:szCs w:val="32"/>
        </w:rPr>
        <w:t>五、一般公共预算当年拨款情况说明</w:t>
      </w:r>
    </w:p>
    <w:p w14:paraId="1C87B30B">
      <w:pPr>
        <w:rPr>
          <w:rFonts w:ascii="黑体" w:eastAsia="黑体"/>
          <w:sz w:val="32"/>
          <w:szCs w:val="32"/>
        </w:rPr>
      </w:pPr>
      <w:r>
        <w:rPr>
          <w:rFonts w:hint="eastAsia" w:ascii="楷体" w:eastAsia="楷体"/>
          <w:sz w:val="32"/>
          <w:szCs w:val="32"/>
        </w:rPr>
        <w:t>（一）一般公共预算当年拨款规模变化情况</w:t>
      </w:r>
      <w:r>
        <w:rPr>
          <w:rFonts w:ascii="楷体" w:eastAsia="楷体"/>
          <w:sz w:val="32"/>
          <w:szCs w:val="32"/>
        </w:rPr>
        <w:br w:type="textWrapping"/>
      </w:r>
      <w:r>
        <w:rPr>
          <w:rFonts w:hint="eastAsia" w:ascii="楷体" w:eastAsia="楷体"/>
          <w:sz w:val="32"/>
          <w:szCs w:val="32"/>
        </w:rPr>
        <w:t>（二）一般公共预算当年拨款结构情况</w:t>
      </w:r>
      <w:r>
        <w:rPr>
          <w:rFonts w:ascii="楷体" w:eastAsia="楷体"/>
          <w:sz w:val="32"/>
          <w:szCs w:val="32"/>
        </w:rPr>
        <w:br w:type="textWrapping"/>
      </w:r>
      <w:r>
        <w:rPr>
          <w:rFonts w:hint="eastAsia" w:ascii="楷体" w:eastAsia="楷体"/>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14:paraId="75585A2B">
      <w:pPr>
        <w:rPr>
          <w:rFonts w:ascii="黑体" w:eastAsia="黑体"/>
          <w:sz w:val="32"/>
          <w:szCs w:val="32"/>
        </w:rPr>
      </w:pPr>
    </w:p>
    <w:p w14:paraId="4B041058">
      <w:pPr>
        <w:widowControl/>
        <w:shd w:val="clear" w:color="auto" w:fill="FFFFFF"/>
        <w:spacing w:before="100" w:beforeAutospacing="1" w:after="100" w:afterAutospacing="1" w:line="290" w:lineRule="atLeast"/>
        <w:ind w:right="300"/>
        <w:jc w:val="left"/>
        <w:rPr>
          <w:rFonts w:ascii="??" w:hAnsi="??" w:cs="宋体"/>
          <w:kern w:val="0"/>
          <w:sz w:val="12"/>
          <w:szCs w:val="12"/>
        </w:rPr>
      </w:pPr>
    </w:p>
    <w:p w14:paraId="008EEEAF">
      <w:pPr>
        <w:pStyle w:val="11"/>
        <w:rPr>
          <w:rFonts w:ascii="黑体" w:eastAsia="黑体"/>
          <w:sz w:val="32"/>
          <w:szCs w:val="32"/>
        </w:rPr>
      </w:pPr>
      <w:r>
        <w:rPr>
          <w:rFonts w:hint="eastAsia" w:ascii="黑体" w:eastAsia="黑体"/>
          <w:sz w:val="32"/>
          <w:szCs w:val="32"/>
        </w:rPr>
        <w:t>一、基本职能及主要工作</w:t>
      </w:r>
    </w:p>
    <w:p w14:paraId="61E446B1">
      <w:pPr>
        <w:ind w:firstLine="640" w:firstLineChars="200"/>
        <w:rPr>
          <w:rFonts w:ascii="楷体" w:eastAsia="楷体"/>
          <w:sz w:val="32"/>
          <w:szCs w:val="32"/>
        </w:rPr>
      </w:pPr>
      <w:r>
        <w:rPr>
          <w:rFonts w:hint="eastAsia" w:ascii="楷体" w:eastAsia="楷体"/>
          <w:sz w:val="32"/>
          <w:szCs w:val="32"/>
        </w:rPr>
        <w:t>（一）部门职能简介</w:t>
      </w:r>
    </w:p>
    <w:p w14:paraId="48457456">
      <w:pPr>
        <w:pStyle w:val="12"/>
        <w:keepNext w:val="0"/>
        <w:keepLines w:val="0"/>
        <w:pageBreakBefore w:val="0"/>
        <w:widowControl w:val="0"/>
        <w:kinsoku/>
        <w:wordWrap/>
        <w:overflowPunct/>
        <w:autoSpaceDE/>
        <w:autoSpaceDN/>
        <w:bidi w:val="0"/>
        <w:spacing w:before="0" w:line="600" w:lineRule="exact"/>
        <w:ind w:left="0" w:firstLine="640" w:firstLineChars="200"/>
        <w:rPr>
          <w:rFonts w:hint="eastAsia" w:cs="仿宋_GB2312"/>
          <w:kern w:val="2"/>
          <w:sz w:val="32"/>
          <w:szCs w:val="32"/>
          <w:lang w:val="en-US" w:eastAsia="zh-CN"/>
        </w:rPr>
      </w:pPr>
      <w:r>
        <w:rPr>
          <w:rFonts w:hint="eastAsia" w:cs="仿宋_GB2312"/>
          <w:kern w:val="2"/>
          <w:sz w:val="32"/>
          <w:szCs w:val="32"/>
          <w:lang w:val="en-US" w:eastAsia="zh-CN"/>
        </w:rPr>
        <w:t>四川省龙日种畜场的前身为四川省龙日农场，于1954年5月成立，由四川省公安厅劳改局主管；1971年更名为龙日军马场，移交成都军区后勤部主管；1975年移交四川省畜牧局主管，更名为四川省龙日种畜场；2014年四川省畜牧食品局与四川省农业厅进行机构整合，撤销四川省畜牧食品局，主管部门变更为四川省农业厅；2016年12月，四川省龙日种畜场由四川省农业厅整体移交阿坝州人民政府管理，并将科研与社会管理职能分离，由红原人民政府负责社会管理职能。</w:t>
      </w:r>
    </w:p>
    <w:p w14:paraId="426A6C2F">
      <w:pPr>
        <w:pStyle w:val="12"/>
        <w:keepNext w:val="0"/>
        <w:keepLines w:val="0"/>
        <w:pageBreakBefore w:val="0"/>
        <w:widowControl w:val="0"/>
        <w:kinsoku/>
        <w:wordWrap/>
        <w:overflowPunct/>
        <w:autoSpaceDE/>
        <w:autoSpaceDN/>
        <w:bidi w:val="0"/>
        <w:spacing w:before="0" w:line="600" w:lineRule="exact"/>
        <w:ind w:left="0" w:firstLine="640" w:firstLineChars="200"/>
        <w:rPr>
          <w:rFonts w:hint="eastAsia" w:cs="仿宋_GB2312"/>
          <w:kern w:val="2"/>
          <w:sz w:val="32"/>
          <w:szCs w:val="32"/>
          <w:lang w:val="en-US" w:eastAsia="zh-CN"/>
        </w:rPr>
      </w:pPr>
      <w:r>
        <w:rPr>
          <w:rFonts w:hint="eastAsia" w:cs="仿宋_GB2312"/>
          <w:kern w:val="2"/>
          <w:sz w:val="32"/>
          <w:szCs w:val="32"/>
          <w:lang w:val="en-US" w:eastAsia="zh-CN"/>
        </w:rPr>
        <w:t>按照阿编发〔2017〕8号文件规定，四川省龙日种畜场主要职能是承担高原牧区畜牧遗传资源保护和研究，保存麦洼牦牛、西藏羊、河曲马等珍稀遗传资源；承担牦牛、西藏羊、河曲马品种选育、良种扩繁与改良利用，为川西北牧区提供优良种畜；承担优良种畜引进、推广及牦牛、西藏羊、河曲马的科学养殖示范；承担草原植物资源和生物多样性保护、生态恢复及草地生态环境动态监测等研究；负责为川西北牧区草地畜牧业的科研、教学、新技术示范提供平台；指导牧民和科技人员开展高原畜牧业饲养管理、疫病防控等实用技术的培训，推动阿坝州及川西北牧区现代畜牧业发展。</w:t>
      </w:r>
    </w:p>
    <w:p w14:paraId="20A8D678">
      <w:pPr>
        <w:ind w:firstLine="640" w:firstLineChars="200"/>
        <w:rPr>
          <w:rFonts w:ascii="楷体" w:eastAsia="楷体"/>
          <w:sz w:val="32"/>
          <w:szCs w:val="32"/>
        </w:rPr>
      </w:pPr>
      <w:r>
        <w:rPr>
          <w:rFonts w:hint="eastAsia" w:ascii="楷体" w:eastAsia="楷体"/>
          <w:sz w:val="32"/>
          <w:szCs w:val="32"/>
        </w:rPr>
        <w:t>（二）</w:t>
      </w:r>
      <w:r>
        <w:rPr>
          <w:rFonts w:ascii="楷体" w:eastAsia="楷体"/>
          <w:sz w:val="32"/>
          <w:szCs w:val="32"/>
        </w:rPr>
        <w:t>2025</w:t>
      </w:r>
      <w:r>
        <w:rPr>
          <w:rFonts w:hint="eastAsia" w:ascii="楷体" w:eastAsia="楷体"/>
          <w:sz w:val="32"/>
          <w:szCs w:val="32"/>
        </w:rPr>
        <w:t>年重点工作</w:t>
      </w:r>
    </w:p>
    <w:p w14:paraId="3C2334A7">
      <w:pPr>
        <w:keepNext w:val="0"/>
        <w:keepLines w:val="0"/>
        <w:pageBreakBefore w:val="0"/>
        <w:kinsoku/>
        <w:wordWrap/>
        <w:overflowPunct/>
        <w:topLinePunct w:val="0"/>
        <w:autoSpaceDE/>
        <w:autoSpaceDN/>
        <w:bidi w:val="0"/>
        <w:adjustRightInd/>
        <w:snapToGrid/>
        <w:spacing w:line="576" w:lineRule="exact"/>
        <w:ind w:firstLine="644"/>
        <w:textAlignment w:val="auto"/>
        <w:rPr>
          <w:rFonts w:hint="eastAsia" w:ascii="仿宋_GB2312" w:eastAsia="仿宋_GB2312"/>
          <w:sz w:val="32"/>
          <w:szCs w:val="32"/>
        </w:rPr>
      </w:pPr>
      <w:r>
        <w:rPr>
          <w:rFonts w:eastAsia="仿宋_GB2312"/>
          <w:b/>
          <w:bCs/>
          <w:sz w:val="32"/>
          <w:szCs w:val="32"/>
        </w:rPr>
        <w:t>一是在保种育种上持续发力</w:t>
      </w:r>
      <w:r>
        <w:rPr>
          <w:rFonts w:hint="eastAsia" w:eastAsia="仿宋_GB2312"/>
          <w:b/>
          <w:bCs/>
          <w:sz w:val="32"/>
          <w:szCs w:val="32"/>
        </w:rPr>
        <w:t>。</w:t>
      </w:r>
      <w:r>
        <w:rPr>
          <w:rFonts w:hint="eastAsia" w:ascii="仿宋_GB2312" w:hAnsi="Calibri" w:eastAsia="仿宋_GB2312" w:cs="仿宋_GB2312"/>
          <w:kern w:val="2"/>
          <w:sz w:val="32"/>
          <w:szCs w:val="32"/>
          <w:lang w:val="en-US" w:eastAsia="zh-CN" w:bidi="ar-SA"/>
        </w:rPr>
        <w:t>认真学习贯彻习近平总书记重要指示精神，按照各级政府、有关部门关于现代种业振兴的决策部署要求，潜心钻研，大力发展新质生产力。认真开展牦牛、西藏羊、河曲马的保种选育工作，以良种、良法为切入点，研究本品种选育技术，不断提高生长生产性能，保护好优良遗传资源；规范、安全管理牦牛原种场、藏绵羊原种场和河曲马保种场，加强牲畜高效养殖和疫病防控，确保无重大疾病、传染病发生；同时，科学</w:t>
      </w:r>
      <w:r>
        <w:rPr>
          <w:rFonts w:hint="eastAsia" w:ascii="仿宋_GB2312" w:eastAsia="仿宋_GB2312" w:cs="仿宋_GB2312"/>
          <w:kern w:val="2"/>
          <w:sz w:val="32"/>
          <w:szCs w:val="32"/>
          <w:lang w:val="en-US" w:eastAsia="zh-CN" w:bidi="ar-SA"/>
        </w:rPr>
        <w:t>地</w:t>
      </w:r>
      <w:r>
        <w:rPr>
          <w:rFonts w:hint="eastAsia" w:ascii="仿宋_GB2312" w:hAnsi="Calibri" w:eastAsia="仿宋_GB2312" w:cs="仿宋_GB2312"/>
          <w:kern w:val="2"/>
          <w:sz w:val="32"/>
          <w:szCs w:val="32"/>
          <w:lang w:val="en-US" w:eastAsia="zh-CN" w:bidi="ar-SA"/>
        </w:rPr>
        <w:t>开展杂交改良工作，充分利用种间杂交优势，提高个体生产性能。努力建设为全国具有影响力的牦牛产、学、研基地和良种牦牛繁育推广基地，建好国家级肉牛核心育种场和省级标准化养殖场。</w:t>
      </w:r>
    </w:p>
    <w:p w14:paraId="47DC614B">
      <w:pPr>
        <w:keepNext w:val="0"/>
        <w:keepLines w:val="0"/>
        <w:pageBreakBefore w:val="0"/>
        <w:kinsoku/>
        <w:wordWrap/>
        <w:overflowPunct/>
        <w:topLinePunct w:val="0"/>
        <w:autoSpaceDE/>
        <w:autoSpaceDN/>
        <w:bidi w:val="0"/>
        <w:adjustRightInd/>
        <w:snapToGrid/>
        <w:spacing w:line="576" w:lineRule="exact"/>
        <w:ind w:firstLine="644"/>
        <w:textAlignment w:val="auto"/>
        <w:rPr>
          <w:rFonts w:hint="eastAsia" w:ascii="仿宋_GB2312" w:hAnsi="Calibri" w:eastAsia="仿宋_GB2312" w:cs="仿宋_GB2312"/>
          <w:kern w:val="2"/>
          <w:sz w:val="32"/>
          <w:szCs w:val="32"/>
          <w:lang w:val="en-US" w:eastAsia="zh-CN" w:bidi="ar-SA"/>
        </w:rPr>
      </w:pPr>
      <w:r>
        <w:rPr>
          <w:rFonts w:ascii="Times New Roman" w:hAnsi="Times New Roman" w:eastAsia="仿宋_GB2312"/>
          <w:b/>
          <w:bCs/>
          <w:sz w:val="32"/>
          <w:szCs w:val="32"/>
          <w:lang w:bidi="ar-SA"/>
        </w:rPr>
        <w:t>二是在基础研究上持续发力</w:t>
      </w:r>
      <w:r>
        <w:rPr>
          <w:rFonts w:hint="eastAsia" w:ascii="仿宋_GB2312" w:eastAsia="仿宋_GB2312" w:cs="楷体_GB2312"/>
          <w:b/>
          <w:bCs/>
          <w:sz w:val="32"/>
          <w:szCs w:val="32"/>
          <w:lang w:bidi="ar-SA"/>
        </w:rPr>
        <w:t>。</w:t>
      </w:r>
      <w:r>
        <w:rPr>
          <w:rFonts w:hint="eastAsia" w:ascii="仿宋_GB2312" w:hAnsi="Calibri" w:eastAsia="仿宋_GB2312" w:cs="仿宋_GB2312"/>
          <w:kern w:val="2"/>
          <w:sz w:val="32"/>
          <w:szCs w:val="32"/>
          <w:lang w:val="en-US" w:eastAsia="zh-CN" w:bidi="ar-SA"/>
        </w:rPr>
        <w:t>积极申请落地科研项目，继续参与实施牛“十四五”育种攻关项目等省、州重点科研项目。加大科研力度，在</w:t>
      </w:r>
      <w:r>
        <w:rPr>
          <w:rFonts w:hint="eastAsia" w:ascii="仿宋_GB2312" w:eastAsia="仿宋_GB2312" w:cs="仿宋_GB2312"/>
          <w:kern w:val="2"/>
          <w:sz w:val="32"/>
          <w:szCs w:val="32"/>
          <w:lang w:val="en-US" w:eastAsia="zh-CN" w:bidi="ar-SA"/>
        </w:rPr>
        <w:t>品种</w:t>
      </w:r>
      <w:r>
        <w:rPr>
          <w:rFonts w:hint="eastAsia" w:ascii="仿宋_GB2312" w:hAnsi="Calibri" w:eastAsia="仿宋_GB2312" w:cs="仿宋_GB2312"/>
          <w:kern w:val="2"/>
          <w:sz w:val="32"/>
          <w:szCs w:val="32"/>
          <w:lang w:val="en-US" w:eastAsia="zh-CN" w:bidi="ar-SA"/>
        </w:rPr>
        <w:t>选育、杂交改良、高效养殖、疫病防治、牧草选育、饲草饲料加工等多个环节同时发力，大力开展畜牧基础研究工作，积极转化应用最新的科技成果，引导畜牧产业高质量发展，提高畜牧产业经济效益，</w:t>
      </w:r>
      <w:r>
        <w:rPr>
          <w:rFonts w:hint="default" w:ascii="仿宋_GB2312" w:hAnsi="Calibri" w:eastAsia="仿宋_GB2312" w:cs="仿宋_GB2312"/>
          <w:kern w:val="2"/>
          <w:sz w:val="32"/>
          <w:szCs w:val="32"/>
          <w:lang w:val="en-US" w:eastAsia="zh-CN" w:bidi="ar-SA"/>
        </w:rPr>
        <w:t>服务于全州牦牛产业和畜牧产业的发展</w:t>
      </w:r>
      <w:r>
        <w:rPr>
          <w:rFonts w:hint="eastAsia" w:ascii="仿宋_GB2312" w:hAnsi="Calibri" w:eastAsia="仿宋_GB2312" w:cs="仿宋_GB2312"/>
          <w:kern w:val="2"/>
          <w:sz w:val="32"/>
          <w:szCs w:val="32"/>
          <w:lang w:val="en-US" w:eastAsia="zh-CN" w:bidi="ar-SA"/>
        </w:rPr>
        <w:t>。</w:t>
      </w:r>
    </w:p>
    <w:p w14:paraId="01852BB7">
      <w:pPr>
        <w:pStyle w:val="12"/>
        <w:keepNext w:val="0"/>
        <w:keepLines w:val="0"/>
        <w:pageBreakBefore w:val="0"/>
        <w:widowControl w:val="0"/>
        <w:kinsoku/>
        <w:wordWrap/>
        <w:overflowPunct/>
        <w:autoSpaceDE/>
        <w:autoSpaceDN/>
        <w:bidi w:val="0"/>
        <w:spacing w:before="0" w:line="600" w:lineRule="exact"/>
        <w:ind w:left="0" w:firstLine="643" w:firstLineChars="200"/>
        <w:rPr>
          <w:rFonts w:hint="eastAsia" w:ascii="仿宋_GB2312" w:hAnsi="Calibri" w:eastAsia="仿宋_GB2312" w:cs="仿宋_GB2312"/>
          <w:kern w:val="2"/>
          <w:sz w:val="32"/>
          <w:szCs w:val="32"/>
          <w:lang w:val="en-US" w:eastAsia="zh-CN" w:bidi="ar-SA"/>
        </w:rPr>
      </w:pPr>
      <w:r>
        <w:rPr>
          <w:rFonts w:hint="eastAsia" w:ascii="Times New Roman" w:hAnsi="Times New Roman" w:eastAsia="仿宋_GB2312" w:cs="Times New Roman"/>
          <w:b/>
          <w:bCs/>
          <w:kern w:val="2"/>
          <w:sz w:val="32"/>
          <w:szCs w:val="32"/>
          <w:lang w:val="en-US" w:eastAsia="zh-CN" w:bidi="ar-SA"/>
        </w:rPr>
        <w:t>三是在养殖模式上持续发力。</w:t>
      </w:r>
      <w:r>
        <w:rPr>
          <w:rFonts w:hint="eastAsia" w:ascii="仿宋_GB2312" w:hAnsi="Calibri" w:eastAsia="仿宋_GB2312" w:cs="仿宋_GB2312"/>
          <w:kern w:val="2"/>
          <w:sz w:val="32"/>
          <w:szCs w:val="32"/>
          <w:lang w:val="en-US" w:eastAsia="zh-CN" w:bidi="ar-SA"/>
        </w:rPr>
        <w:t>按照州委、州政府制定出台的“三品一标”行动引领农牧业高质量发展的实施意见，“品种培优、品质提升、品牌打造和农业标准化生产”和省农业农村厅、省发展和改革委员会等六部门印发的《促进牦牛产业高质量发展政策措施》，开展适度规模标准化养殖技术研究集成，大力推进牦牛养殖方式转型升级，重点开展牦牛标准化养殖场建设，推广“放牧+补饲”“牧繁农育”等养殖方式。加强养殖技术培训，改变传统养殖理念，推广科学养殖模式，提高整体养殖水平，从而提高牦牛产业经济效益，为实现全州畜牧业高质量发展贡献积极力量。</w:t>
      </w:r>
    </w:p>
    <w:p w14:paraId="19F397B8">
      <w:pPr>
        <w:keepNext w:val="0"/>
        <w:keepLines w:val="0"/>
        <w:pageBreakBefore w:val="0"/>
        <w:kinsoku/>
        <w:wordWrap/>
        <w:overflowPunct/>
        <w:topLinePunct w:val="0"/>
        <w:autoSpaceDE/>
        <w:autoSpaceDN/>
        <w:bidi w:val="0"/>
        <w:adjustRightInd/>
        <w:snapToGrid/>
        <w:spacing w:line="576" w:lineRule="exact"/>
        <w:ind w:firstLine="644"/>
        <w:textAlignment w:val="auto"/>
        <w:rPr>
          <w:rFonts w:hint="eastAsia" w:ascii="仿宋_GB2312" w:hAnsi="Calibri" w:eastAsia="仿宋_GB2312" w:cs="仿宋_GB2312"/>
          <w:kern w:val="2"/>
          <w:sz w:val="32"/>
          <w:szCs w:val="32"/>
          <w:lang w:val="en-US" w:eastAsia="zh-CN" w:bidi="ar-SA"/>
        </w:rPr>
      </w:pPr>
      <w:r>
        <w:rPr>
          <w:rFonts w:ascii="Times New Roman" w:hAnsi="Times New Roman" w:eastAsia="仿宋_GB2312"/>
          <w:b/>
          <w:bCs/>
          <w:kern w:val="2"/>
          <w:sz w:val="32"/>
          <w:szCs w:val="32"/>
          <w:lang w:val="en-US" w:eastAsia="zh-CN" w:bidi="ar-SA"/>
        </w:rPr>
        <w:t>四是在对外合作上持续发力。</w:t>
      </w:r>
      <w:r>
        <w:rPr>
          <w:rFonts w:hint="eastAsia" w:ascii="仿宋_GB2312" w:hAnsi="Calibri" w:eastAsia="仿宋_GB2312" w:cs="仿宋_GB2312"/>
          <w:kern w:val="2"/>
          <w:sz w:val="32"/>
          <w:szCs w:val="32"/>
          <w:lang w:val="en-US" w:eastAsia="zh-CN" w:bidi="ar-SA"/>
        </w:rPr>
        <w:t>积极实施“走出去”战略，加强与省内外科研院所、科研团队战略合作，深化与西南民族大学、省农科院等单位的州校、院州合作，集聚高等院校和科研院所的力量，借力发力，充分发挥扎根牧区基层、面对牧民群众、基层经验丰富等优势，努力将单位建设为重大科研项目的实验场地、中试基地，鼓励并支持广大科技人员参加各类科研课题团队，共同申请项目、实施项目、转化成果、助推产业，在项目实施中成长锻炼。</w:t>
      </w:r>
    </w:p>
    <w:p w14:paraId="74B2A1D0">
      <w:pPr>
        <w:keepNext w:val="0"/>
        <w:keepLines w:val="0"/>
        <w:pageBreakBefore w:val="0"/>
        <w:kinsoku/>
        <w:wordWrap/>
        <w:overflowPunct/>
        <w:topLinePunct w:val="0"/>
        <w:autoSpaceDE/>
        <w:autoSpaceDN/>
        <w:bidi w:val="0"/>
        <w:adjustRightInd/>
        <w:snapToGrid/>
        <w:spacing w:line="576" w:lineRule="exact"/>
        <w:ind w:firstLine="644"/>
        <w:textAlignment w:val="auto"/>
        <w:rPr>
          <w:rFonts w:hint="eastAsia" w:ascii="仿宋_GB2312" w:hAnsi="Calibri" w:eastAsia="仿宋_GB2312" w:cs="仿宋_GB2312"/>
          <w:kern w:val="2"/>
          <w:sz w:val="32"/>
          <w:szCs w:val="32"/>
          <w:lang w:val="en-US" w:eastAsia="zh-CN" w:bidi="ar-SA"/>
        </w:rPr>
      </w:pPr>
      <w:r>
        <w:rPr>
          <w:rFonts w:hint="eastAsia" w:ascii="Times New Roman" w:hAnsi="Times New Roman" w:eastAsia="仿宋_GB2312"/>
          <w:b/>
          <w:bCs/>
          <w:kern w:val="2"/>
          <w:sz w:val="32"/>
          <w:szCs w:val="32"/>
          <w:lang w:val="en-US" w:eastAsia="zh-CN" w:bidi="ar-SA"/>
        </w:rPr>
        <w:t>五</w:t>
      </w:r>
      <w:r>
        <w:rPr>
          <w:rFonts w:ascii="Times New Roman" w:hAnsi="Times New Roman" w:eastAsia="仿宋_GB2312"/>
          <w:b/>
          <w:bCs/>
          <w:kern w:val="2"/>
          <w:sz w:val="32"/>
          <w:szCs w:val="32"/>
          <w:lang w:val="en-US" w:eastAsia="zh-CN" w:bidi="ar-SA"/>
        </w:rPr>
        <w:t>是在</w:t>
      </w:r>
      <w:r>
        <w:rPr>
          <w:rFonts w:hint="eastAsia" w:ascii="Times New Roman" w:hAnsi="Times New Roman" w:eastAsia="仿宋_GB2312"/>
          <w:b/>
          <w:bCs/>
          <w:kern w:val="2"/>
          <w:sz w:val="32"/>
          <w:szCs w:val="32"/>
          <w:lang w:val="en-US" w:eastAsia="zh-CN" w:bidi="ar-SA"/>
        </w:rPr>
        <w:t>草原生态研究上持续发力</w:t>
      </w:r>
      <w:r>
        <w:rPr>
          <w:rFonts w:ascii="Times New Roman" w:hAnsi="Times New Roman" w:eastAsia="仿宋_GB2312"/>
          <w:b/>
          <w:bCs/>
          <w:kern w:val="2"/>
          <w:sz w:val="32"/>
          <w:szCs w:val="32"/>
          <w:lang w:val="en-US" w:eastAsia="zh-CN" w:bidi="ar-SA"/>
        </w:rPr>
        <w:t>。</w:t>
      </w:r>
      <w:r>
        <w:rPr>
          <w:rFonts w:hint="eastAsia" w:ascii="仿宋_GB2312" w:hAnsi="Calibri" w:eastAsia="仿宋_GB2312" w:cs="仿宋_GB2312"/>
          <w:kern w:val="2"/>
          <w:sz w:val="32"/>
          <w:szCs w:val="32"/>
          <w:lang w:val="en-US" w:eastAsia="zh-CN" w:bidi="ar-SA"/>
        </w:rPr>
        <w:t>加强草种基地建设，打造草种基地科研实验平台，联合省草原科学研究院实施虉草、燕麦、川西肃草等牧草选育科研实验，联合四川农业大学、乐山师范学院实施免耕补播、天然草地改良等草原生态科研实验。继续推进《若尔盖草原鼠害生态防控关键技术研究与应用示范》后续研究工作，实施州级科技成果转化项目《高寒草原促草兴牧成果示范》。</w:t>
      </w:r>
    </w:p>
    <w:p w14:paraId="4F183170">
      <w:pPr>
        <w:pStyle w:val="12"/>
        <w:keepNext w:val="0"/>
        <w:keepLines w:val="0"/>
        <w:pageBreakBefore w:val="0"/>
        <w:widowControl w:val="0"/>
        <w:kinsoku/>
        <w:wordWrap/>
        <w:overflowPunct/>
        <w:autoSpaceDE/>
        <w:autoSpaceDN/>
        <w:bidi w:val="0"/>
        <w:spacing w:before="0" w:line="600" w:lineRule="exact"/>
        <w:ind w:left="0" w:firstLine="643" w:firstLineChars="200"/>
        <w:rPr>
          <w:rFonts w:hint="eastAsia" w:ascii="仿宋_GB2312" w:hAnsi="Calibri" w:eastAsia="仿宋_GB2312" w:cs="仿宋_GB2312"/>
          <w:kern w:val="2"/>
          <w:sz w:val="32"/>
          <w:szCs w:val="32"/>
          <w:lang w:val="en-US" w:eastAsia="zh-CN" w:bidi="ar-SA"/>
        </w:rPr>
      </w:pPr>
      <w:r>
        <w:rPr>
          <w:rFonts w:hint="eastAsia" w:ascii="Times New Roman" w:hAnsi="Times New Roman" w:eastAsia="仿宋_GB2312"/>
          <w:b/>
          <w:bCs/>
          <w:sz w:val="32"/>
          <w:szCs w:val="32"/>
          <w:lang w:eastAsia="zh-CN" w:bidi="ar-SA"/>
        </w:rPr>
        <w:t>六</w:t>
      </w:r>
      <w:r>
        <w:rPr>
          <w:rFonts w:ascii="Times New Roman" w:hAnsi="Times New Roman" w:eastAsia="仿宋_GB2312"/>
          <w:b/>
          <w:bCs/>
          <w:sz w:val="32"/>
          <w:szCs w:val="32"/>
          <w:lang w:bidi="ar-SA"/>
        </w:rPr>
        <w:t>是在服务产业服务群众上持续发力。</w:t>
      </w:r>
      <w:r>
        <w:rPr>
          <w:rFonts w:hint="eastAsia" w:ascii="仿宋_GB2312" w:hAnsi="Calibri" w:eastAsia="仿宋_GB2312" w:cs="仿宋_GB2312"/>
          <w:kern w:val="2"/>
          <w:sz w:val="32"/>
          <w:szCs w:val="32"/>
          <w:lang w:val="en-US" w:eastAsia="zh-CN" w:bidi="ar-SA"/>
        </w:rPr>
        <w:t>积极组织干部职工前往各县调研产业发展、前往优秀科研院所考察学习。结合畜禽种业保护研究多年成果，大力实施麦洼牦牛、西藏羊、河曲马等高原动物资源保护、品种培优、杂交改良等重点工程，积极参与全州发展具有阿坝高原特色的“大品种、大品牌、大基地、大企业”的现代农牧产业。将专利成果及先进养殖模式带到畜牧生产的最前线，为畜牧生产提供科学指导与服务。充分利用工作站，实现实验室、实验基地与生产一线之间的无缝衔接，并通过工作站的高效运转，逐步扩大服务范围，为产业与牧民群众提供更加优质的服务。全力运营好“贾洛绵羊科研工作站”，深入开展贾洛绵羊的资源调查、挖掘、鉴定申请及养殖技术培训等工作，确保贾洛绵羊遗传资源得到有效保护与合理利用。主动出击，积极拓展业务，深入金川、壤塘等县建立新的工作站，通过创新工作方式与拓展业务范围，实现科技成果向经济效益与社会效益转化最大化，把论文写在大地上，把科技成果运用在群众中。</w:t>
      </w:r>
    </w:p>
    <w:p w14:paraId="6CFD9513">
      <w:pPr>
        <w:pStyle w:val="11"/>
        <w:numPr>
          <w:ilvl w:val="0"/>
          <w:numId w:val="1"/>
        </w:numPr>
        <w:ind w:firstLineChars="0"/>
        <w:rPr>
          <w:rFonts w:ascii="黑体" w:eastAsia="黑体"/>
          <w:sz w:val="32"/>
          <w:szCs w:val="32"/>
        </w:rPr>
      </w:pPr>
      <w:r>
        <w:rPr>
          <w:rFonts w:hint="eastAsia" w:ascii="黑体" w:eastAsia="黑体"/>
          <w:sz w:val="32"/>
          <w:szCs w:val="32"/>
        </w:rPr>
        <w:t>部门预算单位构成</w:t>
      </w:r>
    </w:p>
    <w:p w14:paraId="5D9081A5">
      <w:pPr>
        <w:pStyle w:val="11"/>
        <w:keepNext w:val="0"/>
        <w:keepLines w:val="0"/>
        <w:pageBreakBefore w:val="0"/>
        <w:widowControl w:val="0"/>
        <w:kinsoku/>
        <w:wordWrap/>
        <w:overflowPunct/>
        <w:autoSpaceDE/>
        <w:autoSpaceDN/>
        <w:bidi w:val="0"/>
        <w:spacing w:line="600" w:lineRule="exact"/>
        <w:ind w:left="0" w:firstLine="640" w:firstLineChars="200"/>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我单位属一级预算单位，无下属二级预算单位。</w:t>
      </w:r>
    </w:p>
    <w:p w14:paraId="301C0202">
      <w:pPr>
        <w:pStyle w:val="11"/>
        <w:ind w:left="720" w:firstLine="0" w:firstLineChars="0"/>
        <w:rPr>
          <w:rFonts w:ascii="黑体" w:eastAsia="黑体"/>
          <w:sz w:val="32"/>
          <w:szCs w:val="32"/>
        </w:rPr>
      </w:pPr>
      <w:r>
        <w:rPr>
          <w:rFonts w:hint="eastAsia" w:ascii="黑体" w:eastAsia="黑体"/>
          <w:sz w:val="32"/>
          <w:szCs w:val="32"/>
        </w:rPr>
        <w:t>三、收支预算情况说明</w:t>
      </w:r>
    </w:p>
    <w:p w14:paraId="437D1B4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jc w:val="left"/>
        <w:textAlignment w:val="auto"/>
        <w:rPr>
          <w:rFonts w:hint="eastAsia" w:ascii="黑体" w:eastAsia="黑体"/>
          <w:sz w:val="32"/>
          <w:szCs w:val="32"/>
        </w:rPr>
      </w:pPr>
      <w:r>
        <w:rPr>
          <w:rFonts w:hint="eastAsia" w:ascii="仿宋_GB2312" w:hAnsi="Calibri" w:eastAsia="仿宋_GB2312" w:cs="仿宋_GB2312"/>
          <w:kern w:val="2"/>
          <w:sz w:val="32"/>
          <w:szCs w:val="32"/>
          <w:lang w:val="en-US" w:eastAsia="zh-CN" w:bidi="ar-SA"/>
        </w:rPr>
        <w:t>按照综合预算的原则，单位所有收入和支出均纳入部门预算管理。收入包括：一般公共预算拨款收入1566.56万元，上年结转0万元；支出包括：社会保障和就业支出165.19万元，卫生健康支出87.43万元，农林水支出1215.36万元，住房保障支出98.57万元。单位202</w:t>
      </w:r>
      <w:r>
        <w:rPr>
          <w:rFonts w:hint="eastAsia" w:ascii="仿宋_GB2312" w:eastAsia="仿宋_GB2312" w:cs="仿宋_GB2312"/>
          <w:kern w:val="2"/>
          <w:sz w:val="32"/>
          <w:szCs w:val="32"/>
          <w:lang w:val="en-US" w:eastAsia="zh-CN" w:bidi="ar-SA"/>
        </w:rPr>
        <w:t>5</w:t>
      </w:r>
      <w:r>
        <w:rPr>
          <w:rFonts w:hint="eastAsia" w:ascii="仿宋_GB2312" w:hAnsi="Calibri" w:eastAsia="仿宋_GB2312" w:cs="仿宋_GB2312"/>
          <w:kern w:val="2"/>
          <w:sz w:val="32"/>
          <w:szCs w:val="32"/>
          <w:lang w:val="en-US" w:eastAsia="zh-CN" w:bidi="ar-SA"/>
        </w:rPr>
        <w:t>年收支总预算1833.97万元</w:t>
      </w:r>
      <w:r>
        <w:rPr>
          <w:rFonts w:hint="eastAsia" w:ascii="仿宋_GB2312" w:eastAsia="仿宋_GB2312" w:cs="仿宋_GB2312"/>
          <w:kern w:val="2"/>
          <w:sz w:val="32"/>
          <w:szCs w:val="32"/>
          <w:lang w:val="en-US" w:eastAsia="zh-CN" w:bidi="ar-SA"/>
        </w:rPr>
        <w:t>，</w:t>
      </w:r>
      <w:r>
        <w:rPr>
          <w:rFonts w:hint="eastAsia" w:ascii="仿宋_GB2312" w:hAnsi="Calibri" w:eastAsia="仿宋_GB2312" w:cs="仿宋_GB2312"/>
          <w:kern w:val="2"/>
          <w:sz w:val="32"/>
          <w:szCs w:val="32"/>
          <w:lang w:val="en-US" w:eastAsia="zh-CN" w:bidi="ar-SA"/>
        </w:rPr>
        <w:t>比202</w:t>
      </w:r>
      <w:r>
        <w:rPr>
          <w:rFonts w:hint="eastAsia" w:ascii="仿宋_GB2312" w:eastAsia="仿宋_GB2312" w:cs="仿宋_GB2312"/>
          <w:kern w:val="2"/>
          <w:sz w:val="32"/>
          <w:szCs w:val="32"/>
          <w:lang w:val="en-US" w:eastAsia="zh-CN" w:bidi="ar-SA"/>
        </w:rPr>
        <w:t>4</w:t>
      </w:r>
      <w:r>
        <w:rPr>
          <w:rFonts w:hint="eastAsia" w:ascii="仿宋_GB2312" w:hAnsi="Calibri" w:eastAsia="仿宋_GB2312" w:cs="仿宋_GB2312"/>
          <w:kern w:val="2"/>
          <w:sz w:val="32"/>
          <w:szCs w:val="32"/>
          <w:lang w:val="en-US" w:eastAsia="zh-CN" w:bidi="ar-SA"/>
        </w:rPr>
        <w:t>年收支预算总数</w:t>
      </w:r>
      <w:r>
        <w:rPr>
          <w:rFonts w:hint="eastAsia" w:ascii="仿宋_GB2312" w:eastAsia="仿宋_GB2312" w:cs="仿宋_GB2312"/>
          <w:kern w:val="2"/>
          <w:sz w:val="32"/>
          <w:szCs w:val="32"/>
          <w:lang w:val="en-US" w:eastAsia="zh-CN" w:bidi="ar-SA"/>
        </w:rPr>
        <w:t>减少267.41</w:t>
      </w:r>
      <w:r>
        <w:rPr>
          <w:rFonts w:hint="eastAsia" w:ascii="仿宋_GB2312" w:hAnsi="Calibri" w:eastAsia="仿宋_GB2312" w:cs="仿宋_GB2312"/>
          <w:kern w:val="2"/>
          <w:sz w:val="32"/>
          <w:szCs w:val="32"/>
          <w:lang w:val="en-US" w:eastAsia="zh-CN" w:bidi="ar-SA"/>
        </w:rPr>
        <w:t>万元，主要原因</w:t>
      </w:r>
      <w:r>
        <w:rPr>
          <w:rFonts w:hint="eastAsia" w:ascii="仿宋_GB2312" w:eastAsia="仿宋_GB2312" w:cs="仿宋_GB2312"/>
          <w:kern w:val="2"/>
          <w:sz w:val="32"/>
          <w:szCs w:val="32"/>
          <w:lang w:val="en-US" w:eastAsia="zh-CN" w:bidi="ar-SA"/>
        </w:rPr>
        <w:t>：减少申报州级预算项目，持续加大与外单位合作力度，争取外单位项目资金，减少州级财政压力</w:t>
      </w:r>
      <w:r>
        <w:rPr>
          <w:rFonts w:hint="eastAsia" w:ascii="仿宋_GB2312" w:hAnsi="Calibri" w:eastAsia="仿宋_GB2312" w:cs="仿宋_GB2312"/>
          <w:kern w:val="2"/>
          <w:sz w:val="32"/>
          <w:szCs w:val="32"/>
          <w:lang w:val="en-US" w:eastAsia="zh-CN" w:bidi="ar-SA"/>
        </w:rPr>
        <w:t>。</w:t>
      </w:r>
    </w:p>
    <w:p w14:paraId="36FCD3FA">
      <w:pPr>
        <w:ind w:firstLine="640" w:firstLineChars="200"/>
        <w:rPr>
          <w:rFonts w:hint="eastAsia" w:ascii="楷体" w:eastAsia="楷体"/>
          <w:sz w:val="32"/>
          <w:szCs w:val="32"/>
        </w:rPr>
      </w:pPr>
    </w:p>
    <w:p w14:paraId="688B7DB8">
      <w:pPr>
        <w:ind w:firstLine="640" w:firstLineChars="200"/>
        <w:rPr>
          <w:rFonts w:ascii="楷体" w:eastAsia="楷体"/>
          <w:sz w:val="32"/>
          <w:szCs w:val="32"/>
        </w:rPr>
      </w:pPr>
      <w:r>
        <w:rPr>
          <w:rFonts w:hint="eastAsia" w:ascii="楷体" w:eastAsia="楷体"/>
          <w:sz w:val="32"/>
          <w:szCs w:val="32"/>
        </w:rPr>
        <w:t>（一）收入预算情况</w:t>
      </w:r>
    </w:p>
    <w:p w14:paraId="3170542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eastAsia" w:ascii="楷体" w:eastAsia="楷体" w:cs="仿宋_GB2312"/>
          <w:sz w:val="32"/>
          <w:szCs w:val="32"/>
        </w:rPr>
      </w:pPr>
      <w:r>
        <w:rPr>
          <w:rFonts w:hint="eastAsia" w:ascii="仿宋_GB2312" w:hAnsi="Calibri" w:eastAsia="仿宋_GB2312" w:cs="仿宋_GB2312"/>
          <w:kern w:val="2"/>
          <w:sz w:val="32"/>
          <w:szCs w:val="32"/>
          <w:lang w:val="en-US" w:eastAsia="zh-CN" w:bidi="ar-SA"/>
        </w:rPr>
        <w:t>单位202</w:t>
      </w:r>
      <w:r>
        <w:rPr>
          <w:rFonts w:hint="eastAsia" w:ascii="仿宋_GB2312" w:eastAsia="仿宋_GB2312" w:cs="仿宋_GB2312"/>
          <w:kern w:val="2"/>
          <w:sz w:val="32"/>
          <w:szCs w:val="32"/>
          <w:lang w:val="en-US" w:eastAsia="zh-CN" w:bidi="ar-SA"/>
        </w:rPr>
        <w:t>5</w:t>
      </w:r>
      <w:r>
        <w:rPr>
          <w:rFonts w:hint="eastAsia" w:ascii="仿宋_GB2312" w:hAnsi="Calibri" w:eastAsia="仿宋_GB2312" w:cs="仿宋_GB2312"/>
          <w:kern w:val="2"/>
          <w:sz w:val="32"/>
          <w:szCs w:val="32"/>
          <w:lang w:val="en-US" w:eastAsia="zh-CN" w:bidi="ar-SA"/>
        </w:rPr>
        <w:t>年收入预算1566.56万元，其中：一般公共预算拨款收入1566.56万元，占100%</w:t>
      </w:r>
      <w:r>
        <w:rPr>
          <w:rFonts w:hint="eastAsia" w:ascii="仿宋_GB2312" w:eastAsia="仿宋_GB2312" w:cs="仿宋_GB2312"/>
          <w:kern w:val="2"/>
          <w:sz w:val="32"/>
          <w:szCs w:val="32"/>
          <w:lang w:val="en-US" w:eastAsia="zh-CN" w:bidi="ar-SA"/>
        </w:rPr>
        <w:t>。</w:t>
      </w:r>
    </w:p>
    <w:p w14:paraId="54285834">
      <w:pPr>
        <w:ind w:firstLine="640" w:firstLineChars="200"/>
        <w:rPr>
          <w:rFonts w:hint="eastAsia" w:ascii="楷体" w:eastAsia="楷体" w:cs="Times New Roman"/>
          <w:sz w:val="32"/>
          <w:szCs w:val="32"/>
        </w:rPr>
      </w:pPr>
      <w:r>
        <w:rPr>
          <w:rFonts w:hint="eastAsia" w:ascii="楷体" w:eastAsia="楷体" w:cs="Times New Roman"/>
          <w:sz w:val="32"/>
          <w:szCs w:val="32"/>
        </w:rPr>
        <w:t>（二）支出预算情况</w:t>
      </w:r>
    </w:p>
    <w:p w14:paraId="5B83666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jc w:val="left"/>
        <w:textAlignment w:val="auto"/>
        <w:rPr>
          <w:rFonts w:hint="eastAsia" w:ascii="黑体" w:eastAsia="黑体"/>
          <w:sz w:val="32"/>
          <w:szCs w:val="32"/>
        </w:rPr>
      </w:pPr>
      <w:r>
        <w:rPr>
          <w:rFonts w:hint="eastAsia" w:ascii="仿宋_GB2312" w:hAnsi="Calibri" w:eastAsia="仿宋_GB2312" w:cs="仿宋_GB2312"/>
          <w:kern w:val="2"/>
          <w:sz w:val="32"/>
          <w:szCs w:val="32"/>
          <w:lang w:val="en-US" w:eastAsia="zh-CN" w:bidi="ar-SA"/>
        </w:rPr>
        <w:t>单位202</w:t>
      </w:r>
      <w:r>
        <w:rPr>
          <w:rFonts w:hint="eastAsia" w:ascii="仿宋_GB2312" w:eastAsia="仿宋_GB2312" w:cs="仿宋_GB2312"/>
          <w:kern w:val="2"/>
          <w:sz w:val="32"/>
          <w:szCs w:val="32"/>
          <w:lang w:val="en-US" w:eastAsia="zh-CN" w:bidi="ar-SA"/>
        </w:rPr>
        <w:t>5</w:t>
      </w:r>
      <w:r>
        <w:rPr>
          <w:rFonts w:hint="eastAsia" w:ascii="仿宋_GB2312" w:hAnsi="Calibri" w:eastAsia="仿宋_GB2312" w:cs="仿宋_GB2312"/>
          <w:kern w:val="2"/>
          <w:sz w:val="32"/>
          <w:szCs w:val="32"/>
          <w:lang w:val="en-US" w:eastAsia="zh-CN" w:bidi="ar-SA"/>
        </w:rPr>
        <w:t>年支出预算1566.56万元，其中：基本支出1505.56万元，占</w:t>
      </w:r>
      <w:r>
        <w:rPr>
          <w:rFonts w:hint="eastAsia" w:ascii="仿宋_GB2312" w:eastAsia="仿宋_GB2312" w:cs="仿宋_GB2312"/>
          <w:kern w:val="2"/>
          <w:sz w:val="32"/>
          <w:szCs w:val="32"/>
          <w:lang w:val="en-US" w:eastAsia="zh-CN" w:bidi="ar-SA"/>
        </w:rPr>
        <w:t>96.11</w:t>
      </w:r>
      <w:r>
        <w:rPr>
          <w:rFonts w:hint="eastAsia" w:ascii="仿宋_GB2312" w:hAnsi="Calibri" w:eastAsia="仿宋_GB2312" w:cs="仿宋_GB2312"/>
          <w:kern w:val="2"/>
          <w:sz w:val="32"/>
          <w:szCs w:val="32"/>
          <w:lang w:val="en-US" w:eastAsia="zh-CN" w:bidi="ar-SA"/>
        </w:rPr>
        <w:t>%；项目支出</w:t>
      </w:r>
      <w:r>
        <w:rPr>
          <w:rFonts w:hint="eastAsia" w:ascii="仿宋_GB2312" w:eastAsia="仿宋_GB2312" w:cs="仿宋_GB2312"/>
          <w:kern w:val="2"/>
          <w:sz w:val="32"/>
          <w:szCs w:val="32"/>
          <w:lang w:val="en-US" w:eastAsia="zh-CN" w:bidi="ar-SA"/>
        </w:rPr>
        <w:t>61.00</w:t>
      </w:r>
      <w:r>
        <w:rPr>
          <w:rFonts w:hint="eastAsia" w:ascii="仿宋_GB2312" w:hAnsi="Calibri" w:eastAsia="仿宋_GB2312" w:cs="仿宋_GB2312"/>
          <w:kern w:val="2"/>
          <w:sz w:val="32"/>
          <w:szCs w:val="32"/>
          <w:lang w:val="en-US" w:eastAsia="zh-CN" w:bidi="ar-SA"/>
        </w:rPr>
        <w:t>万元，占</w:t>
      </w:r>
      <w:r>
        <w:rPr>
          <w:rFonts w:hint="eastAsia" w:ascii="仿宋_GB2312" w:eastAsia="仿宋_GB2312" w:cs="仿宋_GB2312"/>
          <w:kern w:val="2"/>
          <w:sz w:val="32"/>
          <w:szCs w:val="32"/>
          <w:lang w:val="en-US" w:eastAsia="zh-CN" w:bidi="ar-SA"/>
        </w:rPr>
        <w:t>3.89</w:t>
      </w:r>
      <w:r>
        <w:rPr>
          <w:rFonts w:hint="eastAsia" w:ascii="仿宋_GB2312" w:hAnsi="Calibri" w:eastAsia="仿宋_GB2312" w:cs="仿宋_GB2312"/>
          <w:kern w:val="2"/>
          <w:sz w:val="32"/>
          <w:szCs w:val="32"/>
          <w:lang w:val="en-US" w:eastAsia="zh-CN" w:bidi="ar-SA"/>
        </w:rPr>
        <w:t>%。</w:t>
      </w:r>
    </w:p>
    <w:p w14:paraId="784553E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640" w:leftChars="0"/>
        <w:jc w:val="left"/>
        <w:textAlignment w:val="auto"/>
        <w:rPr>
          <w:rFonts w:hint="eastAsia" w:ascii="黑体" w:eastAsia="黑体"/>
          <w:sz w:val="32"/>
          <w:szCs w:val="32"/>
        </w:rPr>
      </w:pPr>
      <w:r>
        <w:rPr>
          <w:rFonts w:hint="eastAsia" w:ascii="黑体" w:eastAsia="黑体"/>
          <w:sz w:val="32"/>
          <w:szCs w:val="32"/>
          <w:lang w:val="en-US" w:eastAsia="zh-CN"/>
        </w:rPr>
        <w:t>四、</w:t>
      </w:r>
      <w:r>
        <w:rPr>
          <w:rFonts w:hint="eastAsia" w:ascii="黑体" w:eastAsia="黑体"/>
          <w:sz w:val="32"/>
          <w:szCs w:val="32"/>
        </w:rPr>
        <w:t>财政拨款收支预算情况说明</w:t>
      </w:r>
    </w:p>
    <w:p w14:paraId="615F498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单位2025年财政拨款收支总预算1566.56万元</w:t>
      </w:r>
      <w:r>
        <w:rPr>
          <w:rFonts w:hint="eastAsia" w:ascii="仿宋_GB2312" w:eastAsia="仿宋_GB2312" w:cs="仿宋_GB2312"/>
          <w:kern w:val="2"/>
          <w:sz w:val="32"/>
          <w:szCs w:val="32"/>
          <w:lang w:val="en-US" w:eastAsia="zh-CN" w:bidi="ar-SA"/>
        </w:rPr>
        <w:t>，</w:t>
      </w:r>
      <w:r>
        <w:rPr>
          <w:rFonts w:hint="eastAsia" w:ascii="仿宋_GB2312" w:hAnsi="Calibri" w:eastAsia="仿宋_GB2312" w:cs="仿宋_GB2312"/>
          <w:kern w:val="2"/>
          <w:sz w:val="32"/>
          <w:szCs w:val="32"/>
          <w:lang w:val="en-US" w:eastAsia="zh-CN" w:bidi="ar-SA"/>
        </w:rPr>
        <w:t>比2024年财政拨款收支总预算减少267.41万元，主要原因</w:t>
      </w:r>
      <w:r>
        <w:rPr>
          <w:rFonts w:hint="eastAsia" w:ascii="仿宋_GB2312" w:eastAsia="仿宋_GB2312" w:cs="仿宋_GB2312"/>
          <w:kern w:val="2"/>
          <w:sz w:val="32"/>
          <w:szCs w:val="32"/>
          <w:lang w:val="en-US" w:eastAsia="zh-CN" w:bidi="ar-SA"/>
        </w:rPr>
        <w:t>：减少申报州级预算项目，持续加大与外单位合作力度，争取外单位项目资金，减少州级财政压力</w:t>
      </w:r>
      <w:r>
        <w:rPr>
          <w:rFonts w:hint="eastAsia" w:ascii="仿宋_GB2312" w:hAnsi="Calibri" w:eastAsia="仿宋_GB2312" w:cs="仿宋_GB2312"/>
          <w:kern w:val="2"/>
          <w:sz w:val="32"/>
          <w:szCs w:val="32"/>
          <w:lang w:val="en-US" w:eastAsia="zh-CN" w:bidi="ar-SA"/>
        </w:rPr>
        <w:t>。</w:t>
      </w:r>
    </w:p>
    <w:p w14:paraId="405CADF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ascii="仿宋_GB2312" w:eastAsia="仿宋_GB2312" w:cs="仿宋_GB2312"/>
          <w:sz w:val="32"/>
          <w:szCs w:val="32"/>
        </w:rPr>
      </w:pPr>
      <w:r>
        <w:rPr>
          <w:rFonts w:hint="eastAsia" w:ascii="仿宋_GB2312" w:eastAsia="仿宋_GB2312" w:cs="仿宋_GB2312"/>
          <w:sz w:val="32"/>
          <w:szCs w:val="32"/>
        </w:rPr>
        <w:t>收入包括：</w:t>
      </w:r>
      <w:r>
        <w:rPr>
          <w:rFonts w:hint="eastAsia" w:ascii="仿宋_GB2312" w:hAnsi="Calibri" w:eastAsia="仿宋_GB2312" w:cs="仿宋_GB2312"/>
          <w:color w:val="auto"/>
          <w:kern w:val="2"/>
          <w:sz w:val="32"/>
          <w:szCs w:val="32"/>
          <w:lang w:val="en-US" w:eastAsia="zh-CN" w:bidi="ar-SA"/>
        </w:rPr>
        <w:t>本年</w:t>
      </w:r>
      <w:r>
        <w:rPr>
          <w:rFonts w:hint="eastAsia" w:ascii="仿宋_GB2312" w:hAnsi="Calibri" w:eastAsia="仿宋_GB2312" w:cs="仿宋_GB2312"/>
          <w:kern w:val="2"/>
          <w:sz w:val="32"/>
          <w:szCs w:val="32"/>
          <w:lang w:val="en-US" w:eastAsia="zh-CN" w:bidi="ar-SA"/>
        </w:rPr>
        <w:t>一般公共预算拨款收入1566.56万元，占100%</w:t>
      </w:r>
      <w:r>
        <w:rPr>
          <w:rFonts w:hint="eastAsia" w:ascii="仿宋_GB2312" w:eastAsia="仿宋_GB2312" w:cs="仿宋_GB2312"/>
          <w:kern w:val="2"/>
          <w:sz w:val="32"/>
          <w:szCs w:val="32"/>
          <w:lang w:val="en-US" w:eastAsia="zh-CN" w:bidi="ar-SA"/>
        </w:rPr>
        <w:t>。</w:t>
      </w:r>
    </w:p>
    <w:p w14:paraId="0091DEB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jc w:val="both"/>
        <w:textAlignment w:val="auto"/>
        <w:rPr>
          <w:rFonts w:ascii="仿宋_GB2312" w:eastAsia="仿宋_GB2312"/>
          <w:sz w:val="32"/>
          <w:szCs w:val="32"/>
        </w:rPr>
      </w:pPr>
      <w:r>
        <w:rPr>
          <w:rFonts w:hint="eastAsia" w:ascii="仿宋_GB2312" w:eastAsia="仿宋_GB2312" w:cs="仿宋_GB2312"/>
          <w:sz w:val="32"/>
          <w:szCs w:val="32"/>
        </w:rPr>
        <w:t>支出包括：</w:t>
      </w:r>
      <w:r>
        <w:rPr>
          <w:rFonts w:hint="eastAsia" w:ascii="仿宋_GB2312" w:hAnsi="Calibri" w:eastAsia="仿宋_GB2312" w:cs="仿宋_GB2312"/>
          <w:kern w:val="2"/>
          <w:sz w:val="32"/>
          <w:szCs w:val="32"/>
          <w:lang w:val="en-US" w:eastAsia="zh-CN" w:bidi="ar-SA"/>
        </w:rPr>
        <w:t>社会保障和就业支出165.19万元，占比</w:t>
      </w:r>
      <w:r>
        <w:rPr>
          <w:rFonts w:hint="eastAsia" w:ascii="仿宋_GB2312" w:eastAsia="仿宋_GB2312" w:cs="仿宋_GB2312"/>
          <w:kern w:val="2"/>
          <w:sz w:val="32"/>
          <w:szCs w:val="32"/>
          <w:lang w:val="en-US" w:eastAsia="zh-CN" w:bidi="ar-SA"/>
        </w:rPr>
        <w:t>10</w:t>
      </w:r>
      <w:r>
        <w:rPr>
          <w:rFonts w:hint="eastAsia" w:ascii="仿宋_GB2312" w:hAnsi="Calibri" w:eastAsia="仿宋_GB2312" w:cs="仿宋_GB2312"/>
          <w:kern w:val="2"/>
          <w:sz w:val="32"/>
          <w:szCs w:val="32"/>
          <w:lang w:val="en-US" w:eastAsia="zh-CN" w:bidi="ar-SA"/>
        </w:rPr>
        <w:t>.</w:t>
      </w:r>
      <w:r>
        <w:rPr>
          <w:rFonts w:hint="eastAsia" w:ascii="仿宋_GB2312" w:eastAsia="仿宋_GB2312" w:cs="仿宋_GB2312"/>
          <w:kern w:val="2"/>
          <w:sz w:val="32"/>
          <w:szCs w:val="32"/>
          <w:lang w:val="en-US" w:eastAsia="zh-CN" w:bidi="ar-SA"/>
        </w:rPr>
        <w:t>54</w:t>
      </w:r>
      <w:r>
        <w:rPr>
          <w:rFonts w:hint="eastAsia" w:ascii="仿宋_GB2312" w:hAnsi="Calibri" w:eastAsia="仿宋_GB2312" w:cs="仿宋_GB2312"/>
          <w:kern w:val="2"/>
          <w:sz w:val="32"/>
          <w:szCs w:val="32"/>
          <w:lang w:val="en-US" w:eastAsia="zh-CN" w:bidi="ar-SA"/>
        </w:rPr>
        <w:t>%；卫生健康支出87.43万元，占比</w:t>
      </w:r>
      <w:r>
        <w:rPr>
          <w:rFonts w:hint="eastAsia" w:ascii="仿宋_GB2312" w:eastAsia="仿宋_GB2312" w:cs="仿宋_GB2312"/>
          <w:kern w:val="2"/>
          <w:sz w:val="32"/>
          <w:szCs w:val="32"/>
          <w:lang w:val="en-US" w:eastAsia="zh-CN" w:bidi="ar-SA"/>
        </w:rPr>
        <w:t>5.58</w:t>
      </w:r>
      <w:r>
        <w:rPr>
          <w:rFonts w:hint="eastAsia" w:ascii="仿宋_GB2312" w:hAnsi="Calibri" w:eastAsia="仿宋_GB2312" w:cs="仿宋_GB2312"/>
          <w:kern w:val="2"/>
          <w:sz w:val="32"/>
          <w:szCs w:val="32"/>
          <w:lang w:val="en-US" w:eastAsia="zh-CN" w:bidi="ar-SA"/>
        </w:rPr>
        <w:t>%；农林水支出1215.36万元，占比</w:t>
      </w:r>
      <w:r>
        <w:rPr>
          <w:rFonts w:hint="eastAsia" w:ascii="仿宋_GB2312" w:eastAsia="仿宋_GB2312" w:cs="仿宋_GB2312"/>
          <w:kern w:val="2"/>
          <w:sz w:val="32"/>
          <w:szCs w:val="32"/>
          <w:lang w:val="en-US" w:eastAsia="zh-CN" w:bidi="ar-SA"/>
        </w:rPr>
        <w:t>77.59</w:t>
      </w:r>
      <w:r>
        <w:rPr>
          <w:rFonts w:hint="eastAsia" w:ascii="仿宋_GB2312" w:hAnsi="Calibri" w:eastAsia="仿宋_GB2312" w:cs="仿宋_GB2312"/>
          <w:kern w:val="2"/>
          <w:sz w:val="32"/>
          <w:szCs w:val="32"/>
          <w:lang w:val="en-US" w:eastAsia="zh-CN" w:bidi="ar-SA"/>
        </w:rPr>
        <w:t>%；住房保障支出98.57万元，占比</w:t>
      </w:r>
      <w:r>
        <w:rPr>
          <w:rFonts w:hint="eastAsia" w:ascii="仿宋_GB2312" w:eastAsia="仿宋_GB2312" w:cs="仿宋_GB2312"/>
          <w:kern w:val="2"/>
          <w:sz w:val="32"/>
          <w:szCs w:val="32"/>
          <w:lang w:val="en-US" w:eastAsia="zh-CN" w:bidi="ar-SA"/>
        </w:rPr>
        <w:t>6</w:t>
      </w:r>
      <w:r>
        <w:rPr>
          <w:rFonts w:hint="eastAsia" w:ascii="仿宋_GB2312" w:hAnsi="Calibri" w:eastAsia="仿宋_GB2312" w:cs="仿宋_GB2312"/>
          <w:kern w:val="2"/>
          <w:sz w:val="32"/>
          <w:szCs w:val="32"/>
          <w:lang w:val="en-US" w:eastAsia="zh-CN" w:bidi="ar-SA"/>
        </w:rPr>
        <w:t>.</w:t>
      </w:r>
      <w:r>
        <w:rPr>
          <w:rFonts w:hint="eastAsia" w:ascii="仿宋_GB2312" w:eastAsia="仿宋_GB2312" w:cs="仿宋_GB2312"/>
          <w:kern w:val="2"/>
          <w:sz w:val="32"/>
          <w:szCs w:val="32"/>
          <w:lang w:val="en-US" w:eastAsia="zh-CN" w:bidi="ar-SA"/>
        </w:rPr>
        <w:t>29</w:t>
      </w:r>
      <w:r>
        <w:rPr>
          <w:rFonts w:hint="eastAsia" w:ascii="仿宋_GB2312" w:hAnsi="Calibri" w:eastAsia="仿宋_GB2312" w:cs="仿宋_GB2312"/>
          <w:kern w:val="2"/>
          <w:sz w:val="32"/>
          <w:szCs w:val="32"/>
          <w:lang w:val="en-US" w:eastAsia="zh-CN" w:bidi="ar-SA"/>
        </w:rPr>
        <w:t>%。</w:t>
      </w:r>
    </w:p>
    <w:p w14:paraId="77F9D1B4">
      <w:pPr>
        <w:ind w:firstLine="640" w:firstLineChars="200"/>
        <w:rPr>
          <w:rFonts w:ascii="黑体" w:eastAsia="黑体"/>
          <w:sz w:val="32"/>
          <w:szCs w:val="32"/>
        </w:rPr>
      </w:pPr>
      <w:r>
        <w:rPr>
          <w:rFonts w:hint="eastAsia" w:ascii="黑体" w:eastAsia="黑体"/>
          <w:sz w:val="32"/>
          <w:szCs w:val="32"/>
        </w:rPr>
        <w:t>五、一般公共预算当年拨款情况说明</w:t>
      </w:r>
    </w:p>
    <w:p w14:paraId="251E592F">
      <w:pPr>
        <w:pStyle w:val="12"/>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（一）一般公共预算当年拨款规模变化情况</w:t>
      </w:r>
    </w:p>
    <w:p w14:paraId="1F761FFD">
      <w:pPr>
        <w:pStyle w:val="12"/>
        <w:spacing w:before="0" w:line="360" w:lineRule="auto"/>
        <w:ind w:firstLine="660"/>
        <w:rPr>
          <w:rFonts w:cs="仿宋_GB2312"/>
          <w:kern w:val="2"/>
          <w:sz w:val="32"/>
          <w:szCs w:val="32"/>
        </w:rPr>
      </w:pPr>
      <w:r>
        <w:rPr>
          <w:rFonts w:hint="eastAsia" w:cs="仿宋_GB2312"/>
          <w:kern w:val="2"/>
          <w:sz w:val="32"/>
          <w:szCs w:val="32"/>
          <w:lang w:eastAsia="zh-CN"/>
        </w:rPr>
        <w:t>我</w:t>
      </w:r>
      <w:r>
        <w:rPr>
          <w:rFonts w:hint="eastAsia" w:cs="仿宋_GB2312"/>
          <w:kern w:val="2"/>
          <w:sz w:val="32"/>
          <w:szCs w:val="32"/>
        </w:rPr>
        <w:t>单位</w:t>
      </w:r>
      <w:r>
        <w:rPr>
          <w:rFonts w:hint="eastAsia" w:cs="宋体"/>
          <w:sz w:val="32"/>
          <w:szCs w:val="32"/>
        </w:rPr>
        <w:t>2025年一般公共预算当年拨款</w:t>
      </w:r>
      <w:r>
        <w:rPr>
          <w:rFonts w:hint="eastAsia" w:ascii="仿宋_GB2312" w:hAnsi="Calibri" w:eastAsia="仿宋_GB2312" w:cs="仿宋_GB2312"/>
          <w:kern w:val="2"/>
          <w:sz w:val="32"/>
          <w:szCs w:val="32"/>
          <w:lang w:val="en-US" w:eastAsia="zh-CN" w:bidi="ar-SA"/>
        </w:rPr>
        <w:t>1566.56</w:t>
      </w:r>
      <w:r>
        <w:rPr>
          <w:rFonts w:hint="eastAsia" w:cs="宋体"/>
          <w:sz w:val="32"/>
          <w:szCs w:val="32"/>
        </w:rPr>
        <w:t>万元，比2024年预算数</w:t>
      </w:r>
      <w:r>
        <w:rPr>
          <w:rFonts w:hint="eastAsia" w:ascii="仿宋_GB2312" w:hAnsi="Calibri" w:eastAsia="仿宋_GB2312" w:cs="仿宋_GB2312"/>
          <w:kern w:val="2"/>
          <w:sz w:val="32"/>
          <w:szCs w:val="32"/>
          <w:lang w:val="en-US" w:eastAsia="zh-CN" w:bidi="ar-SA"/>
        </w:rPr>
        <w:t>减少267.41</w:t>
      </w:r>
      <w:r>
        <w:rPr>
          <w:rFonts w:hint="eastAsia" w:cs="宋体"/>
          <w:sz w:val="32"/>
          <w:szCs w:val="32"/>
        </w:rPr>
        <w:t>万元，主要原因</w:t>
      </w:r>
      <w:r>
        <w:rPr>
          <w:rFonts w:hint="eastAsia" w:cs="宋体"/>
          <w:sz w:val="32"/>
          <w:szCs w:val="32"/>
          <w:lang w:eastAsia="zh-CN"/>
        </w:rPr>
        <w:t>：</w:t>
      </w:r>
      <w:r>
        <w:rPr>
          <w:rFonts w:hint="eastAsia" w:ascii="仿宋_GB2312" w:eastAsia="仿宋_GB2312" w:cs="仿宋_GB2312"/>
          <w:kern w:val="2"/>
          <w:sz w:val="32"/>
          <w:szCs w:val="32"/>
          <w:lang w:val="en-US" w:eastAsia="zh-CN" w:bidi="ar-SA"/>
        </w:rPr>
        <w:t>减少申报州级预算项目，持续加大与外单位合作力度，争取外单位项目资金，减少州级财政压力</w:t>
      </w:r>
      <w:r>
        <w:rPr>
          <w:rFonts w:hint="eastAsia" w:cs="仿宋_GB2312"/>
          <w:kern w:val="2"/>
          <w:sz w:val="32"/>
          <w:szCs w:val="32"/>
          <w:lang w:val="en-US" w:eastAsia="zh-CN" w:bidi="ar-SA"/>
        </w:rPr>
        <w:t>。</w:t>
      </w:r>
      <w:r>
        <w:rPr>
          <w:rFonts w:hint="eastAsia" w:cs="仿宋_GB2312"/>
          <w:kern w:val="2"/>
          <w:sz w:val="32"/>
          <w:szCs w:val="32"/>
        </w:rPr>
        <w:t>　　</w:t>
      </w:r>
    </w:p>
    <w:p w14:paraId="551E5B64">
      <w:pPr>
        <w:pStyle w:val="12"/>
        <w:spacing w:before="0" w:line="360" w:lineRule="auto"/>
        <w:ind w:left="638" w:leftChars="304" w:firstLine="0" w:firstLineChars="0"/>
        <w:jc w:val="left"/>
        <w:rPr>
          <w:rFonts w:hint="eastAsia" w:ascii="楷体" w:eastAsia="楷体" w:cs="宋体"/>
          <w:sz w:val="32"/>
          <w:szCs w:val="32"/>
        </w:rPr>
      </w:pPr>
      <w:bookmarkStart w:id="0" w:name="_GoBack"/>
      <w:bookmarkEnd w:id="0"/>
      <w:r>
        <w:rPr>
          <w:rFonts w:hint="eastAsia" w:ascii="楷体" w:eastAsia="楷体" w:cs="宋体"/>
          <w:sz w:val="32"/>
          <w:szCs w:val="32"/>
        </w:rPr>
        <w:t>（二）一般公共预算当年拨款结构情况</w:t>
      </w:r>
    </w:p>
    <w:p w14:paraId="6B7C618F">
      <w:pPr>
        <w:pStyle w:val="12"/>
        <w:spacing w:before="0" w:line="360" w:lineRule="auto"/>
        <w:ind w:firstLine="640" w:firstLineChars="200"/>
        <w:jc w:val="left"/>
        <w:rPr>
          <w:rFonts w:cs="仿宋_GB2312"/>
          <w:kern w:val="2"/>
          <w:sz w:val="32"/>
          <w:szCs w:val="32"/>
        </w:rPr>
      </w:pPr>
      <w:r>
        <w:rPr>
          <w:rFonts w:hint="eastAsia" w:ascii="仿宋_GB2312" w:hAnsi="Calibri" w:eastAsia="仿宋_GB2312" w:cs="仿宋_GB2312"/>
          <w:kern w:val="2"/>
          <w:sz w:val="32"/>
          <w:szCs w:val="32"/>
          <w:lang w:val="en-US" w:eastAsia="zh-CN" w:bidi="ar-SA"/>
        </w:rPr>
        <w:t>社会保障和就业支出165.19万元，占比</w:t>
      </w:r>
      <w:r>
        <w:rPr>
          <w:rFonts w:hint="eastAsia" w:ascii="仿宋_GB2312" w:eastAsia="仿宋_GB2312" w:cs="仿宋_GB2312"/>
          <w:kern w:val="2"/>
          <w:sz w:val="32"/>
          <w:szCs w:val="32"/>
          <w:lang w:val="en-US" w:eastAsia="zh-CN" w:bidi="ar-SA"/>
        </w:rPr>
        <w:t>10</w:t>
      </w:r>
      <w:r>
        <w:rPr>
          <w:rFonts w:hint="eastAsia" w:ascii="仿宋_GB2312" w:hAnsi="Calibri" w:eastAsia="仿宋_GB2312" w:cs="仿宋_GB2312"/>
          <w:kern w:val="2"/>
          <w:sz w:val="32"/>
          <w:szCs w:val="32"/>
          <w:lang w:val="en-US" w:eastAsia="zh-CN" w:bidi="ar-SA"/>
        </w:rPr>
        <w:t>.</w:t>
      </w:r>
      <w:r>
        <w:rPr>
          <w:rFonts w:hint="eastAsia" w:ascii="仿宋_GB2312" w:eastAsia="仿宋_GB2312" w:cs="仿宋_GB2312"/>
          <w:kern w:val="2"/>
          <w:sz w:val="32"/>
          <w:szCs w:val="32"/>
          <w:lang w:val="en-US" w:eastAsia="zh-CN" w:bidi="ar-SA"/>
        </w:rPr>
        <w:t>54</w:t>
      </w:r>
      <w:r>
        <w:rPr>
          <w:rFonts w:hint="eastAsia" w:ascii="仿宋_GB2312" w:hAnsi="Calibri" w:eastAsia="仿宋_GB2312" w:cs="仿宋_GB2312"/>
          <w:kern w:val="2"/>
          <w:sz w:val="32"/>
          <w:szCs w:val="32"/>
          <w:lang w:val="en-US" w:eastAsia="zh-CN" w:bidi="ar-SA"/>
        </w:rPr>
        <w:t>%；卫生健康支出87.43万元，占比</w:t>
      </w:r>
      <w:r>
        <w:rPr>
          <w:rFonts w:hint="eastAsia" w:ascii="仿宋_GB2312" w:eastAsia="仿宋_GB2312" w:cs="仿宋_GB2312"/>
          <w:kern w:val="2"/>
          <w:sz w:val="32"/>
          <w:szCs w:val="32"/>
          <w:lang w:val="en-US" w:eastAsia="zh-CN" w:bidi="ar-SA"/>
        </w:rPr>
        <w:t>5.58</w:t>
      </w:r>
      <w:r>
        <w:rPr>
          <w:rFonts w:hint="eastAsia" w:ascii="仿宋_GB2312" w:hAnsi="Calibri" w:eastAsia="仿宋_GB2312" w:cs="仿宋_GB2312"/>
          <w:kern w:val="2"/>
          <w:sz w:val="32"/>
          <w:szCs w:val="32"/>
          <w:lang w:val="en-US" w:eastAsia="zh-CN" w:bidi="ar-SA"/>
        </w:rPr>
        <w:t>%；农林水支出1215.36万元，占比</w:t>
      </w:r>
      <w:r>
        <w:rPr>
          <w:rFonts w:hint="eastAsia" w:ascii="仿宋_GB2312" w:eastAsia="仿宋_GB2312" w:cs="仿宋_GB2312"/>
          <w:kern w:val="2"/>
          <w:sz w:val="32"/>
          <w:szCs w:val="32"/>
          <w:lang w:val="en-US" w:eastAsia="zh-CN" w:bidi="ar-SA"/>
        </w:rPr>
        <w:t>77.59</w:t>
      </w:r>
      <w:r>
        <w:rPr>
          <w:rFonts w:hint="eastAsia" w:ascii="仿宋_GB2312" w:hAnsi="Calibri" w:eastAsia="仿宋_GB2312" w:cs="仿宋_GB2312"/>
          <w:kern w:val="2"/>
          <w:sz w:val="32"/>
          <w:szCs w:val="32"/>
          <w:lang w:val="en-US" w:eastAsia="zh-CN" w:bidi="ar-SA"/>
        </w:rPr>
        <w:t>%；住房保障支出98.57万元，占比</w:t>
      </w:r>
      <w:r>
        <w:rPr>
          <w:rFonts w:hint="eastAsia" w:ascii="仿宋_GB2312" w:eastAsia="仿宋_GB2312" w:cs="仿宋_GB2312"/>
          <w:kern w:val="2"/>
          <w:sz w:val="32"/>
          <w:szCs w:val="32"/>
          <w:lang w:val="en-US" w:eastAsia="zh-CN" w:bidi="ar-SA"/>
        </w:rPr>
        <w:t>6</w:t>
      </w:r>
      <w:r>
        <w:rPr>
          <w:rFonts w:hint="eastAsia" w:ascii="仿宋_GB2312" w:hAnsi="Calibri" w:eastAsia="仿宋_GB2312" w:cs="仿宋_GB2312"/>
          <w:kern w:val="2"/>
          <w:sz w:val="32"/>
          <w:szCs w:val="32"/>
          <w:lang w:val="en-US" w:eastAsia="zh-CN" w:bidi="ar-SA"/>
        </w:rPr>
        <w:t>.</w:t>
      </w:r>
      <w:r>
        <w:rPr>
          <w:rFonts w:hint="eastAsia" w:ascii="仿宋_GB2312" w:eastAsia="仿宋_GB2312" w:cs="仿宋_GB2312"/>
          <w:kern w:val="2"/>
          <w:sz w:val="32"/>
          <w:szCs w:val="32"/>
          <w:lang w:val="en-US" w:eastAsia="zh-CN" w:bidi="ar-SA"/>
        </w:rPr>
        <w:t>29</w:t>
      </w:r>
      <w:r>
        <w:rPr>
          <w:rFonts w:hint="eastAsia" w:ascii="仿宋_GB2312" w:hAnsi="Calibri" w:eastAsia="仿宋_GB2312" w:cs="仿宋_GB2312"/>
          <w:kern w:val="2"/>
          <w:sz w:val="32"/>
          <w:szCs w:val="32"/>
          <w:lang w:val="en-US" w:eastAsia="zh-CN" w:bidi="ar-SA"/>
        </w:rPr>
        <w:t>%。</w:t>
      </w:r>
    </w:p>
    <w:p w14:paraId="56B70D87">
      <w:pPr>
        <w:pStyle w:val="12"/>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（三）一般公共预算当年拨款具体使用情况</w:t>
      </w:r>
    </w:p>
    <w:p w14:paraId="2E634F51">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1．农林水（类）农业农村（款）事业运行（项目）202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年预算数为</w:t>
      </w:r>
      <w:r>
        <w:rPr>
          <w:rFonts w:hint="eastAsia" w:ascii="仿宋_GB2312" w:hAnsi="仿宋_GB2312" w:eastAsia="仿宋_GB2312" w:cs="仿宋_GB2312"/>
          <w:sz w:val="32"/>
          <w:szCs w:val="32"/>
          <w:lang w:val="en-US" w:eastAsia="zh-CN"/>
        </w:rPr>
        <w:t>1154.36</w:t>
      </w:r>
      <w:r>
        <w:rPr>
          <w:rFonts w:hint="eastAsia" w:ascii="仿宋_GB2312" w:hAnsi="仿宋_GB2312" w:eastAsia="仿宋_GB2312" w:cs="仿宋_GB2312"/>
          <w:sz w:val="32"/>
          <w:szCs w:val="32"/>
        </w:rPr>
        <w:t xml:space="preserve">万元，主要用于 </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在职职工工资支出，单位事务公务运行支出等。</w:t>
      </w:r>
    </w:p>
    <w:p w14:paraId="6D66A38E">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2．农林水（类）农业农村（款）农业资源保护修复与利用（项目）202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年预算数为</w:t>
      </w:r>
      <w:r>
        <w:rPr>
          <w:rFonts w:hint="eastAsia" w:ascii="仿宋_GB2312" w:hAnsi="仿宋_GB2312" w:eastAsia="仿宋_GB2312" w:cs="仿宋_GB2312"/>
          <w:sz w:val="32"/>
          <w:szCs w:val="32"/>
          <w:lang w:val="en-US" w:eastAsia="zh-CN"/>
        </w:rPr>
        <w:t>61.00</w:t>
      </w:r>
      <w:r>
        <w:rPr>
          <w:rFonts w:hint="eastAsia" w:ascii="仿宋_GB2312" w:hAnsi="仿宋_GB2312" w:eastAsia="仿宋_GB2312" w:cs="仿宋_GB2312"/>
          <w:sz w:val="32"/>
          <w:szCs w:val="32"/>
        </w:rPr>
        <w:t>万元，主要用于</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原种场运行</w:t>
      </w:r>
      <w:r>
        <w:rPr>
          <w:rFonts w:hint="eastAsia" w:ascii="仿宋_GB2312" w:hAnsi="仿宋_GB2312" w:eastAsia="仿宋_GB2312" w:cs="仿宋_GB2312"/>
          <w:sz w:val="32"/>
          <w:szCs w:val="32"/>
          <w:lang w:val="en-US" w:eastAsia="zh-CN"/>
        </w:rPr>
        <w:t>费用</w:t>
      </w:r>
      <w:r>
        <w:rPr>
          <w:rFonts w:hint="eastAsia" w:ascii="仿宋_GB2312" w:hAnsi="仿宋_GB2312" w:eastAsia="仿宋_GB2312" w:cs="仿宋_GB2312"/>
          <w:sz w:val="32"/>
          <w:szCs w:val="32"/>
        </w:rPr>
        <w:t>等。</w:t>
      </w:r>
    </w:p>
    <w:p w14:paraId="016AEF00">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3．住房保障支出（类）住房改革支出（款）住房公积金（项目）202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年预算数为</w:t>
      </w:r>
      <w:r>
        <w:rPr>
          <w:rFonts w:hint="eastAsia" w:ascii="仿宋_GB2312" w:hAnsi="Calibri" w:eastAsia="仿宋_GB2312" w:cs="仿宋_GB2312"/>
          <w:kern w:val="2"/>
          <w:sz w:val="32"/>
          <w:szCs w:val="32"/>
          <w:lang w:val="en-US" w:eastAsia="zh-CN" w:bidi="ar-SA"/>
        </w:rPr>
        <w:t>98.57</w:t>
      </w:r>
      <w:r>
        <w:rPr>
          <w:rFonts w:hint="eastAsia" w:ascii="仿宋_GB2312" w:hAnsi="仿宋_GB2312" w:eastAsia="仿宋_GB2312" w:cs="仿宋_GB2312"/>
          <w:sz w:val="32"/>
          <w:szCs w:val="32"/>
        </w:rPr>
        <w:t xml:space="preserve">万元，主要用于 </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单位职工住房公积金缴纳。</w:t>
      </w:r>
    </w:p>
    <w:p w14:paraId="5B3685EC">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4．卫生健康支出（类）行政事业单位医疗（款）事业单位医疗（项目）202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年预算数为</w:t>
      </w:r>
      <w:r>
        <w:rPr>
          <w:rFonts w:hint="eastAsia" w:ascii="仿宋_GB2312" w:hAnsi="Calibri" w:eastAsia="仿宋_GB2312" w:cs="仿宋_GB2312"/>
          <w:kern w:val="2"/>
          <w:sz w:val="32"/>
          <w:szCs w:val="32"/>
          <w:lang w:val="en-US" w:eastAsia="zh-CN" w:bidi="ar-SA"/>
        </w:rPr>
        <w:t>87.43</w:t>
      </w:r>
      <w:r>
        <w:rPr>
          <w:rFonts w:hint="eastAsia" w:ascii="仿宋_GB2312" w:hAnsi="仿宋_GB2312" w:eastAsia="仿宋_GB2312" w:cs="仿宋_GB2312"/>
          <w:sz w:val="32"/>
          <w:szCs w:val="32"/>
        </w:rPr>
        <w:t xml:space="preserve">万元，主要用于 </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单位职工医保缴纳。</w:t>
      </w:r>
    </w:p>
    <w:p w14:paraId="3E9E0363">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．社会保障和就业支出（类）行政事业单位养老支出（款）机关事业单位基本养老保险缴费支出（项目）202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 xml:space="preserve">年预算数为110.13万元，主要用于 </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单位职工基本养老保险缴纳。</w:t>
      </w:r>
    </w:p>
    <w:p w14:paraId="1751CC97">
      <w:pPr>
        <w:pStyle w:val="12"/>
        <w:spacing w:before="0" w:line="360" w:lineRule="auto"/>
        <w:ind w:firstLine="66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．社会保障和就业支出（类）行政事业单位养老支出（款）机关事业单位职业年金缴费支出（项目）202</w:t>
      </w:r>
      <w:r>
        <w:rPr>
          <w:rFonts w:hint="eastAsia" w:hAnsi="仿宋_GB2312" w:cs="仿宋_GB2312"/>
          <w:sz w:val="32"/>
          <w:szCs w:val="32"/>
          <w:lang w:val="en-US" w:eastAsia="zh-CN"/>
        </w:rPr>
        <w:t>5</w:t>
      </w:r>
      <w:r>
        <w:rPr>
          <w:rFonts w:hint="eastAsia" w:ascii="仿宋_GB2312" w:hAnsi="仿宋_GB2312" w:eastAsia="仿宋_GB2312" w:cs="仿宋_GB2312"/>
          <w:sz w:val="32"/>
          <w:szCs w:val="32"/>
        </w:rPr>
        <w:t>年预算数为55.06万元，主要用于</w:t>
      </w:r>
      <w:r>
        <w:rPr>
          <w:rFonts w:hint="eastAsia" w:hAnsi="仿宋_GB2312" w:cs="仿宋_GB2312"/>
          <w:sz w:val="32"/>
          <w:szCs w:val="32"/>
          <w:lang w:eastAsia="zh-CN"/>
        </w:rPr>
        <w:t>：</w:t>
      </w:r>
      <w:r>
        <w:rPr>
          <w:rFonts w:hint="eastAsia" w:ascii="仿宋_GB2312" w:hAnsi="仿宋_GB2312" w:eastAsia="仿宋_GB2312" w:cs="仿宋_GB2312"/>
          <w:sz w:val="32"/>
          <w:szCs w:val="32"/>
        </w:rPr>
        <w:t>单位职工职业年金缴纳。</w:t>
      </w:r>
    </w:p>
    <w:p w14:paraId="6621B04A">
      <w:pPr>
        <w:pStyle w:val="12"/>
        <w:spacing w:before="0" w:line="360" w:lineRule="auto"/>
        <w:ind w:firstLine="660"/>
        <w:rPr>
          <w:rFonts w:ascii="黑体" w:eastAsia="黑体"/>
          <w:sz w:val="32"/>
          <w:szCs w:val="32"/>
        </w:rPr>
      </w:pPr>
      <w:r>
        <w:rPr>
          <w:rFonts w:hint="eastAsia" w:ascii="黑体" w:eastAsia="黑体"/>
          <w:sz w:val="32"/>
          <w:szCs w:val="32"/>
        </w:rPr>
        <w:t>六、一般公共预算基本支出情况说明</w:t>
      </w:r>
    </w:p>
    <w:p w14:paraId="4C059407">
      <w:pPr>
        <w:pStyle w:val="12"/>
        <w:spacing w:before="0" w:line="360" w:lineRule="auto"/>
        <w:ind w:firstLine="640" w:firstLineChars="200"/>
        <w:rPr>
          <w:rFonts w:cs="仿宋_GB2312"/>
          <w:kern w:val="2"/>
          <w:sz w:val="32"/>
          <w:szCs w:val="32"/>
        </w:rPr>
      </w:pPr>
      <w:r>
        <w:rPr>
          <w:rFonts w:hint="eastAsia" w:cs="仿宋_GB2312"/>
          <w:kern w:val="2"/>
          <w:sz w:val="32"/>
          <w:szCs w:val="32"/>
        </w:rPr>
        <w:t>单位2025年一般公共预算基本支出1505.56万元，其中：人员经费1341.16万元，主要包括：基本工资、津贴补贴、奖金、其他社会保障缴费、绩效工资、机关事业单位基本养老保险缴费、职业年金缴费、其他工资福利支出、离休费、奖励金、住房公积金、其他对个人和家庭的补助支出。</w:t>
      </w:r>
    </w:p>
    <w:p w14:paraId="6616ED55">
      <w:pPr>
        <w:pStyle w:val="12"/>
        <w:spacing w:before="0" w:line="360" w:lineRule="auto"/>
        <w:ind w:firstLine="640" w:firstLineChars="200"/>
        <w:rPr>
          <w:rFonts w:ascii="黑体" w:eastAsia="黑体"/>
          <w:sz w:val="32"/>
          <w:szCs w:val="32"/>
        </w:rPr>
      </w:pPr>
      <w:r>
        <w:rPr>
          <w:rFonts w:hint="eastAsia" w:cs="仿宋_GB2312"/>
          <w:kern w:val="2"/>
          <w:sz w:val="32"/>
          <w:szCs w:val="32"/>
        </w:rPr>
        <w:t>公用经费164.39万元，主要包括：办公费、印刷费、手续费、水费、电费、邮电费、差旅费、维修（护）费、租赁费、会议费、培训费、劳务费、工会经费、福利费、其他交通工具运行维护费、其他商品和服务支出。</w:t>
      </w:r>
      <w:r>
        <w:rPr>
          <w:rFonts w:hint="eastAsia" w:cs="仿宋_GB2312"/>
          <w:kern w:val="2"/>
          <w:sz w:val="32"/>
          <w:szCs w:val="32"/>
        </w:rPr>
        <w:br w:type="textWrapping"/>
      </w:r>
      <w:r>
        <w:rPr>
          <w:rFonts w:hint="eastAsia" w:ascii="黑体" w:eastAsia="黑体"/>
          <w:sz w:val="32"/>
          <w:szCs w:val="32"/>
        </w:rPr>
        <w:t xml:space="preserve">    七、“三公”经费财政拨款预算安排情况说明</w:t>
      </w:r>
    </w:p>
    <w:p w14:paraId="6A1C301B">
      <w:pPr>
        <w:pStyle w:val="12"/>
        <w:spacing w:before="0" w:line="360" w:lineRule="auto"/>
        <w:ind w:firstLine="640" w:firstLineChars="200"/>
        <w:rPr>
          <w:rFonts w:cs="仿宋_GB2312"/>
          <w:kern w:val="2"/>
          <w:sz w:val="32"/>
          <w:szCs w:val="32"/>
        </w:rPr>
      </w:pPr>
      <w:r>
        <w:rPr>
          <w:rFonts w:hint="eastAsia" w:cs="仿宋_GB2312"/>
          <w:kern w:val="2"/>
          <w:sz w:val="32"/>
          <w:szCs w:val="32"/>
        </w:rPr>
        <w:t>单位2025年“三公”经费财政拨款预算数23.77万元，其中：因公出国（境）经费</w:t>
      </w:r>
      <w:r>
        <w:rPr>
          <w:rFonts w:hint="eastAsia" w:cs="仿宋_GB2312"/>
          <w:kern w:val="2"/>
          <w:sz w:val="32"/>
          <w:szCs w:val="32"/>
          <w:lang w:val="en-US" w:eastAsia="zh-CN"/>
        </w:rPr>
        <w:t>0</w:t>
      </w:r>
      <w:r>
        <w:rPr>
          <w:rFonts w:hint="eastAsia" w:cs="仿宋_GB2312"/>
          <w:kern w:val="2"/>
          <w:sz w:val="32"/>
          <w:szCs w:val="32"/>
        </w:rPr>
        <w:t>万元，公务接待费2.17万元，公务用车购置及运行维护费21.6</w:t>
      </w:r>
      <w:r>
        <w:rPr>
          <w:rFonts w:hint="eastAsia" w:cs="仿宋_GB2312"/>
          <w:kern w:val="2"/>
          <w:sz w:val="32"/>
          <w:szCs w:val="32"/>
          <w:lang w:val="en-US" w:eastAsia="zh-CN"/>
        </w:rPr>
        <w:t>0</w:t>
      </w:r>
      <w:r>
        <w:rPr>
          <w:rFonts w:hint="eastAsia" w:cs="仿宋_GB2312"/>
          <w:kern w:val="2"/>
          <w:sz w:val="32"/>
          <w:szCs w:val="32"/>
        </w:rPr>
        <w:t>万元。</w:t>
      </w:r>
    </w:p>
    <w:p w14:paraId="373C5FCC">
      <w:pPr>
        <w:pStyle w:val="12"/>
        <w:spacing w:before="0" w:line="360" w:lineRule="auto"/>
        <w:ind w:firstLine="640" w:firstLineChars="200"/>
        <w:rPr>
          <w:rFonts w:cs="仿宋_GB2312"/>
          <w:kern w:val="2"/>
          <w:sz w:val="32"/>
          <w:szCs w:val="32"/>
        </w:rPr>
      </w:pPr>
      <w:r>
        <w:rPr>
          <w:rFonts w:hint="eastAsia" w:cs="仿宋_GB2312"/>
          <w:kern w:val="2"/>
          <w:sz w:val="32"/>
          <w:szCs w:val="32"/>
        </w:rPr>
        <w:t>（一）2025年因公出国（境）经费</w:t>
      </w:r>
      <w:r>
        <w:rPr>
          <w:rFonts w:hint="eastAsia" w:cs="仿宋_GB2312"/>
          <w:kern w:val="2"/>
          <w:sz w:val="32"/>
          <w:szCs w:val="32"/>
          <w:lang w:val="en-US" w:eastAsia="zh-CN"/>
        </w:rPr>
        <w:t>0</w:t>
      </w:r>
      <w:r>
        <w:rPr>
          <w:rFonts w:hint="eastAsia" w:cs="仿宋_GB2312"/>
          <w:kern w:val="2"/>
          <w:sz w:val="32"/>
          <w:szCs w:val="32"/>
        </w:rPr>
        <w:t>万元。</w:t>
      </w:r>
    </w:p>
    <w:p w14:paraId="29092E97">
      <w:pPr>
        <w:pStyle w:val="12"/>
        <w:keepNext w:val="0"/>
        <w:keepLines w:val="0"/>
        <w:pageBreakBefore w:val="0"/>
        <w:widowControl w:val="0"/>
        <w:kinsoku/>
        <w:wordWrap/>
        <w:overflowPunct/>
        <w:autoSpaceDE/>
        <w:autoSpaceDN/>
        <w:bidi w:val="0"/>
        <w:spacing w:before="0" w:line="600" w:lineRule="exact"/>
        <w:ind w:left="0" w:firstLine="640" w:firstLineChars="200"/>
        <w:rPr>
          <w:rFonts w:cs="仿宋_GB2312"/>
          <w:color w:val="000000"/>
          <w:kern w:val="2"/>
          <w:sz w:val="32"/>
          <w:szCs w:val="32"/>
        </w:rPr>
      </w:pPr>
      <w:r>
        <w:rPr>
          <w:rFonts w:hint="eastAsia" w:cs="仿宋_GB2312"/>
          <w:kern w:val="2"/>
          <w:sz w:val="32"/>
          <w:szCs w:val="32"/>
        </w:rPr>
        <w:t>（二）</w:t>
      </w:r>
      <w:r>
        <w:rPr>
          <w:rFonts w:hint="eastAsia" w:cs="仿宋_GB2312"/>
          <w:color w:val="000000"/>
          <w:kern w:val="2"/>
          <w:sz w:val="32"/>
          <w:szCs w:val="32"/>
        </w:rPr>
        <w:t>2025年公务接待经费</w:t>
      </w:r>
      <w:r>
        <w:rPr>
          <w:rFonts w:hint="eastAsia" w:cs="仿宋_GB2312"/>
          <w:color w:val="000000"/>
          <w:kern w:val="2"/>
          <w:sz w:val="32"/>
          <w:szCs w:val="32"/>
          <w:lang w:val="en-US" w:eastAsia="zh-CN"/>
        </w:rPr>
        <w:t>2.17</w:t>
      </w:r>
      <w:r>
        <w:rPr>
          <w:rFonts w:hint="eastAsia" w:cs="仿宋_GB2312"/>
          <w:color w:val="000000"/>
          <w:kern w:val="2"/>
          <w:sz w:val="32"/>
          <w:szCs w:val="32"/>
        </w:rPr>
        <w:t>万元。较2024年预算经费减少</w:t>
      </w:r>
      <w:r>
        <w:rPr>
          <w:rFonts w:hint="eastAsia" w:cs="仿宋_GB2312"/>
          <w:color w:val="000000"/>
          <w:kern w:val="2"/>
          <w:sz w:val="32"/>
          <w:szCs w:val="32"/>
          <w:lang w:val="en-US" w:eastAsia="zh-CN"/>
        </w:rPr>
        <w:t>0.31</w:t>
      </w:r>
      <w:r>
        <w:rPr>
          <w:rFonts w:hint="eastAsia" w:cs="仿宋_GB2312"/>
          <w:color w:val="000000"/>
          <w:kern w:val="2"/>
          <w:sz w:val="32"/>
          <w:szCs w:val="32"/>
        </w:rPr>
        <w:t>万元，</w:t>
      </w:r>
      <w:r>
        <w:rPr>
          <w:rFonts w:hint="eastAsia" w:cs="仿宋_GB2312"/>
          <w:color w:val="000000"/>
          <w:kern w:val="2"/>
          <w:sz w:val="32"/>
          <w:szCs w:val="32"/>
          <w:lang w:eastAsia="zh-CN"/>
        </w:rPr>
        <w:t>减少</w:t>
      </w:r>
      <w:r>
        <w:rPr>
          <w:rFonts w:hint="eastAsia" w:cs="仿宋_GB2312"/>
          <w:color w:val="000000"/>
          <w:kern w:val="2"/>
          <w:sz w:val="32"/>
          <w:szCs w:val="32"/>
          <w:lang w:val="en-US" w:eastAsia="zh-CN"/>
        </w:rPr>
        <w:t>12.50</w:t>
      </w:r>
      <w:r>
        <w:rPr>
          <w:rFonts w:hint="eastAsia" w:cs="仿宋_GB2312"/>
          <w:color w:val="000000"/>
          <w:kern w:val="2"/>
          <w:sz w:val="32"/>
          <w:szCs w:val="32"/>
        </w:rPr>
        <w:t>%，主要原因</w:t>
      </w:r>
      <w:r>
        <w:rPr>
          <w:rFonts w:hint="eastAsia" w:cs="仿宋_GB2312"/>
          <w:color w:val="000000"/>
          <w:kern w:val="2"/>
          <w:sz w:val="32"/>
          <w:szCs w:val="32"/>
          <w:lang w:eastAsia="zh-CN"/>
        </w:rPr>
        <w:t>：本着厉行节约的原则，减少公务接待费。</w:t>
      </w:r>
    </w:p>
    <w:p w14:paraId="0D8C36CE">
      <w:pPr>
        <w:pStyle w:val="12"/>
        <w:spacing w:before="0" w:line="360" w:lineRule="auto"/>
        <w:ind w:firstLine="640" w:firstLineChars="200"/>
        <w:rPr>
          <w:rFonts w:hint="default" w:cs="仿宋_GB2312"/>
          <w:color w:val="000000"/>
          <w:kern w:val="2"/>
          <w:sz w:val="32"/>
          <w:szCs w:val="32"/>
          <w:lang w:val="en-US"/>
        </w:rPr>
      </w:pPr>
      <w:r>
        <w:rPr>
          <w:rFonts w:hint="eastAsia" w:cs="仿宋_GB2312"/>
          <w:color w:val="000000"/>
          <w:kern w:val="2"/>
          <w:sz w:val="32"/>
          <w:szCs w:val="32"/>
        </w:rPr>
        <w:t>（三）2025年公务用车购置及运行维护费21.6</w:t>
      </w:r>
      <w:r>
        <w:rPr>
          <w:rFonts w:hint="eastAsia" w:cs="仿宋_GB2312"/>
          <w:color w:val="000000"/>
          <w:kern w:val="2"/>
          <w:sz w:val="32"/>
          <w:szCs w:val="32"/>
          <w:lang w:val="en-US" w:eastAsia="zh-CN"/>
        </w:rPr>
        <w:t>0</w:t>
      </w:r>
      <w:r>
        <w:rPr>
          <w:rFonts w:hint="eastAsia" w:cs="仿宋_GB2312"/>
          <w:color w:val="000000"/>
          <w:kern w:val="2"/>
          <w:sz w:val="32"/>
          <w:szCs w:val="32"/>
        </w:rPr>
        <w:t>万元。</w:t>
      </w:r>
      <w:r>
        <w:rPr>
          <w:rFonts w:hint="eastAsia" w:cs="仿宋_GB2312"/>
          <w:color w:val="auto"/>
          <w:kern w:val="2"/>
          <w:sz w:val="32"/>
          <w:szCs w:val="32"/>
        </w:rPr>
        <w:t>较202</w:t>
      </w:r>
      <w:r>
        <w:rPr>
          <w:rFonts w:hint="eastAsia" w:cs="仿宋_GB2312"/>
          <w:color w:val="auto"/>
          <w:kern w:val="2"/>
          <w:sz w:val="32"/>
          <w:szCs w:val="32"/>
          <w:lang w:val="en-US" w:eastAsia="zh-CN"/>
        </w:rPr>
        <w:t>3</w:t>
      </w:r>
      <w:r>
        <w:rPr>
          <w:rFonts w:hint="eastAsia" w:cs="仿宋_GB2312"/>
          <w:color w:val="auto"/>
          <w:kern w:val="2"/>
          <w:sz w:val="32"/>
          <w:szCs w:val="32"/>
        </w:rPr>
        <w:t>年预算经费</w:t>
      </w:r>
      <w:r>
        <w:rPr>
          <w:rFonts w:hint="eastAsia" w:hAnsi="ˎ̥" w:cs="宋体"/>
          <w:color w:val="auto"/>
          <w:sz w:val="32"/>
          <w:szCs w:val="32"/>
          <w:lang w:val="en-US" w:eastAsia="zh-CN"/>
        </w:rPr>
        <w:t>持平。</w:t>
      </w:r>
    </w:p>
    <w:p w14:paraId="5CA23D14">
      <w:pPr>
        <w:pStyle w:val="12"/>
        <w:spacing w:before="0" w:line="360" w:lineRule="auto"/>
        <w:ind w:firstLine="640" w:firstLineChars="200"/>
        <w:rPr>
          <w:rFonts w:ascii="黑体" w:eastAsia="黑体"/>
          <w:sz w:val="32"/>
          <w:szCs w:val="32"/>
        </w:rPr>
      </w:pPr>
      <w:r>
        <w:rPr>
          <w:rFonts w:hint="eastAsia" w:ascii="黑体" w:eastAsia="黑体"/>
          <w:sz w:val="32"/>
          <w:szCs w:val="32"/>
        </w:rPr>
        <w:t>八、政府性基金</w:t>
      </w:r>
      <w:r>
        <w:rPr>
          <w:rFonts w:hint="eastAsia" w:ascii="黑体" w:eastAsia="黑体" w:cs="仿宋_GB2312"/>
          <w:kern w:val="2"/>
          <w:sz w:val="32"/>
          <w:szCs w:val="32"/>
        </w:rPr>
        <w:t>预算</w:t>
      </w:r>
      <w:r>
        <w:rPr>
          <w:rFonts w:hint="eastAsia" w:ascii="黑体" w:eastAsia="黑体"/>
          <w:sz w:val="32"/>
          <w:szCs w:val="32"/>
        </w:rPr>
        <w:t>支出情况说明</w:t>
      </w:r>
    </w:p>
    <w:p w14:paraId="2A88CADD">
      <w:pPr>
        <w:pStyle w:val="12"/>
        <w:keepNext w:val="0"/>
        <w:keepLines w:val="0"/>
        <w:pageBreakBefore w:val="0"/>
        <w:widowControl w:val="0"/>
        <w:kinsoku/>
        <w:wordWrap/>
        <w:overflowPunct/>
        <w:autoSpaceDE/>
        <w:autoSpaceDN/>
        <w:bidi w:val="0"/>
        <w:spacing w:before="0" w:line="600" w:lineRule="exact"/>
        <w:ind w:left="0" w:firstLine="640" w:firstLineChars="200"/>
        <w:rPr>
          <w:rFonts w:hint="eastAsia" w:cs="仿宋_GB2312"/>
          <w:kern w:val="2"/>
          <w:sz w:val="32"/>
          <w:szCs w:val="32"/>
          <w:lang w:val="en-US" w:eastAsia="zh-CN"/>
        </w:rPr>
      </w:pPr>
      <w:r>
        <w:rPr>
          <w:rFonts w:hint="eastAsia" w:ascii="仿宋" w:hAnsi="仿宋" w:eastAsia="仿宋"/>
          <w:sz w:val="32"/>
          <w:szCs w:val="32"/>
          <w:lang w:val="en-US" w:eastAsia="zh-CN"/>
        </w:rPr>
        <w:t>本单位属于</w:t>
      </w:r>
      <w:r>
        <w:rPr>
          <w:rFonts w:hint="eastAsia" w:ascii="仿宋" w:hAnsi="仿宋" w:eastAsia="仿宋" w:cs="仿宋_GB2312"/>
          <w:bCs/>
          <w:color w:val="000000"/>
          <w:sz w:val="32"/>
          <w:szCs w:val="32"/>
          <w:lang w:val="en-US" w:eastAsia="zh-CN"/>
        </w:rPr>
        <w:t>阿坝州人民政府</w:t>
      </w:r>
      <w:r>
        <w:rPr>
          <w:rFonts w:hint="eastAsia" w:ascii="仿宋" w:hAnsi="仿宋" w:eastAsia="仿宋" w:cs="仿宋_GB2312"/>
          <w:bCs/>
          <w:color w:val="000000"/>
          <w:sz w:val="32"/>
          <w:szCs w:val="32"/>
        </w:rPr>
        <w:t>下属正县级公益一类事业单位</w:t>
      </w:r>
      <w:r>
        <w:rPr>
          <w:rFonts w:hint="eastAsia" w:ascii="仿宋" w:hAnsi="仿宋" w:eastAsia="仿宋" w:cs="仿宋_GB2312"/>
          <w:bCs/>
          <w:color w:val="000000"/>
          <w:sz w:val="32"/>
          <w:szCs w:val="32"/>
          <w:lang w:eastAsia="zh-CN"/>
        </w:rPr>
        <w:t>。</w:t>
      </w:r>
      <w:r>
        <w:rPr>
          <w:rFonts w:hint="eastAsia" w:ascii="仿宋" w:hAnsi="仿宋" w:eastAsia="仿宋" w:cs="仿宋_GB2312"/>
          <w:bCs/>
          <w:color w:val="000000"/>
          <w:sz w:val="32"/>
          <w:szCs w:val="32"/>
          <w:lang w:val="en-US" w:eastAsia="zh-CN"/>
        </w:rPr>
        <w:t>未使用政府性基金预算财政拨款</w:t>
      </w:r>
      <w:r>
        <w:rPr>
          <w:rFonts w:hint="eastAsia" w:ascii="仿宋" w:hAnsi="仿宋" w:eastAsia="仿宋"/>
          <w:sz w:val="32"/>
          <w:szCs w:val="32"/>
          <w:lang w:eastAsia="zh-CN"/>
        </w:rPr>
        <w:t>。</w:t>
      </w:r>
      <w:r>
        <w:rPr>
          <w:rFonts w:hint="eastAsia" w:cs="仿宋_GB2312"/>
          <w:kern w:val="2"/>
          <w:sz w:val="32"/>
          <w:szCs w:val="32"/>
        </w:rPr>
        <w:t>单位</w:t>
      </w:r>
      <w:r>
        <w:rPr>
          <w:rFonts w:hint="eastAsia" w:cs="仿宋_GB2312"/>
          <w:kern w:val="2"/>
          <w:sz w:val="32"/>
          <w:szCs w:val="32"/>
          <w:lang w:val="en-US" w:eastAsia="zh-CN"/>
        </w:rPr>
        <w:t>无</w:t>
      </w:r>
      <w:r>
        <w:rPr>
          <w:rFonts w:hint="eastAsia" w:cs="仿宋_GB2312"/>
          <w:kern w:val="2"/>
          <w:sz w:val="32"/>
          <w:szCs w:val="32"/>
        </w:rPr>
        <w:t>政府性基金预算拨款</w:t>
      </w:r>
      <w:r>
        <w:rPr>
          <w:rFonts w:hint="eastAsia" w:cs="仿宋_GB2312"/>
          <w:kern w:val="2"/>
          <w:sz w:val="32"/>
          <w:szCs w:val="32"/>
          <w:lang w:val="en-US" w:eastAsia="zh-CN"/>
        </w:rPr>
        <w:t>。</w:t>
      </w:r>
    </w:p>
    <w:p w14:paraId="18F0F591">
      <w:pPr>
        <w:pStyle w:val="12"/>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14:paraId="788E5A6F">
      <w:pPr>
        <w:pStyle w:val="12"/>
        <w:keepNext w:val="0"/>
        <w:keepLines w:val="0"/>
        <w:pageBreakBefore w:val="0"/>
        <w:widowControl w:val="0"/>
        <w:kinsoku/>
        <w:wordWrap/>
        <w:overflowPunct/>
        <w:autoSpaceDE/>
        <w:autoSpaceDN/>
        <w:bidi w:val="0"/>
        <w:spacing w:before="0" w:line="600" w:lineRule="exact"/>
        <w:ind w:left="0" w:firstLine="640" w:firstLineChars="200"/>
        <w:rPr>
          <w:rFonts w:cs="仿宋_GB2312"/>
          <w:color w:val="FF0000"/>
          <w:kern w:val="2"/>
          <w:sz w:val="32"/>
          <w:szCs w:val="32"/>
        </w:rPr>
      </w:pPr>
      <w:r>
        <w:rPr>
          <w:rFonts w:hint="eastAsia" w:ascii="楷体" w:eastAsia="楷体" w:cs="仿宋_GB2312"/>
          <w:kern w:val="2"/>
          <w:sz w:val="32"/>
          <w:szCs w:val="32"/>
        </w:rPr>
        <w:t>（一）机关运行经费</w:t>
      </w:r>
      <w:r>
        <w:rPr>
          <w:rFonts w:hint="eastAsia" w:cs="仿宋_GB2312"/>
          <w:kern w:val="2"/>
          <w:sz w:val="32"/>
          <w:szCs w:val="32"/>
        </w:rPr>
        <w:br w:type="textWrapping"/>
      </w:r>
      <w:r>
        <w:rPr>
          <w:rFonts w:hint="eastAsia" w:cs="仿宋_GB2312"/>
          <w:kern w:val="2"/>
          <w:sz w:val="32"/>
          <w:szCs w:val="32"/>
        </w:rPr>
        <w:t xml:space="preserve">　  </w:t>
      </w:r>
      <w:r>
        <w:rPr>
          <w:rFonts w:hint="eastAsia" w:ascii="仿宋" w:hAnsi="仿宋" w:eastAsia="仿宋"/>
          <w:sz w:val="32"/>
          <w:szCs w:val="32"/>
          <w:lang w:val="en-US" w:eastAsia="zh-CN"/>
        </w:rPr>
        <w:t>本单位属于</w:t>
      </w:r>
      <w:r>
        <w:rPr>
          <w:rFonts w:hint="eastAsia" w:ascii="仿宋" w:hAnsi="仿宋" w:eastAsia="仿宋" w:cs="仿宋_GB2312"/>
          <w:bCs/>
          <w:color w:val="000000"/>
          <w:sz w:val="32"/>
          <w:szCs w:val="32"/>
          <w:lang w:val="en-US" w:eastAsia="zh-CN"/>
        </w:rPr>
        <w:t>阿坝州人民政府</w:t>
      </w:r>
      <w:r>
        <w:rPr>
          <w:rFonts w:hint="eastAsia" w:ascii="仿宋" w:hAnsi="仿宋" w:eastAsia="仿宋" w:cs="仿宋_GB2312"/>
          <w:bCs/>
          <w:color w:val="000000"/>
          <w:sz w:val="32"/>
          <w:szCs w:val="32"/>
        </w:rPr>
        <w:t>下属正县级公益一类事业单位</w:t>
      </w:r>
      <w:r>
        <w:rPr>
          <w:rFonts w:hint="eastAsia" w:ascii="仿宋" w:hAnsi="仿宋" w:eastAsia="仿宋" w:cs="仿宋_GB2312"/>
          <w:bCs/>
          <w:color w:val="000000"/>
          <w:sz w:val="32"/>
          <w:szCs w:val="32"/>
          <w:lang w:eastAsia="zh-CN"/>
        </w:rPr>
        <w:t>。</w:t>
      </w:r>
      <w:r>
        <w:rPr>
          <w:rFonts w:hint="eastAsia" w:ascii="仿宋" w:hAnsi="仿宋" w:eastAsia="仿宋" w:cs="仿宋_GB2312"/>
          <w:bCs/>
          <w:color w:val="000000"/>
          <w:sz w:val="32"/>
          <w:szCs w:val="32"/>
          <w:lang w:val="en-US" w:eastAsia="zh-CN"/>
        </w:rPr>
        <w:t>无机关运行经费。</w:t>
      </w:r>
      <w:r>
        <w:rPr>
          <w:rFonts w:hint="eastAsia" w:cs="仿宋_GB2312"/>
          <w:color w:val="000000"/>
          <w:kern w:val="2"/>
          <w:sz w:val="32"/>
          <w:szCs w:val="32"/>
        </w:rPr>
        <w:t xml:space="preserve"> </w:t>
      </w:r>
    </w:p>
    <w:p w14:paraId="4AEE5050">
      <w:pPr>
        <w:pStyle w:val="12"/>
        <w:keepNext w:val="0"/>
        <w:keepLines w:val="0"/>
        <w:pageBreakBefore w:val="0"/>
        <w:widowControl w:val="0"/>
        <w:kinsoku/>
        <w:wordWrap/>
        <w:overflowPunct/>
        <w:autoSpaceDE/>
        <w:autoSpaceDN/>
        <w:bidi w:val="0"/>
        <w:spacing w:before="0" w:line="600" w:lineRule="exact"/>
        <w:ind w:left="0" w:firstLine="640" w:firstLineChars="200"/>
        <w:rPr>
          <w:rFonts w:cs="仿宋_GB2312"/>
          <w:kern w:val="2"/>
          <w:sz w:val="32"/>
          <w:szCs w:val="32"/>
        </w:rPr>
      </w:pPr>
      <w:r>
        <w:rPr>
          <w:rFonts w:hint="eastAsia" w:ascii="楷体" w:eastAsia="楷体" w:cs="仿宋_GB2312"/>
          <w:kern w:val="2"/>
          <w:sz w:val="32"/>
          <w:szCs w:val="32"/>
        </w:rPr>
        <w:t>（二）政府采购情况</w:t>
      </w:r>
      <w:r>
        <w:rPr>
          <w:rFonts w:hint="eastAsia" w:cs="仿宋_GB2312"/>
          <w:kern w:val="2"/>
          <w:sz w:val="32"/>
          <w:szCs w:val="32"/>
        </w:rPr>
        <w:br w:type="textWrapping"/>
      </w:r>
      <w:r>
        <w:rPr>
          <w:rFonts w:hint="eastAsia" w:cs="仿宋_GB2312"/>
          <w:kern w:val="2"/>
          <w:sz w:val="32"/>
          <w:szCs w:val="32"/>
        </w:rPr>
        <w:t>　</w:t>
      </w:r>
      <w:r>
        <w:rPr>
          <w:rFonts w:hint="eastAsia" w:cs="仿宋_GB2312"/>
          <w:color w:val="000000"/>
          <w:kern w:val="2"/>
          <w:sz w:val="32"/>
          <w:szCs w:val="32"/>
        </w:rPr>
        <w:t>　 2025年</w:t>
      </w:r>
      <w:r>
        <w:rPr>
          <w:rFonts w:hint="eastAsia" w:cs="仿宋_GB2312"/>
          <w:kern w:val="2"/>
          <w:sz w:val="32"/>
          <w:szCs w:val="32"/>
        </w:rPr>
        <w:t>单位</w:t>
      </w:r>
      <w:r>
        <w:rPr>
          <w:rFonts w:hint="eastAsia" w:cs="仿宋_GB2312"/>
          <w:color w:val="000000"/>
          <w:kern w:val="2"/>
          <w:sz w:val="32"/>
          <w:szCs w:val="32"/>
        </w:rPr>
        <w:t>安排政府采购预算</w:t>
      </w:r>
      <w:r>
        <w:rPr>
          <w:rFonts w:hint="eastAsia" w:cs="仿宋_GB2312"/>
          <w:color w:val="000000"/>
          <w:kern w:val="2"/>
          <w:sz w:val="32"/>
          <w:szCs w:val="32"/>
          <w:lang w:val="en-US" w:eastAsia="zh-CN"/>
        </w:rPr>
        <w:t>50</w:t>
      </w:r>
      <w:r>
        <w:rPr>
          <w:rFonts w:hint="eastAsia" w:cs="仿宋_GB2312"/>
          <w:color w:val="000000"/>
          <w:kern w:val="2"/>
          <w:sz w:val="32"/>
          <w:szCs w:val="32"/>
        </w:rPr>
        <w:t>万元</w:t>
      </w:r>
      <w:r>
        <w:rPr>
          <w:rFonts w:hint="eastAsia" w:cs="仿宋_GB2312"/>
          <w:color w:val="000000"/>
          <w:kern w:val="2"/>
          <w:sz w:val="32"/>
          <w:szCs w:val="32"/>
          <w:lang w:eastAsia="zh-CN"/>
        </w:rPr>
        <w:t>，</w:t>
      </w:r>
      <w:r>
        <w:rPr>
          <w:rFonts w:hint="eastAsia" w:cs="仿宋_GB2312"/>
          <w:color w:val="auto"/>
          <w:kern w:val="2"/>
          <w:sz w:val="32"/>
          <w:szCs w:val="32"/>
        </w:rPr>
        <w:t>主要用于</w:t>
      </w:r>
      <w:r>
        <w:rPr>
          <w:rFonts w:hint="eastAsia" w:cs="仿宋_GB2312"/>
          <w:color w:val="auto"/>
          <w:kern w:val="2"/>
          <w:sz w:val="32"/>
          <w:szCs w:val="32"/>
          <w:lang w:val="en-US" w:eastAsia="zh-CN"/>
        </w:rPr>
        <w:t>采购兽药、耗材及青干草45万元；采购监控设备5万元。</w:t>
      </w:r>
    </w:p>
    <w:p w14:paraId="0BC2A911">
      <w:pPr>
        <w:pStyle w:val="12"/>
        <w:spacing w:before="0" w:line="360" w:lineRule="auto"/>
        <w:ind w:firstLine="640" w:firstLineChars="200"/>
        <w:rPr>
          <w:rFonts w:ascii="楷体" w:eastAsia="楷体" w:cs="仿宋_GB2312"/>
          <w:kern w:val="2"/>
          <w:sz w:val="32"/>
          <w:szCs w:val="32"/>
        </w:rPr>
      </w:pPr>
      <w:r>
        <w:rPr>
          <w:rFonts w:hint="eastAsia" w:ascii="楷体" w:eastAsia="楷体" w:cs="仿宋_GB2312"/>
          <w:kern w:val="2"/>
          <w:sz w:val="32"/>
          <w:szCs w:val="32"/>
        </w:rPr>
        <w:t>（三）国有资产占有使用情况</w:t>
      </w:r>
    </w:p>
    <w:p w14:paraId="1CBAD7A7">
      <w:pPr>
        <w:pStyle w:val="12"/>
        <w:spacing w:before="0" w:line="360" w:lineRule="auto"/>
        <w:ind w:firstLine="640" w:firstLineChars="200"/>
        <w:rPr>
          <w:rFonts w:cs="仿宋_GB2312"/>
          <w:kern w:val="2"/>
          <w:sz w:val="32"/>
          <w:szCs w:val="32"/>
        </w:rPr>
      </w:pPr>
      <w:r>
        <w:rPr>
          <w:rFonts w:hint="eastAsia" w:cs="仿宋_GB2312"/>
          <w:kern w:val="2"/>
          <w:sz w:val="32"/>
          <w:szCs w:val="32"/>
        </w:rPr>
        <w:t>截至2024年12月31日，我单位固定资产</w:t>
      </w:r>
      <w:r>
        <w:rPr>
          <w:rFonts w:hint="eastAsia" w:cs="仿宋_GB2312"/>
          <w:kern w:val="2"/>
          <w:sz w:val="32"/>
          <w:szCs w:val="32"/>
          <w:lang w:val="en-US" w:eastAsia="zh-CN"/>
        </w:rPr>
        <w:t>5544.4</w:t>
      </w:r>
      <w:r>
        <w:rPr>
          <w:rFonts w:hint="eastAsia" w:cs="仿宋_GB2312"/>
          <w:kern w:val="2"/>
          <w:sz w:val="32"/>
          <w:szCs w:val="32"/>
        </w:rPr>
        <w:t>万元。</w:t>
      </w:r>
    </w:p>
    <w:p w14:paraId="54B7E06E">
      <w:pPr>
        <w:pStyle w:val="12"/>
        <w:spacing w:before="0" w:line="360" w:lineRule="auto"/>
        <w:ind w:firstLine="640" w:firstLineChars="200"/>
        <w:rPr>
          <w:rFonts w:ascii="黑体" w:eastAsia="黑体"/>
          <w:sz w:val="32"/>
          <w:szCs w:val="32"/>
        </w:rPr>
      </w:pPr>
      <w:r>
        <w:rPr>
          <w:rFonts w:hint="eastAsia" w:ascii="楷体" w:eastAsia="楷体" w:cs="仿宋_GB2312"/>
          <w:kern w:val="2"/>
          <w:sz w:val="32"/>
          <w:szCs w:val="32"/>
        </w:rPr>
        <w:t>（四）绩效目标设置情况</w:t>
      </w:r>
      <w:r>
        <w:rPr>
          <w:rFonts w:hint="eastAsia" w:cs="仿宋_GB2312"/>
          <w:kern w:val="2"/>
          <w:sz w:val="32"/>
          <w:szCs w:val="32"/>
        </w:rPr>
        <w:br w:type="textWrapping"/>
      </w:r>
      <w:r>
        <w:rPr>
          <w:rFonts w:hint="eastAsia" w:cs="仿宋_GB2312"/>
          <w:kern w:val="2"/>
          <w:sz w:val="32"/>
          <w:szCs w:val="32"/>
        </w:rPr>
        <w:t>　　2025年部门（单位）通用项目和专用项目均按要求实行绩效目标管理，涉及一般公共预算当年拨款</w:t>
      </w:r>
      <w:r>
        <w:rPr>
          <w:rFonts w:hint="eastAsia" w:cs="仿宋_GB2312"/>
          <w:kern w:val="2"/>
          <w:sz w:val="32"/>
          <w:szCs w:val="32"/>
          <w:lang w:val="en-US" w:eastAsia="zh-CN"/>
        </w:rPr>
        <w:t>61.00</w:t>
      </w:r>
      <w:r>
        <w:rPr>
          <w:rFonts w:hint="eastAsia" w:cs="仿宋_GB2312"/>
          <w:kern w:val="2"/>
          <w:sz w:val="32"/>
          <w:szCs w:val="32"/>
        </w:rPr>
        <w:t>万元。</w:t>
      </w:r>
    </w:p>
    <w:p w14:paraId="028A92C3">
      <w:pPr>
        <w:pStyle w:val="12"/>
        <w:spacing w:before="0" w:line="360" w:lineRule="auto"/>
        <w:ind w:firstLine="640" w:firstLineChars="200"/>
        <w:rPr>
          <w:rFonts w:cs="仿宋_GB2312"/>
          <w:kern w:val="2"/>
          <w:sz w:val="32"/>
          <w:szCs w:val="32"/>
        </w:rPr>
      </w:pPr>
      <w:r>
        <w:rPr>
          <w:rFonts w:hint="eastAsia" w:ascii="黑体" w:eastAsia="黑体"/>
          <w:sz w:val="32"/>
          <w:szCs w:val="32"/>
        </w:rPr>
        <w:t xml:space="preserve">十、名称解释 </w:t>
      </w:r>
      <w:r>
        <w:rPr>
          <w:rFonts w:hint="eastAsia" w:cs="仿宋_GB2312"/>
          <w:sz w:val="32"/>
          <w:szCs w:val="32"/>
        </w:rPr>
        <w:br w:type="textWrapping"/>
      </w:r>
      <w:r>
        <w:rPr>
          <w:rFonts w:hint="eastAsia" w:ascii="??" w:hAnsi="??" w:eastAsia="宋体" w:cs="宋体"/>
          <w:sz w:val="16"/>
        </w:rPr>
        <w:t xml:space="preserve">　　   </w:t>
      </w:r>
      <w:r>
        <w:rPr>
          <w:rFonts w:hint="eastAsia" w:ascii="楷体" w:eastAsia="楷体" w:cs="仿宋_GB2312"/>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hint="eastAsia" w:cs="仿宋_GB2312"/>
          <w:kern w:val="2"/>
          <w:sz w:val="32"/>
          <w:szCs w:val="32"/>
          <w:lang w:eastAsia="zh-CN"/>
        </w:rPr>
        <w:t>”“</w:t>
      </w:r>
      <w:r>
        <w:rPr>
          <w:rFonts w:hint="eastAsia" w:cs="仿宋_GB2312"/>
          <w:kern w:val="2"/>
          <w:sz w:val="32"/>
          <w:szCs w:val="32"/>
        </w:rPr>
        <w:t>事业收入</w:t>
      </w:r>
      <w:r>
        <w:rPr>
          <w:rFonts w:hint="eastAsia" w:cs="仿宋_GB2312"/>
          <w:kern w:val="2"/>
          <w:sz w:val="32"/>
          <w:szCs w:val="32"/>
          <w:lang w:eastAsia="zh-CN"/>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（五）用事业基金弥补收支差额</w:t>
      </w:r>
      <w:r>
        <w:rPr>
          <w:rFonts w:hint="eastAsia" w:cs="仿宋_GB2312"/>
          <w:kern w:val="2"/>
          <w:sz w:val="32"/>
          <w:szCs w:val="32"/>
        </w:rPr>
        <w:t>：指所属事业单位在预</w:t>
      </w:r>
      <w:r>
        <w:rPr>
          <w:rFonts w:hint="eastAsia" w:cs="仿宋_GB2312"/>
          <w:kern w:val="2"/>
          <w:sz w:val="32"/>
          <w:szCs w:val="32"/>
          <w:lang w:eastAsia="zh-CN"/>
        </w:rPr>
        <w:t>计使</w:t>
      </w:r>
      <w:r>
        <w:rPr>
          <w:rFonts w:hint="eastAsia" w:cs="仿宋_GB2312"/>
          <w:kern w:val="2"/>
          <w:sz w:val="32"/>
          <w:szCs w:val="32"/>
        </w:rPr>
        <w:t>用当年的</w:t>
      </w:r>
      <w:r>
        <w:rPr>
          <w:rFonts w:cs="仿宋_GB2312"/>
          <w:kern w:val="2"/>
          <w:sz w:val="32"/>
          <w:szCs w:val="32"/>
        </w:rPr>
        <w:t>“</w:t>
      </w:r>
      <w:r>
        <w:rPr>
          <w:rFonts w:hint="eastAsia" w:cs="仿宋_GB2312"/>
          <w:kern w:val="2"/>
          <w:sz w:val="32"/>
          <w:szCs w:val="32"/>
        </w:rPr>
        <w:t>财政拨款收入</w:t>
      </w:r>
      <w:r>
        <w:rPr>
          <w:rFonts w:hint="eastAsia" w:cs="仿宋_GB2312"/>
          <w:kern w:val="2"/>
          <w:sz w:val="32"/>
          <w:szCs w:val="32"/>
          <w:lang w:eastAsia="zh-CN"/>
        </w:rPr>
        <w:t>”“</w:t>
      </w:r>
      <w:r>
        <w:rPr>
          <w:rFonts w:hint="eastAsia" w:cs="仿宋_GB2312"/>
          <w:kern w:val="2"/>
          <w:sz w:val="32"/>
          <w:szCs w:val="32"/>
        </w:rPr>
        <w:t>事业收入</w:t>
      </w:r>
      <w:r>
        <w:rPr>
          <w:rFonts w:hint="eastAsia" w:cs="仿宋_GB2312"/>
          <w:kern w:val="2"/>
          <w:sz w:val="32"/>
          <w:szCs w:val="32"/>
          <w:lang w:eastAsia="zh-CN"/>
        </w:rPr>
        <w:t>”“</w:t>
      </w:r>
      <w:r>
        <w:rPr>
          <w:rFonts w:hint="eastAsia" w:cs="仿宋_GB2312"/>
          <w:kern w:val="2"/>
          <w:sz w:val="32"/>
          <w:szCs w:val="32"/>
        </w:rPr>
        <w:t>事业单位经营收入</w:t>
      </w:r>
      <w:r>
        <w:rPr>
          <w:rFonts w:hint="eastAsia" w:cs="仿宋_GB2312"/>
          <w:kern w:val="2"/>
          <w:sz w:val="32"/>
          <w:szCs w:val="32"/>
          <w:lang w:eastAsia="zh-CN"/>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14:paraId="5E85CB76">
      <w:pPr>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moder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2000000000000000000"/>
    <w:charset w:val="86"/>
    <w:family w:val="auto"/>
    <w:pitch w:val="default"/>
    <w:sig w:usb0="00000000" w:usb1="00000000" w:usb2="00000012" w:usb3="00000000" w:csb0="00040001"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楷体_GB2312">
    <w:altName w:val="楷体"/>
    <w:panose1 w:val="02010609030001010101"/>
    <w:charset w:val="86"/>
    <w:family w:val="auto"/>
    <w:pitch w:val="default"/>
    <w:sig w:usb0="00000000" w:usb1="00000000" w:usb2="00000000" w:usb3="00000000" w:csb0="00040000" w:csb1="00000000"/>
  </w:font>
  <w:font w:name="ˎ̥">
    <w:altName w:val="Times New Roman"/>
    <w:panose1 w:val="00000000000000000000"/>
    <w:charset w:val="00"/>
    <w:family w:val="roman"/>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32F98E">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03D20"/>
    <w:multiLevelType w:val="multilevel"/>
    <w:tmpl w:val="47D03D20"/>
    <w:lvl w:ilvl="0" w:tentative="0">
      <w:start w:val="2"/>
      <w:numFmt w:val="japaneseCounting"/>
      <w:lvlText w:val="%1、"/>
      <w:lvlJc w:val="left"/>
      <w:pPr>
        <w:tabs>
          <w:tab w:val="left" w:pos="0"/>
        </w:tabs>
        <w:ind w:left="1360" w:hanging="720"/>
      </w:pPr>
      <w:rPr>
        <w:rFonts w:hint="default"/>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5"/>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116B3023"/>
    <w:rsid w:val="15D35A6E"/>
    <w:rsid w:val="17FD6077"/>
    <w:rsid w:val="1BF86036"/>
    <w:rsid w:val="1FB456D0"/>
    <w:rsid w:val="249E6CBA"/>
    <w:rsid w:val="34713D0B"/>
    <w:rsid w:val="371307F7"/>
    <w:rsid w:val="448E4E0A"/>
    <w:rsid w:val="4C0F2681"/>
    <w:rsid w:val="4D9A1059"/>
    <w:rsid w:val="55D11E31"/>
    <w:rsid w:val="56E977A6"/>
    <w:rsid w:val="61CF1644"/>
    <w:rsid w:val="68C10D61"/>
    <w:rsid w:val="6C134FDD"/>
    <w:rsid w:val="771B43F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qFormat/>
    <w:uiPriority w:val="0"/>
    <w:pPr>
      <w:keepNext/>
      <w:keepLines/>
      <w:widowControl w:val="0"/>
      <w:spacing w:before="340" w:after="330" w:line="578" w:lineRule="auto"/>
      <w:outlineLvl w:val="0"/>
    </w:pPr>
    <w:rPr>
      <w:b/>
      <w:bCs/>
      <w:kern w:val="44"/>
      <w:sz w:val="44"/>
    </w:rPr>
  </w:style>
  <w:style w:type="paragraph" w:styleId="4">
    <w:name w:val="heading 2"/>
    <w:basedOn w:val="1"/>
    <w:next w:val="1"/>
    <w:qFormat/>
    <w:uiPriority w:val="0"/>
    <w:pPr>
      <w:keepNext/>
      <w:keepLines/>
      <w:widowControl w:val="0"/>
      <w:spacing w:before="260" w:after="260" w:line="415" w:lineRule="auto"/>
      <w:outlineLvl w:val="1"/>
    </w:pPr>
    <w:rPr>
      <w:rFonts w:ascii="Arial" w:hAnsi="Arial" w:eastAsia="黑体"/>
      <w:b/>
      <w:sz w:val="32"/>
    </w:rPr>
  </w:style>
  <w:style w:type="paragraph" w:styleId="5">
    <w:name w:val="heading 3"/>
    <w:basedOn w:val="1"/>
    <w:next w:val="1"/>
    <w:qFormat/>
    <w:uiPriority w:val="0"/>
    <w:pPr>
      <w:keepNext/>
      <w:keepLines/>
      <w:widowControl w:val="0"/>
      <w:spacing w:before="260" w:after="260" w:line="415" w:lineRule="auto"/>
      <w:outlineLvl w:val="2"/>
    </w:pPr>
    <w:rPr>
      <w:b/>
      <w:sz w:val="32"/>
    </w:rPr>
  </w:style>
  <w:style w:type="character" w:default="1" w:styleId="10">
    <w:name w:val="Default Paragraph Font"/>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napToGrid/>
      <w:ind w:left="0" w:leftChars="0"/>
      <w:jc w:val="left"/>
    </w:pPr>
    <w:rPr>
      <w:rFonts w:ascii="Calibri" w:hAnsi="Calibri" w:eastAsia="宋体" w:cs="Times New Roman"/>
      <w:sz w:val="32"/>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widowControl w:val="0"/>
      <w:spacing w:before="100" w:beforeAutospacing="1" w:after="100" w:afterAutospacing="1"/>
      <w:ind w:left="0" w:right="0"/>
      <w:jc w:val="left"/>
    </w:pPr>
    <w:rPr>
      <w:rFonts w:ascii="Times New Roman" w:hAnsi="Times New Roman" w:eastAsia="宋体" w:cs="Times New Roman"/>
      <w:kern w:val="0"/>
      <w:sz w:val="24"/>
      <w:szCs w:val="24"/>
      <w:lang w:val="en-US" w:eastAsia="zh-CN"/>
    </w:rPr>
  </w:style>
  <w:style w:type="paragraph" w:styleId="11">
    <w:name w:val="List Paragraph"/>
    <w:basedOn w:val="1"/>
    <w:qFormat/>
    <w:uiPriority w:val="0"/>
    <w:pPr>
      <w:ind w:firstLine="200" w:firstLineChars="200"/>
    </w:pPr>
  </w:style>
  <w:style w:type="paragraph" w:customStyle="1" w:styleId="12">
    <w:name w:val="正文文本1"/>
    <w:basedOn w:val="1"/>
    <w:qFormat/>
    <w:uiPriority w:val="0"/>
    <w:pPr>
      <w:spacing w:before="93"/>
    </w:pPr>
    <w:rPr>
      <w:rFonts w:ascii="仿宋_GB2312" w:eastAsia="仿宋_GB2312"/>
      <w:kern w:val="0"/>
      <w:sz w:val="30"/>
      <w:szCs w:val="20"/>
    </w:rPr>
  </w:style>
  <w:style w:type="paragraph" w:customStyle="1" w:styleId="13">
    <w:name w:val="普通(网站)1"/>
    <w:basedOn w:val="1"/>
    <w:qFormat/>
    <w:uiPriority w:val="0"/>
    <w:pPr>
      <w:spacing w:before="100" w:beforeAutospacing="1" w:after="100" w:afterAutospacing="1"/>
      <w:ind w:left="0" w:right="0"/>
      <w:jc w:val="left"/>
    </w:pPr>
    <w:rPr>
      <w:rFonts w:ascii="Times New Roman" w:hAnsi="Times New Roman" w:eastAsia="宋体" w:cs="Times New Roman"/>
      <w:kern w:val="0"/>
      <w:sz w:val="24"/>
      <w:lang w:val="en-US" w:eastAsia="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11</Pages>
  <Words>4371</Words>
  <Characters>4735</Characters>
  <Lines>124</Lines>
  <Paragraphs>51</Paragraphs>
  <TotalTime>5</TotalTime>
  <ScaleCrop>false</ScaleCrop>
  <LinksUpToDate>false</LinksUpToDate>
  <CharactersWithSpaces>4770</CharactersWithSpaces>
  <Application>WPS Office_12.1.0.19770_F1E327BC-269C-435d-A152-05C5408002CA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体制化</cp:lastModifiedBy>
  <cp:lastPrinted>2018-01-30T09:39:00Z</cp:lastPrinted>
  <dcterms:modified xsi:type="dcterms:W3CDTF">2025-02-20T07:05:10Z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KSOTemplateDocerSaveRecord">
    <vt:lpwstr>eyJoZGlkIjoiNjU0MWQ0YTQwODg4OGMxZWQ1ZTUwOGZmNDcyMTk2NzciLCJ1c2VySWQiOiIyNDQ0OTQwMDIifQ==</vt:lpwstr>
  </property>
  <property fmtid="{D5CDD505-2E9C-101B-9397-08002B2CF9AE}" pid="4" name="ICV">
    <vt:lpwstr>BB37FE11369B44EF8BA9DE140874DA1F_12</vt:lpwstr>
  </property>
</Properties>
</file>