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bookmarkStart w:id="0" w:name="_GoBack"/>
      <w:r>
        <w:rPr>
          <w:rFonts w:hint="eastAsia" w:ascii="黑体" w:hAnsi="黑体" w:eastAsia="黑体"/>
          <w:sz w:val="44"/>
          <w:szCs w:val="44"/>
          <w:lang w:val="en-US" w:eastAsia="zh-CN"/>
        </w:rPr>
        <w:t>阿坝州科学技术协会及下属事业</w:t>
      </w:r>
      <w:bookmarkEnd w:id="0"/>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阿坝州民族科普工作队</w:t>
      </w:r>
    </w:p>
    <w:p>
      <w:pPr>
        <w:jc w:val="center"/>
        <w:rPr>
          <w:rFonts w:hint="default" w:ascii="黑体" w:hAnsi="黑体" w:eastAsia="黑体"/>
          <w:sz w:val="44"/>
          <w:szCs w:val="44"/>
          <w:lang w:val="en-US" w:eastAsia="zh-CN"/>
        </w:rPr>
      </w:pPr>
      <w:r>
        <w:rPr>
          <w:rFonts w:hint="eastAsia" w:ascii="黑体" w:hAnsi="黑体" w:eastAsia="黑体"/>
          <w:sz w:val="44"/>
          <w:szCs w:val="44"/>
          <w:lang w:val="en-US" w:eastAsia="zh-CN"/>
        </w:rPr>
        <w:t>阿坝州科技馆</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rPr>
        <w:t>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仿宋_GB2312" w:hAnsi="黑体" w:eastAsia="仿宋_GB2312"/>
          <w:sz w:val="32"/>
          <w:szCs w:val="32"/>
          <w:lang w:eastAsia="zh-CN"/>
        </w:rPr>
      </w:pPr>
      <w:r>
        <w:rPr>
          <w:rFonts w:hint="eastAsia" w:ascii="仿宋_GB2312" w:hAnsi="黑体" w:eastAsia="仿宋_GB2312"/>
          <w:sz w:val="32"/>
          <w:szCs w:val="32"/>
        </w:rPr>
        <w:t>（一）一般公共预算当年拨款规模变化情况</w:t>
      </w:r>
    </w:p>
    <w:p>
      <w:pPr>
        <w:rPr>
          <w:rFonts w:hint="eastAsia" w:ascii="仿宋_GB2312" w:hAnsi="黑体" w:eastAsia="仿宋_GB2312"/>
          <w:sz w:val="32"/>
          <w:szCs w:val="32"/>
          <w:lang w:eastAsia="zh-CN"/>
        </w:rPr>
      </w:pPr>
      <w:r>
        <w:rPr>
          <w:rFonts w:hint="eastAsia" w:ascii="仿宋_GB2312" w:hAnsi="黑体" w:eastAsia="仿宋_GB2312"/>
          <w:sz w:val="32"/>
          <w:szCs w:val="32"/>
        </w:rPr>
        <w:t>（二）一般公共预算当年拨款结构情况</w:t>
      </w:r>
    </w:p>
    <w:p>
      <w:pPr>
        <w:rPr>
          <w:rFonts w:hint="eastAsia" w:ascii="仿宋_GB2312" w:hAnsi="黑体" w:eastAsia="仿宋_GB2312"/>
          <w:sz w:val="32"/>
          <w:szCs w:val="32"/>
          <w:lang w:eastAsia="zh-CN"/>
        </w:rPr>
      </w:pPr>
      <w:r>
        <w:rPr>
          <w:rFonts w:hint="eastAsia" w:ascii="仿宋_GB2312" w:hAnsi="黑体" w:eastAsia="仿宋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numPr>
          <w:ilvl w:val="0"/>
          <w:numId w:val="1"/>
        </w:numPr>
        <w:rPr>
          <w:rFonts w:ascii="仿宋_GB2312" w:hAnsi="黑体" w:eastAsia="仿宋_GB2312"/>
          <w:sz w:val="32"/>
          <w:szCs w:val="32"/>
        </w:rPr>
      </w:pPr>
      <w:r>
        <w:rPr>
          <w:rFonts w:hint="eastAsia" w:ascii="仿宋_GB2312" w:hAnsi="黑体" w:eastAsia="仿宋_GB2312"/>
          <w:sz w:val="32"/>
          <w:szCs w:val="32"/>
        </w:rPr>
        <w:t>部门职能简介</w:t>
      </w:r>
    </w:p>
    <w:p>
      <w:pPr>
        <w:autoSpaceDE w:val="0"/>
        <w:autoSpaceDN w:val="0"/>
        <w:adjustRightInd w:val="0"/>
        <w:spacing w:line="576" w:lineRule="exact"/>
        <w:ind w:firstLine="640" w:firstLineChars="200"/>
        <w:rPr>
          <w:rFonts w:hint="eastAsia" w:ascii="仿宋" w:eastAsia="仿宋" w:cs="仿宋"/>
          <w:sz w:val="32"/>
          <w:szCs w:val="32"/>
        </w:rPr>
      </w:pPr>
      <w:r>
        <w:rPr>
          <w:rFonts w:hint="eastAsia" w:ascii="仿宋" w:eastAsia="仿宋" w:cs="仿宋"/>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内蒙古自治区外的科技团体和人员的友好交往，促进对外开放。⑦和所属州级学会、协会进行管理，对基层科协进行业务指导。⑧承担州委，州政府和上级科协交办的其它事项</w:t>
      </w:r>
    </w:p>
    <w:p>
      <w:pPr>
        <w:numPr>
          <w:numId w:val="0"/>
        </w:numPr>
        <w:rPr>
          <w:rFonts w:ascii="仿宋_GB2312" w:hAnsi="黑体" w:eastAsia="仿宋_GB2312"/>
          <w:sz w:val="32"/>
          <w:szCs w:val="32"/>
        </w:rPr>
      </w:pPr>
    </w:p>
    <w:p>
      <w:pPr>
        <w:rPr>
          <w:rFonts w:hint="eastAsia"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rPr>
        <w:t>22年重点工作</w:t>
      </w:r>
    </w:p>
    <w:p>
      <w:pPr>
        <w:autoSpaceDE w:val="0"/>
        <w:autoSpaceDN w:val="0"/>
        <w:adjustRightInd w:val="0"/>
        <w:spacing w:line="576" w:lineRule="exact"/>
        <w:ind w:firstLine="640" w:firstLineChars="200"/>
        <w:rPr>
          <w:rFonts w:hint="eastAsia" w:ascii="仿宋" w:eastAsia="仿宋" w:cs="仿宋_GB2312"/>
          <w:sz w:val="32"/>
          <w:szCs w:val="32"/>
        </w:rPr>
      </w:pPr>
      <w:r>
        <w:rPr>
          <w:rFonts w:hint="eastAsia" w:ascii="仿宋_GB2312" w:hAnsi="黑体" w:eastAsia="仿宋_GB2312"/>
          <w:sz w:val="32"/>
          <w:szCs w:val="32"/>
          <w:lang w:val="en-US" w:eastAsia="zh-CN"/>
        </w:rPr>
        <w:t>1.</w:t>
      </w:r>
      <w:r>
        <w:rPr>
          <w:rFonts w:hint="eastAsia" w:ascii="仿宋" w:eastAsia="仿宋" w:cs="仿宋_GB2312"/>
          <w:b/>
          <w:sz w:val="32"/>
          <w:szCs w:val="32"/>
        </w:rPr>
        <w:t>推进“天府科技云”工作。</w:t>
      </w:r>
      <w:r>
        <w:rPr>
          <w:rFonts w:hint="eastAsia" w:ascii="仿宋" w:eastAsia="仿宋"/>
          <w:sz w:val="32"/>
          <w:szCs w:val="32"/>
        </w:rPr>
        <w:t>进一步按照省科协的统一部署和要求，加大</w:t>
      </w:r>
      <w:r>
        <w:rPr>
          <w:rFonts w:hint="eastAsia" w:ascii="仿宋" w:eastAsia="仿宋" w:cs="仿宋"/>
          <w:sz w:val="32"/>
          <w:szCs w:val="32"/>
        </w:rPr>
        <w:t>“天府科技云服务中心”服务</w:t>
      </w:r>
      <w:r>
        <w:rPr>
          <w:rFonts w:hint="eastAsia" w:ascii="仿宋" w:eastAsia="仿宋"/>
          <w:sz w:val="32"/>
          <w:szCs w:val="32"/>
        </w:rPr>
        <w:t>工作力度，把科协各项业务工作融入天府科技云服务，统筹推进。</w:t>
      </w:r>
    </w:p>
    <w:p>
      <w:pPr>
        <w:autoSpaceDE w:val="0"/>
        <w:autoSpaceDN w:val="0"/>
        <w:adjustRightInd w:val="0"/>
        <w:spacing w:line="576" w:lineRule="exact"/>
        <w:ind w:firstLine="643" w:firstLineChars="200"/>
        <w:rPr>
          <w:rFonts w:hint="eastAsia" w:ascii="仿宋" w:eastAsia="仿宋" w:cs="仿宋_GB2312"/>
          <w:sz w:val="32"/>
          <w:szCs w:val="32"/>
          <w:lang w:eastAsia="zh-CN"/>
        </w:rPr>
      </w:pPr>
      <w:r>
        <w:rPr>
          <w:rFonts w:hint="eastAsia" w:ascii="仿宋" w:eastAsia="仿宋" w:cs="仿宋_GB2312"/>
          <w:b/>
          <w:sz w:val="32"/>
          <w:szCs w:val="32"/>
          <w:lang w:val="en-US" w:eastAsia="zh-CN"/>
        </w:rPr>
        <w:t>2.</w:t>
      </w:r>
      <w:r>
        <w:rPr>
          <w:rFonts w:hint="eastAsia" w:ascii="仿宋" w:eastAsia="仿宋" w:cs="仿宋_GB2312"/>
          <w:b/>
          <w:sz w:val="32"/>
          <w:szCs w:val="32"/>
        </w:rPr>
        <w:t>强化科普宣传服务。</w:t>
      </w:r>
      <w:r>
        <w:rPr>
          <w:rFonts w:hint="eastAsia" w:ascii="仿宋" w:eastAsia="仿宋" w:cs="仿宋_GB2312"/>
          <w:sz w:val="32"/>
          <w:szCs w:val="32"/>
        </w:rPr>
        <w:t>开展好全国科普日、科技活动周、反邪教等主题科普宣传活动。继续按照州委统一部署，充分调动和发挥科协组织网络、科技人员、科普资源等优势和作用，广泛开展多层次、多形式的科技知识和农业实用技术培训活动</w:t>
      </w:r>
      <w:r>
        <w:rPr>
          <w:rFonts w:hint="eastAsia" w:ascii="仿宋" w:eastAsia="仿宋" w:cs="仿宋_GB2312"/>
          <w:sz w:val="32"/>
          <w:szCs w:val="32"/>
          <w:lang w:eastAsia="zh-CN"/>
        </w:rPr>
        <w:t>。</w:t>
      </w:r>
    </w:p>
    <w:p>
      <w:pPr>
        <w:autoSpaceDE w:val="0"/>
        <w:autoSpaceDN w:val="0"/>
        <w:adjustRightInd w:val="0"/>
        <w:spacing w:line="576" w:lineRule="exact"/>
        <w:ind w:firstLine="643" w:firstLineChars="200"/>
        <w:rPr>
          <w:rFonts w:hint="eastAsia" w:ascii="仿宋" w:eastAsia="仿宋" w:cs="Arial"/>
          <w:sz w:val="32"/>
          <w:szCs w:val="32"/>
          <w:shd w:val="clear" w:color="auto" w:fill="FFFFFF"/>
        </w:rPr>
      </w:pPr>
      <w:r>
        <w:rPr>
          <w:rFonts w:hint="eastAsia" w:ascii="仿宋" w:eastAsia="仿宋" w:cs="仿宋_GB2312"/>
          <w:b/>
          <w:sz w:val="32"/>
          <w:szCs w:val="32"/>
          <w:lang w:val="en-US" w:eastAsia="zh-CN"/>
        </w:rPr>
        <w:t>3.</w:t>
      </w:r>
      <w:r>
        <w:rPr>
          <w:rFonts w:hint="eastAsia" w:ascii="仿宋" w:eastAsia="仿宋" w:cs="仿宋_GB2312"/>
          <w:b/>
          <w:sz w:val="32"/>
          <w:szCs w:val="32"/>
        </w:rPr>
        <w:t>加强青少年科教。</w:t>
      </w:r>
      <w:r>
        <w:rPr>
          <w:rFonts w:hint="eastAsia" w:ascii="仿宋" w:eastAsia="仿宋" w:cs="仿宋_GB2312"/>
          <w:sz w:val="32"/>
          <w:szCs w:val="32"/>
        </w:rPr>
        <w:t>做好青少年科技馆的日常展教工作。</w:t>
      </w:r>
      <w:r>
        <w:rPr>
          <w:rFonts w:hint="eastAsia" w:ascii="仿宋" w:eastAsia="仿宋" w:cs="Arial"/>
          <w:sz w:val="32"/>
          <w:szCs w:val="32"/>
          <w:shd w:val="clear" w:color="auto" w:fill="FFFFFF"/>
        </w:rPr>
        <w:t>强化与我州教育系统的衔接，与全州中小学建立关系，在青少年科技教育、创新等方面取得突破，强化青少年科技教育工作。</w:t>
      </w:r>
    </w:p>
    <w:p>
      <w:pPr>
        <w:autoSpaceDE w:val="0"/>
        <w:autoSpaceDN w:val="0"/>
        <w:adjustRightInd w:val="0"/>
        <w:spacing w:line="576" w:lineRule="exact"/>
        <w:ind w:firstLine="640" w:firstLineChars="200"/>
        <w:rPr>
          <w:rFonts w:hint="eastAsia" w:ascii="仿宋" w:eastAsia="仿宋" w:cs="仿宋_GB2312"/>
          <w:sz w:val="32"/>
          <w:szCs w:val="32"/>
        </w:rPr>
      </w:pPr>
      <w:r>
        <w:rPr>
          <w:rFonts w:hint="eastAsia" w:ascii="仿宋" w:eastAsia="仿宋" w:cs="Arial"/>
          <w:sz w:val="32"/>
          <w:szCs w:val="32"/>
          <w:shd w:val="clear" w:color="auto" w:fill="FFFFFF"/>
          <w:lang w:val="en-US" w:eastAsia="zh-CN"/>
        </w:rPr>
        <w:t>4.</w:t>
      </w:r>
      <w:r>
        <w:rPr>
          <w:rFonts w:hint="eastAsia" w:ascii="仿宋" w:eastAsia="仿宋" w:cs="仿宋_GB2312"/>
          <w:b/>
          <w:sz w:val="32"/>
          <w:szCs w:val="32"/>
        </w:rPr>
        <w:t>开展好学、协会工作。</w:t>
      </w:r>
      <w:r>
        <w:rPr>
          <w:rFonts w:hint="eastAsia" w:ascii="仿宋" w:eastAsia="仿宋"/>
          <w:sz w:val="32"/>
          <w:szCs w:val="32"/>
        </w:rPr>
        <w:t>召开年度片区专家座谈会，组织开展好“全国科技工作者日”活动。</w:t>
      </w:r>
      <w:r>
        <w:rPr>
          <w:rFonts w:hint="eastAsia" w:ascii="仿宋" w:eastAsia="仿宋" w:cs="仿宋_GB2312"/>
          <w:sz w:val="32"/>
          <w:szCs w:val="32"/>
        </w:rPr>
        <w:t>组织开展第六批州级院士（专家）站申报工作，完成第三批建站单位考核工作。继续开展好老科协各项工作。</w:t>
      </w:r>
    </w:p>
    <w:p>
      <w:pPr>
        <w:autoSpaceDE w:val="0"/>
        <w:autoSpaceDN w:val="0"/>
        <w:adjustRightInd w:val="0"/>
        <w:spacing w:line="576" w:lineRule="exact"/>
        <w:ind w:firstLine="643" w:firstLineChars="200"/>
        <w:rPr>
          <w:rFonts w:hint="eastAsia" w:ascii="仿宋" w:eastAsia="仿宋"/>
          <w:sz w:val="32"/>
          <w:szCs w:val="32"/>
        </w:rPr>
      </w:pPr>
      <w:r>
        <w:rPr>
          <w:rFonts w:hint="eastAsia" w:ascii="仿宋" w:eastAsia="仿宋" w:cs="仿宋_GB2312"/>
          <w:b/>
          <w:sz w:val="32"/>
          <w:szCs w:val="32"/>
          <w:lang w:val="en-US" w:eastAsia="zh-CN"/>
        </w:rPr>
        <w:t>5.</w:t>
      </w:r>
      <w:r>
        <w:rPr>
          <w:rFonts w:hint="eastAsia" w:ascii="仿宋" w:eastAsia="仿宋" w:cs="仿宋_GB2312"/>
          <w:b/>
          <w:sz w:val="32"/>
          <w:szCs w:val="32"/>
        </w:rPr>
        <w:t>落实帮扶工作。</w:t>
      </w:r>
      <w:r>
        <w:rPr>
          <w:rFonts w:hint="eastAsia" w:ascii="仿宋" w:eastAsia="仿宋" w:cs="仿宋_GB2312"/>
          <w:sz w:val="32"/>
          <w:szCs w:val="32"/>
        </w:rPr>
        <w:t>将“两联一进”和脱贫攻坚工作有机结合，切实加大服务和协调力度，组织各级科协组织开展各类实用技术培训，积极推广新技术、新品种，全力为脱贫攻坚服务，创造性地完成好相关工作任务</w:t>
      </w:r>
      <w:r>
        <w:rPr>
          <w:rFonts w:hint="eastAsia" w:ascii="仿宋" w:eastAsia="仿宋"/>
          <w:sz w:val="32"/>
          <w:szCs w:val="32"/>
        </w:rPr>
        <w:t>。</w:t>
      </w:r>
    </w:p>
    <w:p>
      <w:pPr>
        <w:spacing w:line="576" w:lineRule="exact"/>
        <w:ind w:firstLine="643" w:firstLineChars="200"/>
        <w:rPr>
          <w:rStyle w:val="9"/>
          <w:rFonts w:ascii="仿宋" w:eastAsia="仿宋"/>
          <w:b w:val="0"/>
          <w:bCs w:val="0"/>
        </w:rPr>
      </w:pPr>
      <w:r>
        <w:rPr>
          <w:rFonts w:hint="eastAsia" w:ascii="仿宋" w:eastAsia="仿宋" w:cs="仿宋_GB2312"/>
          <w:b/>
          <w:sz w:val="32"/>
          <w:szCs w:val="32"/>
          <w:lang w:val="en-US" w:eastAsia="zh-CN"/>
        </w:rPr>
        <w:t>6.</w:t>
      </w:r>
      <w:r>
        <w:rPr>
          <w:rFonts w:hint="eastAsia" w:ascii="仿宋" w:eastAsia="仿宋" w:cs="仿宋_GB2312"/>
          <w:b/>
          <w:sz w:val="32"/>
          <w:szCs w:val="32"/>
        </w:rPr>
        <w:t>继续加强班子建设。</w:t>
      </w:r>
      <w:r>
        <w:rPr>
          <w:rStyle w:val="9"/>
          <w:rFonts w:hint="eastAsia" w:ascii="仿宋" w:eastAsia="仿宋"/>
          <w:b w:val="0"/>
          <w:bCs w:val="0"/>
        </w:rPr>
        <w:t>积极做好党建、四好班子、党风廉政建设、干部工作、意识形态建设、精神文明建设、普法及依法治理、环境治理、社会治安综合治理、老干部工作、妇儿工委等各项综合及共同目标工作任务，按照有关要求认真抓好落实。</w:t>
      </w:r>
    </w:p>
    <w:p>
      <w:pPr>
        <w:autoSpaceDE w:val="0"/>
        <w:autoSpaceDN w:val="0"/>
        <w:adjustRightInd w:val="0"/>
        <w:spacing w:line="576" w:lineRule="exact"/>
        <w:ind w:firstLine="640" w:firstLineChars="200"/>
        <w:rPr>
          <w:rFonts w:hint="default" w:ascii="仿宋" w:eastAsia="仿宋"/>
          <w:sz w:val="32"/>
          <w:szCs w:val="32"/>
          <w:lang w:val="en-US" w:eastAsia="zh-CN"/>
        </w:rPr>
      </w:pPr>
    </w:p>
    <w:p>
      <w:pPr>
        <w:ind w:firstLine="640" w:firstLineChars="200"/>
        <w:rPr>
          <w:rFonts w:hint="default" w:ascii="仿宋_GB2312" w:hAnsi="黑体" w:eastAsia="仿宋_GB2312"/>
          <w:sz w:val="32"/>
          <w:szCs w:val="32"/>
          <w:lang w:val="en-US" w:eastAsia="zh-CN"/>
        </w:rPr>
      </w:pPr>
    </w:p>
    <w:p>
      <w:pPr>
        <w:rPr>
          <w:rFonts w:ascii="黑体" w:hAnsi="黑体" w:eastAsia="黑体"/>
          <w:sz w:val="32"/>
          <w:szCs w:val="32"/>
        </w:rPr>
      </w:pPr>
      <w:r>
        <w:rPr>
          <w:rFonts w:hint="eastAsia" w:ascii="黑体" w:hAnsi="黑体" w:eastAsia="黑体"/>
          <w:sz w:val="32"/>
          <w:szCs w:val="32"/>
        </w:rPr>
        <w:t>二、部门预算单位构成</w:t>
      </w:r>
    </w:p>
    <w:p>
      <w:pPr>
        <w:spacing w:line="54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参照公务员法管理行政单位一个：阿坝州科学技术协会</w:t>
      </w:r>
    </w:p>
    <w:p>
      <w:pPr>
        <w:spacing w:line="540" w:lineRule="exact"/>
        <w:ind w:firstLine="960" w:firstLineChars="300"/>
        <w:rPr>
          <w:rFonts w:hint="eastAsia" w:ascii="仿宋_GB2312" w:eastAsia="仿宋_GB2312"/>
          <w:sz w:val="32"/>
          <w:szCs w:val="32"/>
          <w:lang w:val="en-US" w:eastAsia="zh-CN"/>
        </w:rPr>
      </w:pPr>
      <w:r>
        <w:rPr>
          <w:rFonts w:hint="eastAsia" w:ascii="仿宋_GB2312" w:eastAsia="仿宋_GB2312"/>
          <w:sz w:val="32"/>
          <w:szCs w:val="32"/>
          <w:lang w:val="en-US" w:eastAsia="zh-CN"/>
        </w:rPr>
        <w:t>下属事业单位两个：阿坝州民族科普工作队</w:t>
      </w:r>
    </w:p>
    <w:p>
      <w:pPr>
        <w:spacing w:line="540" w:lineRule="exact"/>
        <w:ind w:firstLine="960" w:firstLineChars="3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阿坝州科技馆</w:t>
      </w:r>
    </w:p>
    <w:p>
      <w:pPr>
        <w:spacing w:line="540" w:lineRule="exac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p>
    <w:p>
      <w:pPr>
        <w:pStyle w:val="7"/>
        <w:numPr>
          <w:ilvl w:val="0"/>
          <w:numId w:val="2"/>
        </w:numPr>
        <w:ind w:firstLineChars="0"/>
        <w:rPr>
          <w:rFonts w:ascii="黑体" w:hAnsi="黑体" w:eastAsia="黑体"/>
          <w:sz w:val="32"/>
          <w:szCs w:val="32"/>
        </w:rPr>
      </w:pPr>
      <w:r>
        <w:rPr>
          <w:rFonts w:hint="eastAsia" w:ascii="黑体" w:hAnsi="黑体" w:eastAsia="黑体"/>
          <w:sz w:val="32"/>
          <w:szCs w:val="32"/>
        </w:rPr>
        <w:t>收支预算情况说明</w:t>
      </w:r>
    </w:p>
    <w:p>
      <w:pPr>
        <w:numPr>
          <w:ilvl w:val="0"/>
          <w:numId w:val="3"/>
        </w:numPr>
        <w:ind w:firstLine="640" w:firstLineChars="200"/>
        <w:jc w:val="left"/>
        <w:rPr>
          <w:rFonts w:ascii="仿宋_GB2312" w:hAnsi="黑体" w:eastAsia="仿宋_GB2312"/>
          <w:sz w:val="32"/>
          <w:szCs w:val="32"/>
        </w:rPr>
      </w:pPr>
      <w:r>
        <w:rPr>
          <w:rFonts w:hint="eastAsia" w:ascii="仿宋_GB2312" w:hAnsi="黑体" w:eastAsia="仿宋_GB2312"/>
          <w:sz w:val="32"/>
          <w:szCs w:val="32"/>
        </w:rPr>
        <w:t>收入预算情况</w:t>
      </w:r>
    </w:p>
    <w:p>
      <w:pPr>
        <w:pStyle w:val="8"/>
        <w:spacing w:before="0" w:line="360" w:lineRule="auto"/>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2022年部门预算收入651.18万元，</w:t>
      </w:r>
      <w:r>
        <w:rPr>
          <w:rFonts w:hint="eastAsia" w:hAnsi="ˎ̥" w:cs="宋体"/>
          <w:sz w:val="32"/>
          <w:szCs w:val="32"/>
        </w:rPr>
        <w:t> 科学技术支出</w:t>
      </w:r>
      <w:r>
        <w:rPr>
          <w:rFonts w:hint="eastAsia" w:hAnsi="ˎ̥" w:cs="宋体"/>
          <w:sz w:val="32"/>
          <w:szCs w:val="32"/>
          <w:lang w:val="en-US" w:eastAsia="zh-CN"/>
        </w:rPr>
        <w:t>522.67</w:t>
      </w:r>
      <w:r>
        <w:rPr>
          <w:rFonts w:hint="eastAsia" w:hAnsi="ˎ̥" w:cs="宋体"/>
          <w:sz w:val="32"/>
          <w:szCs w:val="32"/>
        </w:rPr>
        <w:t>万元；社会保障和就业支出</w:t>
      </w:r>
      <w:r>
        <w:rPr>
          <w:rFonts w:hint="eastAsia" w:hAnsi="ˎ̥" w:cs="宋体"/>
          <w:sz w:val="32"/>
          <w:szCs w:val="32"/>
          <w:lang w:val="en-US" w:eastAsia="zh-CN"/>
        </w:rPr>
        <w:t>62.62</w:t>
      </w:r>
      <w:r>
        <w:rPr>
          <w:rFonts w:hint="eastAsia" w:hAnsi="ˎ̥" w:cs="宋体"/>
          <w:sz w:val="32"/>
          <w:szCs w:val="32"/>
        </w:rPr>
        <w:t>万元；医疗卫生与计划生育支出</w:t>
      </w:r>
      <w:r>
        <w:rPr>
          <w:rFonts w:hint="eastAsia" w:hAnsi="ˎ̥" w:cs="宋体"/>
          <w:sz w:val="32"/>
          <w:szCs w:val="32"/>
          <w:lang w:val="en-US" w:eastAsia="zh-CN"/>
        </w:rPr>
        <w:t>21.05</w:t>
      </w:r>
      <w:r>
        <w:rPr>
          <w:rFonts w:hint="eastAsia" w:hAnsi="ˎ̥" w:cs="宋体"/>
          <w:sz w:val="32"/>
          <w:szCs w:val="32"/>
        </w:rPr>
        <w:t>万元；住房保障支出</w:t>
      </w:r>
      <w:r>
        <w:rPr>
          <w:rFonts w:hint="eastAsia" w:hAnsi="ˎ̥" w:cs="宋体"/>
          <w:sz w:val="32"/>
          <w:szCs w:val="32"/>
          <w:lang w:val="en-US" w:eastAsia="zh-CN"/>
        </w:rPr>
        <w:t>44.82</w:t>
      </w:r>
      <w:r>
        <w:rPr>
          <w:rFonts w:hint="eastAsia" w:hAnsi="ˎ̥" w:cs="宋体"/>
          <w:sz w:val="32"/>
          <w:szCs w:val="32"/>
        </w:rPr>
        <w:t>万元</w:t>
      </w:r>
      <w:r>
        <w:rPr>
          <w:rFonts w:hint="eastAsia" w:hAnsi="ˎ̥" w:cs="宋体"/>
          <w:sz w:val="32"/>
          <w:szCs w:val="32"/>
          <w:lang w:eastAsia="zh-CN"/>
        </w:rPr>
        <w:t>。</w:t>
      </w:r>
    </w:p>
    <w:p>
      <w:pPr>
        <w:numPr>
          <w:ilvl w:val="0"/>
          <w:numId w:val="3"/>
        </w:num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支出预算情况</w:t>
      </w:r>
    </w:p>
    <w:p>
      <w:pPr>
        <w:pStyle w:val="8"/>
        <w:spacing w:before="0" w:line="360" w:lineRule="auto"/>
        <w:ind w:firstLine="640" w:firstLineChars="200"/>
        <w:rPr>
          <w:rFonts w:hint="eastAsia" w:eastAsia="仿宋_GB2312" w:cs="仿宋_GB2312"/>
          <w:kern w:val="2"/>
          <w:sz w:val="32"/>
          <w:szCs w:val="32"/>
          <w:lang w:eastAsia="zh-CN"/>
        </w:rPr>
      </w:pPr>
      <w:r>
        <w:rPr>
          <w:rFonts w:hint="eastAsia" w:ascii="仿宋_GB2312" w:hAnsi="黑体" w:eastAsia="仿宋_GB2312"/>
          <w:sz w:val="32"/>
          <w:szCs w:val="32"/>
          <w:lang w:val="en-US" w:eastAsia="zh-CN"/>
        </w:rPr>
        <w:t>2022年部门预算</w:t>
      </w:r>
      <w:r>
        <w:rPr>
          <w:rFonts w:hint="eastAsia" w:hAnsi="黑体"/>
          <w:sz w:val="32"/>
          <w:szCs w:val="32"/>
          <w:lang w:val="en-US" w:eastAsia="zh-CN"/>
        </w:rPr>
        <w:t>支出</w:t>
      </w:r>
      <w:r>
        <w:rPr>
          <w:rFonts w:hint="eastAsia" w:ascii="仿宋_GB2312" w:hAnsi="黑体" w:eastAsia="仿宋_GB2312"/>
          <w:sz w:val="32"/>
          <w:szCs w:val="32"/>
          <w:lang w:val="en-US" w:eastAsia="zh-CN"/>
        </w:rPr>
        <w:t>651.18万元，</w:t>
      </w:r>
      <w:r>
        <w:rPr>
          <w:rFonts w:hint="eastAsia" w:hAnsi="ˎ̥" w:cs="宋体"/>
          <w:sz w:val="32"/>
          <w:szCs w:val="32"/>
        </w:rPr>
        <w:t> 科学技术支出</w:t>
      </w:r>
      <w:r>
        <w:rPr>
          <w:rFonts w:hint="eastAsia" w:hAnsi="ˎ̥" w:cs="宋体"/>
          <w:sz w:val="32"/>
          <w:szCs w:val="32"/>
          <w:lang w:val="en-US" w:eastAsia="zh-CN"/>
        </w:rPr>
        <w:t>522.67</w:t>
      </w:r>
      <w:r>
        <w:rPr>
          <w:rFonts w:hint="eastAsia" w:hAnsi="ˎ̥" w:cs="宋体"/>
          <w:sz w:val="32"/>
          <w:szCs w:val="32"/>
        </w:rPr>
        <w:t>万元；社会保障和就业支出</w:t>
      </w:r>
      <w:r>
        <w:rPr>
          <w:rFonts w:hint="eastAsia" w:hAnsi="ˎ̥" w:cs="宋体"/>
          <w:sz w:val="32"/>
          <w:szCs w:val="32"/>
          <w:lang w:val="en-US" w:eastAsia="zh-CN"/>
        </w:rPr>
        <w:t>62.62</w:t>
      </w:r>
      <w:r>
        <w:rPr>
          <w:rFonts w:hint="eastAsia" w:hAnsi="ˎ̥" w:cs="宋体"/>
          <w:sz w:val="32"/>
          <w:szCs w:val="32"/>
        </w:rPr>
        <w:t>万元；医疗卫生与计划生育支出</w:t>
      </w:r>
      <w:r>
        <w:rPr>
          <w:rFonts w:hint="eastAsia" w:hAnsi="ˎ̥" w:cs="宋体"/>
          <w:sz w:val="32"/>
          <w:szCs w:val="32"/>
          <w:lang w:val="en-US" w:eastAsia="zh-CN"/>
        </w:rPr>
        <w:t>21.05</w:t>
      </w:r>
      <w:r>
        <w:rPr>
          <w:rFonts w:hint="eastAsia" w:hAnsi="ˎ̥" w:cs="宋体"/>
          <w:sz w:val="32"/>
          <w:szCs w:val="32"/>
        </w:rPr>
        <w:t>万元；住房保障支出</w:t>
      </w:r>
      <w:r>
        <w:rPr>
          <w:rFonts w:hint="eastAsia" w:hAnsi="ˎ̥" w:cs="宋体"/>
          <w:sz w:val="32"/>
          <w:szCs w:val="32"/>
          <w:lang w:val="en-US" w:eastAsia="zh-CN"/>
        </w:rPr>
        <w:t>44.82</w:t>
      </w:r>
      <w:r>
        <w:rPr>
          <w:rFonts w:hint="eastAsia" w:hAnsi="ˎ̥" w:cs="宋体"/>
          <w:sz w:val="32"/>
          <w:szCs w:val="32"/>
        </w:rPr>
        <w:t>万元</w:t>
      </w:r>
      <w:r>
        <w:rPr>
          <w:rFonts w:hint="eastAsia" w:hAnsi="ˎ̥" w:cs="宋体"/>
          <w:sz w:val="32"/>
          <w:szCs w:val="32"/>
          <w:lang w:eastAsia="zh-CN"/>
        </w:rPr>
        <w:t>。</w:t>
      </w:r>
    </w:p>
    <w:p>
      <w:pPr>
        <w:numPr>
          <w:numId w:val="0"/>
        </w:numPr>
        <w:ind w:leftChars="200"/>
        <w:jc w:val="left"/>
        <w:rPr>
          <w:rFonts w:hint="eastAsia" w:ascii="仿宋_GB2312" w:hAnsi="仿宋_GB2312" w:eastAsia="仿宋_GB2312" w:cs="仿宋_GB2312"/>
          <w:sz w:val="32"/>
          <w:szCs w:val="32"/>
        </w:rPr>
      </w:pPr>
    </w:p>
    <w:p>
      <w:pPr>
        <w:rPr>
          <w:rFonts w:hint="eastAsia" w:ascii="黑体" w:hAnsi="黑体" w:eastAsia="黑体"/>
          <w:sz w:val="32"/>
          <w:szCs w:val="32"/>
          <w:lang w:eastAsia="zh-CN"/>
        </w:rPr>
      </w:pPr>
      <w:r>
        <w:rPr>
          <w:rFonts w:hint="eastAsia" w:ascii="黑体" w:hAnsi="黑体" w:eastAsia="黑体"/>
          <w:sz w:val="32"/>
          <w:szCs w:val="32"/>
        </w:rPr>
        <w:t>四、财政拨款收支预算情况说明</w:t>
      </w:r>
    </w:p>
    <w:p>
      <w:pPr>
        <w:rPr>
          <w:rFonts w:hint="default" w:ascii="黑体" w:hAnsi="黑体" w:eastAsia="仿宋_GB2312"/>
          <w:sz w:val="32"/>
          <w:szCs w:val="32"/>
          <w:lang w:val="en-US" w:eastAsia="zh-CN"/>
        </w:rPr>
      </w:pPr>
      <w:r>
        <w:rPr>
          <w:rFonts w:ascii="ˎ̥" w:hAnsi="ˎ̥" w:cs="宋体"/>
          <w:sz w:val="16"/>
        </w:rPr>
        <w:t>　</w:t>
      </w:r>
      <w:r>
        <w:rPr>
          <w:rFonts w:hint="eastAsia" w:ascii="仿宋_GB2312" w:hAnsi="黑体" w:eastAsia="仿宋_GB2312"/>
          <w:sz w:val="32"/>
          <w:szCs w:val="32"/>
          <w:lang w:val="en-US" w:eastAsia="zh-CN"/>
        </w:rPr>
        <w:t>阿坝州科学技术协会</w:t>
      </w:r>
      <w:r>
        <w:rPr>
          <w:rFonts w:hint="eastAsia" w:ascii="仿宋_GB2312" w:hAnsi="黑体" w:eastAsia="仿宋_GB2312"/>
          <w:sz w:val="32"/>
          <w:szCs w:val="32"/>
        </w:rPr>
        <w:t>2022年财政拨款收支总预算</w:t>
      </w:r>
      <w:r>
        <w:rPr>
          <w:rFonts w:hint="eastAsia" w:ascii="仿宋_GB2312" w:hAnsi="黑体" w:eastAsia="仿宋_GB2312"/>
          <w:sz w:val="32"/>
          <w:szCs w:val="32"/>
          <w:lang w:val="en-US" w:eastAsia="zh-CN"/>
        </w:rPr>
        <w:t>651.18</w:t>
      </w:r>
      <w:r>
        <w:rPr>
          <w:rFonts w:hint="eastAsia" w:ascii="仿宋_GB2312" w:hAnsi="黑体" w:eastAsia="仿宋_GB2312"/>
          <w:sz w:val="32"/>
          <w:szCs w:val="32"/>
        </w:rPr>
        <w:t>万元,比2021年财政拨款收支总预算减少</w:t>
      </w:r>
      <w:r>
        <w:rPr>
          <w:rFonts w:hint="eastAsia" w:ascii="仿宋_GB2312" w:hAnsi="黑体" w:eastAsia="仿宋_GB2312"/>
          <w:sz w:val="32"/>
          <w:szCs w:val="32"/>
          <w:lang w:val="en-US" w:eastAsia="zh-CN"/>
        </w:rPr>
        <w:t>63.27</w:t>
      </w:r>
      <w:r>
        <w:rPr>
          <w:rFonts w:hint="eastAsia" w:ascii="仿宋_GB2312" w:hAnsi="黑体" w:eastAsia="仿宋_GB2312"/>
          <w:sz w:val="32"/>
          <w:szCs w:val="32"/>
        </w:rPr>
        <w:t>万元，主要原因:</w:t>
      </w:r>
      <w:r>
        <w:rPr>
          <w:rFonts w:hint="eastAsia" w:ascii="仿宋_GB2312" w:eastAsia="仿宋_GB2312"/>
          <w:sz w:val="32"/>
          <w:szCs w:val="32"/>
          <w:lang w:val="en-US" w:eastAsia="zh-CN"/>
        </w:rPr>
        <w:t>减少了部分项目，合理计算了工资、养老保险、职业年金等支出。</w:t>
      </w:r>
    </w:p>
    <w:p>
      <w:pPr>
        <w:spacing w:line="54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收入包括：一般公共预算资金</w:t>
      </w:r>
      <w:r>
        <w:rPr>
          <w:rFonts w:hint="eastAsia" w:ascii="仿宋_GB2312" w:hAnsi="仿宋_GB2312" w:eastAsia="仿宋_GB2312" w:cs="仿宋_GB2312"/>
          <w:sz w:val="32"/>
          <w:szCs w:val="32"/>
          <w:lang w:val="en-US" w:eastAsia="zh-CN"/>
        </w:rPr>
        <w:t>651.18万元</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eastAsia="仿宋_GB2312"/>
          <w:sz w:val="32"/>
          <w:szCs w:val="32"/>
          <w:lang w:val="en-US" w:eastAsia="zh-CN"/>
        </w:rPr>
        <w:t>科学技术支出522.67万元；社会保障和就业支出62.62万元；医疗卫生与计划生育支出21.05万元；住房保障支出44.82万元</w:t>
      </w:r>
    </w:p>
    <w:p>
      <w:pPr>
        <w:rPr>
          <w:rFonts w:ascii="黑体" w:hAns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hint="eastAsia" w:cs="仿宋_GB2312"/>
          <w:kern w:val="2"/>
          <w:sz w:val="32"/>
          <w:szCs w:val="32"/>
        </w:rPr>
      </w:pPr>
      <w:r>
        <w:rPr>
          <w:rFonts w:hint="eastAsia" w:cs="仿宋_GB2312"/>
          <w:kern w:val="2"/>
          <w:sz w:val="32"/>
          <w:szCs w:val="32"/>
        </w:rPr>
        <w:t>（一）一般公共预算当年拨款规模变化情况</w:t>
      </w:r>
    </w:p>
    <w:p>
      <w:pPr>
        <w:pStyle w:val="8"/>
        <w:spacing w:before="0" w:line="360" w:lineRule="auto"/>
        <w:ind w:firstLine="660"/>
        <w:rPr>
          <w:rFonts w:hint="default" w:cs="仿宋_GB2312"/>
          <w:kern w:val="2"/>
          <w:sz w:val="32"/>
          <w:szCs w:val="32"/>
          <w:lang w:val="en-US"/>
        </w:rPr>
      </w:pPr>
      <w:r>
        <w:rPr>
          <w:rFonts w:hint="eastAsia" w:ascii="ˎ̥" w:hAnsi="ˎ̥" w:cs="宋体"/>
          <w:sz w:val="16"/>
        </w:rPr>
        <w:t xml:space="preserve"> </w:t>
      </w:r>
      <w:r>
        <w:rPr>
          <w:rFonts w:hint="eastAsia" w:cs="仿宋_GB2312"/>
          <w:kern w:val="2"/>
          <w:sz w:val="32"/>
          <w:szCs w:val="32"/>
        </w:rPr>
        <w:t>部门（单位）</w:t>
      </w:r>
      <w:r>
        <w:rPr>
          <w:rFonts w:hint="eastAsia" w:hAnsi="ˎ̥" w:cs="宋体"/>
          <w:sz w:val="32"/>
          <w:szCs w:val="32"/>
        </w:rPr>
        <w:t>2022年一般公共预算当年拨款</w:t>
      </w:r>
      <w:r>
        <w:rPr>
          <w:rFonts w:hint="eastAsia" w:hAnsi="ˎ̥" w:cs="宋体"/>
          <w:sz w:val="32"/>
          <w:szCs w:val="32"/>
          <w:lang w:val="en-US" w:eastAsia="zh-CN"/>
        </w:rPr>
        <w:t>651.18</w:t>
      </w:r>
      <w:r>
        <w:rPr>
          <w:rFonts w:hint="eastAsia" w:hAnsi="ˎ̥" w:cs="宋体"/>
          <w:sz w:val="32"/>
          <w:szCs w:val="32"/>
        </w:rPr>
        <w:t>万元，比2021年预算数增加</w:t>
      </w:r>
      <w:r>
        <w:rPr>
          <w:rFonts w:hint="eastAsia" w:hAnsi="ˎ̥" w:cs="宋体"/>
          <w:sz w:val="32"/>
          <w:szCs w:val="32"/>
          <w:lang w:val="en-US" w:eastAsia="zh-CN"/>
        </w:rPr>
        <w:t>14.51万元</w:t>
      </w:r>
      <w:r>
        <w:rPr>
          <w:rFonts w:hint="eastAsia" w:hAnsi="ˎ̥" w:cs="宋体"/>
          <w:sz w:val="32"/>
          <w:szCs w:val="32"/>
        </w:rPr>
        <w:t xml:space="preserve">万元，主要原因: </w:t>
      </w:r>
      <w:r>
        <w:rPr>
          <w:rFonts w:hint="eastAsia" w:hAnsi="ˎ̥" w:cs="宋体"/>
          <w:sz w:val="32"/>
          <w:szCs w:val="32"/>
          <w:lang w:val="en-US" w:eastAsia="zh-CN"/>
        </w:rPr>
        <w:t>本年度下属事业单位阿坝州民族科普工作队新增2人纳入预算，阿坝州科技馆新增1人纳入预算。</w:t>
      </w:r>
    </w:p>
    <w:p>
      <w:pPr>
        <w:pStyle w:val="8"/>
        <w:spacing w:before="0" w:line="360" w:lineRule="auto"/>
        <w:ind w:left="653" w:leftChars="311"/>
        <w:rPr>
          <w:rFonts w:hint="eastAsia" w:hAnsi="ˎ̥" w:eastAsia="仿宋_GB2312" w:cs="宋体"/>
          <w:sz w:val="32"/>
          <w:szCs w:val="32"/>
          <w:lang w:eastAsia="zh-CN"/>
        </w:rPr>
      </w:pPr>
      <w:r>
        <w:rPr>
          <w:rFonts w:hint="eastAsia" w:hAnsi="ˎ̥" w:cs="宋体"/>
          <w:sz w:val="32"/>
          <w:szCs w:val="32"/>
        </w:rPr>
        <w:t>（二）一般公共预算当年拨款结构情况</w:t>
      </w:r>
    </w:p>
    <w:p>
      <w:pPr>
        <w:pStyle w:val="8"/>
        <w:spacing w:before="0" w:line="360" w:lineRule="auto"/>
        <w:ind w:firstLine="640" w:firstLineChars="200"/>
        <w:rPr>
          <w:rFonts w:hint="eastAsia" w:eastAsia="仿宋_GB2312" w:cs="仿宋_GB2312"/>
          <w:kern w:val="2"/>
          <w:sz w:val="32"/>
          <w:szCs w:val="32"/>
          <w:lang w:eastAsia="zh-CN"/>
        </w:rPr>
      </w:pPr>
      <w:r>
        <w:rPr>
          <w:rFonts w:hint="eastAsia" w:hAnsi="ˎ̥" w:cs="宋体"/>
          <w:sz w:val="32"/>
          <w:szCs w:val="32"/>
        </w:rPr>
        <w:t>一般公共服务支出</w:t>
      </w:r>
      <w:r>
        <w:rPr>
          <w:rFonts w:hint="eastAsia" w:hAnsi="ˎ̥" w:cs="宋体"/>
          <w:sz w:val="32"/>
          <w:szCs w:val="32"/>
          <w:lang w:val="en-US" w:eastAsia="zh-CN"/>
        </w:rPr>
        <w:t>522.67</w:t>
      </w:r>
      <w:r>
        <w:rPr>
          <w:rFonts w:hint="eastAsia" w:hAnsi="ˎ̥" w:cs="宋体"/>
          <w:sz w:val="32"/>
          <w:szCs w:val="32"/>
        </w:rPr>
        <w:t>万元，占</w:t>
      </w:r>
      <w:r>
        <w:rPr>
          <w:rFonts w:hint="eastAsia" w:hAnsi="ˎ̥" w:cs="宋体"/>
          <w:sz w:val="32"/>
          <w:szCs w:val="32"/>
          <w:lang w:val="en-US" w:eastAsia="zh-CN"/>
        </w:rPr>
        <w:t>80.27</w:t>
      </w:r>
      <w:r>
        <w:rPr>
          <w:rFonts w:hint="eastAsia" w:hAnsi="ˎ̥" w:cs="宋体"/>
          <w:sz w:val="32"/>
          <w:szCs w:val="32"/>
        </w:rPr>
        <w:t>%；社会保障和就业支出</w:t>
      </w:r>
      <w:r>
        <w:rPr>
          <w:rFonts w:hint="eastAsia" w:hAnsi="ˎ̥" w:cs="宋体"/>
          <w:sz w:val="32"/>
          <w:szCs w:val="32"/>
          <w:lang w:val="en-US" w:eastAsia="zh-CN"/>
        </w:rPr>
        <w:t>62.62</w:t>
      </w:r>
      <w:r>
        <w:rPr>
          <w:rFonts w:hint="eastAsia" w:hAnsi="ˎ̥" w:cs="宋体"/>
          <w:sz w:val="32"/>
          <w:szCs w:val="32"/>
        </w:rPr>
        <w:t>万元，占</w:t>
      </w:r>
      <w:r>
        <w:rPr>
          <w:rFonts w:hint="eastAsia" w:hAnsi="ˎ̥" w:cs="宋体"/>
          <w:sz w:val="32"/>
          <w:szCs w:val="32"/>
          <w:lang w:val="en-US" w:eastAsia="zh-CN"/>
        </w:rPr>
        <w:t>9.61</w:t>
      </w:r>
      <w:r>
        <w:rPr>
          <w:rFonts w:hint="eastAsia" w:hAnsi="ˎ̥" w:cs="宋体"/>
          <w:sz w:val="32"/>
          <w:szCs w:val="32"/>
        </w:rPr>
        <w:t>%；医疗卫生与计划生育支出</w:t>
      </w:r>
      <w:r>
        <w:rPr>
          <w:rFonts w:hint="eastAsia" w:hAnsi="ˎ̥" w:cs="宋体"/>
          <w:sz w:val="32"/>
          <w:szCs w:val="32"/>
          <w:lang w:val="en-US" w:eastAsia="zh-CN"/>
        </w:rPr>
        <w:t>21.05</w:t>
      </w:r>
      <w:r>
        <w:rPr>
          <w:rFonts w:hint="eastAsia" w:hAnsi="ˎ̥" w:cs="宋体"/>
          <w:sz w:val="32"/>
          <w:szCs w:val="32"/>
        </w:rPr>
        <w:t>万元，占</w:t>
      </w:r>
      <w:r>
        <w:rPr>
          <w:rFonts w:hint="eastAsia" w:hAnsi="ˎ̥" w:cs="宋体"/>
          <w:sz w:val="32"/>
          <w:szCs w:val="32"/>
          <w:lang w:val="en-US" w:eastAsia="zh-CN"/>
        </w:rPr>
        <w:t>3.24</w:t>
      </w:r>
      <w:r>
        <w:rPr>
          <w:rFonts w:hint="eastAsia" w:hAnsi="ˎ̥" w:cs="宋体"/>
          <w:sz w:val="32"/>
          <w:szCs w:val="32"/>
        </w:rPr>
        <w:t>%；住房保障支出</w:t>
      </w:r>
      <w:r>
        <w:rPr>
          <w:rFonts w:hint="eastAsia" w:hAnsi="ˎ̥" w:cs="宋体"/>
          <w:sz w:val="32"/>
          <w:szCs w:val="32"/>
          <w:lang w:val="en-US" w:eastAsia="zh-CN"/>
        </w:rPr>
        <w:t>44.82</w:t>
      </w:r>
      <w:r>
        <w:rPr>
          <w:rFonts w:hint="eastAsia" w:hAnsi="ˎ̥" w:cs="宋体"/>
          <w:sz w:val="32"/>
          <w:szCs w:val="32"/>
        </w:rPr>
        <w:t>万元，占</w:t>
      </w:r>
      <w:r>
        <w:rPr>
          <w:rFonts w:hint="eastAsia" w:hAnsi="ˎ̥" w:cs="宋体"/>
          <w:sz w:val="32"/>
          <w:szCs w:val="32"/>
          <w:lang w:val="en-US" w:eastAsia="zh-CN"/>
        </w:rPr>
        <w:t>6.88</w:t>
      </w:r>
      <w:r>
        <w:rPr>
          <w:rFonts w:hint="eastAsia" w:hAnsi="ˎ̥" w:cs="宋体"/>
          <w:sz w:val="32"/>
          <w:szCs w:val="32"/>
        </w:rPr>
        <w:t>%</w:t>
      </w:r>
      <w:r>
        <w:rPr>
          <w:rFonts w:hint="eastAsia" w:hAnsi="ˎ̥" w:cs="宋体"/>
          <w:sz w:val="32"/>
          <w:szCs w:val="32"/>
          <w:lang w:eastAsia="zh-CN"/>
        </w:rPr>
        <w:t>。</w:t>
      </w:r>
    </w:p>
    <w:p>
      <w:pPr>
        <w:pStyle w:val="8"/>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阿坝州科学技术协会</w:t>
      </w:r>
      <w:r>
        <w:rPr>
          <w:rFonts w:hint="eastAsia" w:cs="仿宋_GB2312"/>
          <w:kern w:val="2"/>
          <w:sz w:val="32"/>
          <w:szCs w:val="32"/>
        </w:rPr>
        <w:t>2022年一般公共预算基本支出</w:t>
      </w:r>
      <w:r>
        <w:rPr>
          <w:rFonts w:hint="eastAsia" w:cs="仿宋_GB2312"/>
          <w:kern w:val="2"/>
          <w:sz w:val="32"/>
          <w:szCs w:val="32"/>
          <w:lang w:val="en-US" w:eastAsia="zh-CN"/>
        </w:rPr>
        <w:t>483.18</w:t>
      </w:r>
      <w:r>
        <w:rPr>
          <w:rFonts w:hint="eastAsia" w:cs="仿宋_GB2312"/>
          <w:kern w:val="2"/>
          <w:sz w:val="32"/>
          <w:szCs w:val="32"/>
        </w:rPr>
        <w:t>万元，其中：人员经费</w:t>
      </w:r>
      <w:r>
        <w:rPr>
          <w:rFonts w:hint="eastAsia" w:cs="仿宋_GB2312"/>
          <w:kern w:val="2"/>
          <w:sz w:val="32"/>
          <w:szCs w:val="32"/>
          <w:lang w:val="en-US" w:eastAsia="zh-CN"/>
        </w:rPr>
        <w:t>407.64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75.54</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w:t>
      </w:r>
      <w:r>
        <w:rPr>
          <w:rFonts w:hint="eastAsia" w:cs="仿宋_GB2312"/>
          <w:kern w:val="2"/>
          <w:sz w:val="32"/>
          <w:szCs w:val="32"/>
          <w:lang w:val="en-US" w:eastAsia="zh-CN"/>
        </w:rPr>
        <w:t>28.55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1.27</w:t>
      </w:r>
      <w:r>
        <w:rPr>
          <w:rFonts w:hint="eastAsia" w:cs="仿宋_GB2312"/>
          <w:kern w:val="2"/>
          <w:sz w:val="32"/>
          <w:szCs w:val="32"/>
        </w:rPr>
        <w:t>万元，公务用车购置及运行维护费</w:t>
      </w:r>
      <w:r>
        <w:rPr>
          <w:rFonts w:hint="eastAsia" w:cs="仿宋_GB2312"/>
          <w:kern w:val="2"/>
          <w:sz w:val="32"/>
          <w:szCs w:val="32"/>
          <w:lang w:val="en-US" w:eastAsia="zh-CN"/>
        </w:rPr>
        <w:t>28.55</w:t>
      </w:r>
      <w:r>
        <w:rPr>
          <w:rFonts w:hint="eastAsia" w:cs="仿宋_GB2312"/>
          <w:kern w:val="2"/>
          <w:sz w:val="32"/>
          <w:szCs w:val="32"/>
        </w:rPr>
        <w:t>万元。</w:t>
      </w:r>
    </w:p>
    <w:p>
      <w:pPr>
        <w:pStyle w:val="8"/>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1.27</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0.12</w:t>
      </w:r>
      <w:r>
        <w:rPr>
          <w:rFonts w:hint="eastAsia" w:cs="仿宋_GB2312"/>
          <w:color w:val="000000"/>
          <w:kern w:val="2"/>
          <w:sz w:val="32"/>
          <w:szCs w:val="32"/>
        </w:rPr>
        <w:t>万元，</w:t>
      </w:r>
      <w:r>
        <w:rPr>
          <w:rFonts w:hint="eastAsia" w:cs="仿宋_GB2312"/>
          <w:color w:val="000000"/>
          <w:kern w:val="2"/>
          <w:sz w:val="32"/>
          <w:szCs w:val="32"/>
          <w:lang w:val="en-US" w:eastAsia="zh-CN"/>
        </w:rPr>
        <w:t>减少7.34</w:t>
      </w:r>
      <w:r>
        <w:rPr>
          <w:rFonts w:hint="eastAsia" w:cs="仿宋_GB2312"/>
          <w:color w:val="000000"/>
          <w:kern w:val="2"/>
          <w:sz w:val="32"/>
          <w:szCs w:val="32"/>
        </w:rPr>
        <w:t>%。</w:t>
      </w:r>
    </w:p>
    <w:p>
      <w:pPr>
        <w:pStyle w:val="8"/>
        <w:spacing w:before="0" w:line="360" w:lineRule="auto"/>
        <w:ind w:firstLine="640" w:firstLineChars="200"/>
        <w:rPr>
          <w:rFonts w:hint="default"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28.55</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2.74</w:t>
      </w:r>
      <w:r>
        <w:rPr>
          <w:rFonts w:hint="eastAsia" w:cs="仿宋_GB2312"/>
          <w:color w:val="000000"/>
          <w:kern w:val="2"/>
          <w:sz w:val="32"/>
          <w:szCs w:val="32"/>
        </w:rPr>
        <w:t>万元，</w:t>
      </w:r>
      <w:r>
        <w:rPr>
          <w:rFonts w:hint="eastAsia" w:cs="仿宋_GB2312"/>
          <w:color w:val="000000"/>
          <w:kern w:val="2"/>
          <w:sz w:val="32"/>
          <w:szCs w:val="32"/>
          <w:lang w:val="en-US" w:eastAsia="zh-CN"/>
        </w:rPr>
        <w:t>减少8.51</w:t>
      </w:r>
      <w:r>
        <w:rPr>
          <w:rFonts w:hint="eastAsia" w:cs="仿宋_GB2312"/>
          <w:color w:val="000000"/>
          <w:kern w:val="2"/>
          <w:sz w:val="32"/>
          <w:szCs w:val="32"/>
        </w:rPr>
        <w:t>%，主要原因</w:t>
      </w:r>
      <w:r>
        <w:rPr>
          <w:rFonts w:hint="eastAsia" w:cs="仿宋_GB2312"/>
          <w:color w:val="000000"/>
          <w:kern w:val="2"/>
          <w:sz w:val="32"/>
          <w:szCs w:val="32"/>
          <w:lang w:val="en-US" w:eastAsia="zh-CN"/>
        </w:rPr>
        <w:t>本年度减少了公车大修项目</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cs="仿宋_GB2312"/>
          <w:kern w:val="2"/>
          <w:sz w:val="32"/>
          <w:szCs w:val="32"/>
        </w:rPr>
        <w:t>预算</w:t>
      </w:r>
      <w:r>
        <w:rPr>
          <w:rFonts w:hint="eastAsia" w:ascii="黑体" w:hAnsi="黑体" w:eastAsia="黑体"/>
          <w:sz w:val="32"/>
          <w:szCs w:val="32"/>
        </w:rPr>
        <w:t>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部门（单位）2022年政府性基金预算拨款安排的支出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8"/>
        <w:spacing w:before="0" w:line="360" w:lineRule="auto"/>
        <w:rPr>
          <w:rFonts w:ascii="黑体" w:hAnsi="黑体" w:eastAsia="黑体"/>
          <w:sz w:val="32"/>
          <w:szCs w:val="32"/>
        </w:rPr>
      </w:pPr>
      <w:r>
        <w:rPr>
          <w:rFonts w:hint="eastAsia" w:ascii="黑体" w:hAnsi="黑体" w:eastAsia="黑体"/>
          <w:sz w:val="32"/>
          <w:szCs w:val="32"/>
        </w:rPr>
        <w:t>九、其他重要事项的情况说明</w:t>
      </w:r>
    </w:p>
    <w:p>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8"/>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　  部门（单位）2022年机关运行经费财政拨款预算为</w:t>
      </w:r>
      <w:r>
        <w:rPr>
          <w:rFonts w:hint="eastAsia" w:cs="仿宋_GB2312"/>
          <w:kern w:val="2"/>
          <w:sz w:val="32"/>
          <w:szCs w:val="32"/>
          <w:lang w:val="en-US" w:eastAsia="zh-CN"/>
        </w:rPr>
        <w:t>75.54</w:t>
      </w:r>
      <w:r>
        <w:rPr>
          <w:rFonts w:hint="eastAsia" w:cs="仿宋_GB2312"/>
          <w:kern w:val="2"/>
          <w:sz w:val="32"/>
          <w:szCs w:val="32"/>
        </w:rPr>
        <w:t>万元，比2021 年预算</w:t>
      </w:r>
      <w:r>
        <w:rPr>
          <w:rFonts w:hint="eastAsia" w:hAnsi="ˎ̥" w:cs="宋体"/>
          <w:sz w:val="32"/>
          <w:szCs w:val="32"/>
        </w:rPr>
        <w:t>增加</w:t>
      </w:r>
      <w:r>
        <w:rPr>
          <w:rFonts w:hint="eastAsia" w:hAnsi="ˎ̥" w:cs="宋体"/>
          <w:sz w:val="32"/>
          <w:szCs w:val="32"/>
          <w:lang w:val="en-US" w:eastAsia="zh-CN"/>
        </w:rPr>
        <w:t>7.75</w:t>
      </w:r>
      <w:r>
        <w:rPr>
          <w:rFonts w:hint="eastAsia" w:cs="仿宋_GB2312"/>
          <w:color w:val="000000"/>
          <w:kern w:val="2"/>
          <w:sz w:val="32"/>
          <w:szCs w:val="32"/>
        </w:rPr>
        <w:t>万元</w:t>
      </w:r>
      <w:r>
        <w:rPr>
          <w:rFonts w:hint="eastAsia" w:cs="仿宋_GB2312"/>
          <w:color w:val="000000"/>
          <w:kern w:val="2"/>
          <w:sz w:val="32"/>
          <w:szCs w:val="32"/>
          <w:lang w:val="en-US" w:eastAsia="zh-CN"/>
        </w:rPr>
        <w:t>本年度新进3位人员纳入本年预算</w:t>
      </w:r>
    </w:p>
    <w:p>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8"/>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38</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科技馆展教员及保安劳务派遣工资。</w:t>
      </w:r>
    </w:p>
    <w:p>
      <w:pPr>
        <w:pStyle w:val="8"/>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8"/>
        <w:spacing w:before="0" w:line="360" w:lineRule="auto"/>
        <w:ind w:firstLine="640" w:firstLineChars="200"/>
        <w:rPr>
          <w:rFonts w:cs="仿宋_GB2312"/>
          <w:kern w:val="2"/>
          <w:sz w:val="32"/>
          <w:szCs w:val="32"/>
        </w:rPr>
      </w:pPr>
      <w:r>
        <w:rPr>
          <w:rFonts w:hint="eastAsia" w:cs="仿宋_GB2312"/>
          <w:kern w:val="2"/>
          <w:sz w:val="32"/>
          <w:szCs w:val="32"/>
        </w:rPr>
        <w:t>截至2021年12月31日，我单位固定资产</w:t>
      </w:r>
      <w:r>
        <w:rPr>
          <w:rFonts w:hint="eastAsia" w:cs="仿宋_GB2312"/>
          <w:kern w:val="2"/>
          <w:sz w:val="32"/>
          <w:szCs w:val="32"/>
          <w:lang w:val="en-US" w:eastAsia="zh-CN"/>
        </w:rPr>
        <w:t>500.86</w:t>
      </w:r>
      <w:r>
        <w:rPr>
          <w:rFonts w:hint="eastAsia" w:cs="仿宋_GB2312"/>
          <w:kern w:val="2"/>
          <w:sz w:val="32"/>
          <w:szCs w:val="32"/>
        </w:rPr>
        <w:t>万元。</w:t>
      </w:r>
    </w:p>
    <w:p>
      <w:pPr>
        <w:pStyle w:val="8"/>
        <w:numPr>
          <w:ilvl w:val="0"/>
          <w:numId w:val="4"/>
        </w:numPr>
        <w:spacing w:before="0" w:line="360" w:lineRule="auto"/>
        <w:ind w:firstLine="640" w:firstLineChars="200"/>
        <w:rPr>
          <w:rFonts w:ascii="黑体" w:hAnsi="黑体" w:eastAsia="黑体"/>
          <w:sz w:val="32"/>
          <w:szCs w:val="32"/>
        </w:rPr>
      </w:pPr>
      <w:r>
        <w:rPr>
          <w:rFonts w:hint="eastAsia" w:cs="仿宋_GB2312"/>
          <w:kern w:val="2"/>
          <w:sz w:val="32"/>
          <w:szCs w:val="32"/>
        </w:rPr>
        <w:t>绩效目标设置情况</w:t>
      </w:r>
    </w:p>
    <w:p>
      <w:pPr>
        <w:pStyle w:val="8"/>
        <w:numPr>
          <w:ilvl w:val="0"/>
          <w:numId w:val="4"/>
        </w:numPr>
        <w:spacing w:before="0" w:line="360" w:lineRule="auto"/>
        <w:ind w:firstLine="640" w:firstLineChars="200"/>
        <w:rPr>
          <w:rFonts w:ascii="黑体" w:hAnsi="黑体" w:eastAsia="黑体"/>
          <w:sz w:val="32"/>
          <w:szCs w:val="32"/>
        </w:rPr>
      </w:pPr>
      <w:r>
        <w:rPr>
          <w:rFonts w:hint="eastAsia" w:cs="仿宋_GB2312"/>
          <w:kern w:val="2"/>
          <w:sz w:val="32"/>
          <w:szCs w:val="32"/>
        </w:rPr>
        <w:t>2022年部门（单位）通用项目和专用项目均按要求实行绩效目标管理，涉及一般公共预算当年拨款</w:t>
      </w:r>
      <w:r>
        <w:rPr>
          <w:rFonts w:hint="eastAsia" w:cs="仿宋_GB2312"/>
          <w:kern w:val="2"/>
          <w:sz w:val="32"/>
          <w:szCs w:val="32"/>
          <w:lang w:val="en-US" w:eastAsia="zh-CN"/>
        </w:rPr>
        <w:t>168</w:t>
      </w:r>
      <w:r>
        <w:rPr>
          <w:rFonts w:hint="eastAsia" w:cs="仿宋_GB2312"/>
          <w:kern w:val="2"/>
          <w:sz w:val="32"/>
          <w:szCs w:val="32"/>
        </w:rPr>
        <w:t>万元。</w:t>
      </w:r>
    </w:p>
    <w:p>
      <w:pPr>
        <w:pStyle w:val="8"/>
        <w:spacing w:before="0" w:line="360" w:lineRule="auto"/>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8"/>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8"/>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8"/>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rPr>
        <w:rFonts w:hint="eastAsia"/>
      </w:rPr>
    </w:lvl>
  </w:abstractNum>
  <w:abstractNum w:abstractNumId="1">
    <w:nsid w:val="AADE4796"/>
    <w:multiLevelType w:val="singleLevel"/>
    <w:tmpl w:val="AADE4796"/>
    <w:lvl w:ilvl="0" w:tentative="0">
      <w:start w:val="1"/>
      <w:numFmt w:val="chineseCounting"/>
      <w:suff w:val="nothing"/>
      <w:lvlText w:val="（%1）"/>
      <w:lvlJc w:val="left"/>
      <w:rPr>
        <w:rFonts w:hint="eastAsia"/>
      </w:rPr>
    </w:lvl>
  </w:abstractNum>
  <w:abstractNum w:abstractNumId="2">
    <w:nsid w:val="C36BF6F4"/>
    <w:multiLevelType w:val="singleLevel"/>
    <w:tmpl w:val="C36BF6F4"/>
    <w:lvl w:ilvl="0" w:tentative="0">
      <w:start w:val="1"/>
      <w:numFmt w:val="chineseCounting"/>
      <w:suff w:val="nothing"/>
      <w:lvlText w:val="（%1）"/>
      <w:lvlJc w:val="left"/>
      <w:rPr>
        <w:rFonts w:hint="eastAsia"/>
      </w:rPr>
    </w:lvl>
  </w:abstractNum>
  <w:abstractNum w:abstractNumId="3">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242435"/>
    <w:rsid w:val="0030031F"/>
    <w:rsid w:val="004379C5"/>
    <w:rsid w:val="0054124B"/>
    <w:rsid w:val="00887775"/>
    <w:rsid w:val="00923A98"/>
    <w:rsid w:val="00DB29FD"/>
    <w:rsid w:val="07674A16"/>
    <w:rsid w:val="13197D31"/>
    <w:rsid w:val="164003A4"/>
    <w:rsid w:val="16C5583A"/>
    <w:rsid w:val="177904B8"/>
    <w:rsid w:val="1B0406D7"/>
    <w:rsid w:val="20361CB8"/>
    <w:rsid w:val="29566940"/>
    <w:rsid w:val="2BBB30B6"/>
    <w:rsid w:val="32BF7DF5"/>
    <w:rsid w:val="48EB0A3F"/>
    <w:rsid w:val="5186253C"/>
    <w:rsid w:val="61693C9D"/>
    <w:rsid w:val="64CC0F4B"/>
    <w:rsid w:val="7AE4629A"/>
    <w:rsid w:val="7EE32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9"/>
    <w:qFormat/>
    <w:uiPriority w:val="0"/>
    <w:pPr>
      <w:keepNext/>
      <w:keepLines/>
      <w:widowControl w:val="0"/>
      <w:spacing w:before="260" w:after="260" w:line="415" w:lineRule="auto"/>
      <w:outlineLvl w:val="2"/>
    </w:pPr>
    <w:rPr>
      <w:rFonts w:ascii="Times New Roman" w:hAnsi="Times New Roman" w:eastAsia="仿宋_GB2312"/>
      <w:b/>
      <w:bCs/>
      <w:sz w:val="32"/>
      <w:szCs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character" w:customStyle="1" w:styleId="9">
    <w:name w:val="heading 3 Char"/>
    <w:basedOn w:val="6"/>
    <w:link w:val="2"/>
    <w:qFormat/>
    <w:uiPriority w:val="0"/>
    <w:rPr>
      <w:rFonts w:ascii="Times New Roman" w:hAnsi="Times New Roman" w:eastAsia="仿宋_GB2312"/>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279</Words>
  <Characters>1594</Characters>
  <Lines>13</Lines>
  <Paragraphs>3</Paragraphs>
  <TotalTime>1</TotalTime>
  <ScaleCrop>false</ScaleCrop>
  <LinksUpToDate>false</LinksUpToDate>
  <CharactersWithSpaces>1870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淘～小～店</cp:lastModifiedBy>
  <cp:lastPrinted>2018-01-30T09:39:00Z</cp:lastPrinted>
  <dcterms:modified xsi:type="dcterms:W3CDTF">2022-01-20T10:48:51Z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EF0DFEF406E04B3CB290048952DC8EB6</vt:lpwstr>
  </property>
</Properties>
</file>