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50FD7">
      <w:pPr>
        <w:rPr>
          <w:rFonts w:ascii="黑体" w:eastAsia="黑体"/>
          <w:sz w:val="32"/>
          <w:szCs w:val="32"/>
        </w:rPr>
      </w:pPr>
    </w:p>
    <w:p w14:paraId="735504B1"/>
    <w:p w14:paraId="5820AD42"/>
    <w:p w14:paraId="7D1BF99B"/>
    <w:p w14:paraId="0BB95C49">
      <w:pPr>
        <w:ind w:firstLine="1050" w:firstLineChars="500"/>
      </w:pPr>
    </w:p>
    <w:p w14:paraId="754934A3">
      <w:pPr>
        <w:ind w:firstLine="1050" w:firstLineChars="500"/>
      </w:pPr>
    </w:p>
    <w:p w14:paraId="79ED654A">
      <w:pPr>
        <w:ind w:firstLine="1760" w:firstLineChars="400"/>
        <w:rPr>
          <w:rFonts w:ascii="黑体" w:eastAsia="黑体"/>
          <w:sz w:val="44"/>
          <w:szCs w:val="44"/>
        </w:rPr>
      </w:pPr>
    </w:p>
    <w:p w14:paraId="6299712D">
      <w:pPr>
        <w:ind w:firstLine="1760" w:firstLineChars="400"/>
        <w:rPr>
          <w:rFonts w:ascii="黑体" w:eastAsia="黑体"/>
          <w:sz w:val="44"/>
          <w:szCs w:val="44"/>
        </w:rPr>
      </w:pPr>
    </w:p>
    <w:p w14:paraId="577C7142">
      <w:pPr>
        <w:jc w:val="center"/>
        <w:rPr>
          <w:rFonts w:ascii="黑体" w:eastAsia="黑体"/>
          <w:sz w:val="44"/>
          <w:szCs w:val="44"/>
        </w:rPr>
      </w:pPr>
      <w:r>
        <w:rPr>
          <w:rFonts w:hint="eastAsia" w:ascii="黑体" w:eastAsia="黑体"/>
          <w:sz w:val="44"/>
          <w:szCs w:val="44"/>
        </w:rPr>
        <w:t>中共阿坝州委宣传部（</w:t>
      </w:r>
      <w:r>
        <w:rPr>
          <w:rFonts w:hint="eastAsia" w:ascii="黑体" w:eastAsia="黑体"/>
          <w:sz w:val="44"/>
          <w:szCs w:val="44"/>
          <w:lang w:eastAsia="zh-CN"/>
        </w:rPr>
        <w:t>单位</w:t>
      </w:r>
      <w:r>
        <w:rPr>
          <w:rFonts w:hint="eastAsia" w:ascii="黑体" w:eastAsia="黑体"/>
          <w:sz w:val="44"/>
          <w:szCs w:val="44"/>
        </w:rPr>
        <w:t>）</w:t>
      </w:r>
    </w:p>
    <w:p w14:paraId="5CCA7C8F">
      <w:pPr>
        <w:jc w:val="center"/>
        <w:rPr>
          <w:rFonts w:ascii="黑体" w:eastAsia="黑体"/>
          <w:sz w:val="44"/>
          <w:szCs w:val="44"/>
        </w:rPr>
      </w:pPr>
      <w:r>
        <w:rPr>
          <w:rFonts w:ascii="黑体" w:eastAsia="黑体"/>
          <w:sz w:val="44"/>
          <w:szCs w:val="44"/>
        </w:rPr>
        <w:t>2</w:t>
      </w:r>
      <w:r>
        <w:rPr>
          <w:rFonts w:hint="eastAsia" w:ascii="黑体" w:eastAsia="黑体"/>
          <w:sz w:val="44"/>
          <w:szCs w:val="44"/>
        </w:rPr>
        <w:t>026年部门预算</w:t>
      </w:r>
    </w:p>
    <w:p w14:paraId="72E3D574">
      <w:pPr>
        <w:ind w:firstLine="1760" w:firstLineChars="400"/>
        <w:rPr>
          <w:rFonts w:ascii="黑体" w:eastAsia="黑体"/>
          <w:sz w:val="44"/>
          <w:szCs w:val="44"/>
        </w:rPr>
      </w:pPr>
    </w:p>
    <w:p w14:paraId="3B0DE1BA">
      <w:pPr>
        <w:ind w:firstLine="1760" w:firstLineChars="400"/>
        <w:rPr>
          <w:rFonts w:ascii="黑体" w:eastAsia="黑体"/>
          <w:sz w:val="44"/>
          <w:szCs w:val="44"/>
        </w:rPr>
      </w:pPr>
    </w:p>
    <w:p w14:paraId="7A1A57EC">
      <w:pPr>
        <w:ind w:firstLine="1760" w:firstLineChars="400"/>
        <w:rPr>
          <w:rFonts w:ascii="黑体" w:eastAsia="黑体"/>
          <w:sz w:val="44"/>
          <w:szCs w:val="44"/>
        </w:rPr>
      </w:pPr>
    </w:p>
    <w:p w14:paraId="34EE612A">
      <w:pPr>
        <w:ind w:firstLine="1760" w:firstLineChars="400"/>
        <w:rPr>
          <w:rFonts w:ascii="黑体" w:eastAsia="黑体"/>
          <w:sz w:val="44"/>
          <w:szCs w:val="44"/>
        </w:rPr>
      </w:pPr>
    </w:p>
    <w:p w14:paraId="6088510D">
      <w:pPr>
        <w:ind w:firstLine="1760" w:firstLineChars="400"/>
        <w:rPr>
          <w:rFonts w:ascii="黑体" w:eastAsia="黑体"/>
          <w:sz w:val="44"/>
          <w:szCs w:val="44"/>
        </w:rPr>
      </w:pPr>
    </w:p>
    <w:p w14:paraId="3CA88E3E">
      <w:pPr>
        <w:ind w:firstLine="1760" w:firstLineChars="400"/>
        <w:rPr>
          <w:rFonts w:ascii="黑体" w:eastAsia="黑体"/>
          <w:sz w:val="44"/>
          <w:szCs w:val="44"/>
        </w:rPr>
      </w:pPr>
    </w:p>
    <w:p w14:paraId="2CFBCC2B">
      <w:pPr>
        <w:ind w:firstLine="2640" w:firstLineChars="600"/>
        <w:rPr>
          <w:rFonts w:ascii="黑体" w:eastAsia="黑体"/>
          <w:sz w:val="44"/>
          <w:szCs w:val="44"/>
        </w:rPr>
      </w:pPr>
      <w:r>
        <w:rPr>
          <w:rFonts w:hint="eastAsia" w:ascii="黑体" w:eastAsia="黑体"/>
          <w:sz w:val="44"/>
          <w:szCs w:val="44"/>
        </w:rPr>
        <w:t>2026年01月22日</w:t>
      </w:r>
    </w:p>
    <w:p w14:paraId="7607E96B">
      <w:pPr>
        <w:ind w:firstLine="1760" w:firstLineChars="400"/>
        <w:rPr>
          <w:rFonts w:ascii="黑体" w:eastAsia="黑体"/>
          <w:sz w:val="44"/>
          <w:szCs w:val="44"/>
        </w:rPr>
      </w:pPr>
    </w:p>
    <w:p w14:paraId="78FF6FB5">
      <w:pPr>
        <w:ind w:firstLine="1760" w:firstLineChars="400"/>
        <w:rPr>
          <w:rFonts w:ascii="黑体" w:eastAsia="黑体"/>
          <w:sz w:val="44"/>
          <w:szCs w:val="44"/>
        </w:rPr>
      </w:pPr>
    </w:p>
    <w:p w14:paraId="6393DCC2">
      <w:pPr>
        <w:ind w:firstLine="1760" w:firstLineChars="400"/>
        <w:rPr>
          <w:rFonts w:ascii="黑体" w:eastAsia="黑体"/>
          <w:sz w:val="44"/>
          <w:szCs w:val="44"/>
        </w:rPr>
      </w:pPr>
    </w:p>
    <w:p w14:paraId="3D1501B3">
      <w:pPr>
        <w:ind w:firstLine="1760" w:firstLineChars="400"/>
        <w:rPr>
          <w:rFonts w:ascii="黑体" w:eastAsia="黑体"/>
          <w:sz w:val="44"/>
          <w:szCs w:val="44"/>
        </w:rPr>
      </w:pPr>
    </w:p>
    <w:p w14:paraId="1BA1990E">
      <w:pPr>
        <w:ind w:firstLine="1760" w:firstLineChars="400"/>
        <w:rPr>
          <w:rFonts w:ascii="黑体" w:eastAsia="黑体"/>
          <w:sz w:val="44"/>
          <w:szCs w:val="44"/>
        </w:rPr>
      </w:pPr>
    </w:p>
    <w:p w14:paraId="15B81024">
      <w:pPr>
        <w:ind w:firstLine="1760" w:firstLineChars="400"/>
        <w:rPr>
          <w:rFonts w:ascii="黑体" w:eastAsia="黑体"/>
          <w:sz w:val="44"/>
          <w:szCs w:val="44"/>
        </w:rPr>
      </w:pPr>
    </w:p>
    <w:p w14:paraId="1A7008D1">
      <w:pPr>
        <w:ind w:firstLine="1760" w:firstLineChars="400"/>
        <w:rPr>
          <w:rFonts w:ascii="黑体" w:eastAsia="黑体"/>
          <w:sz w:val="44"/>
          <w:szCs w:val="44"/>
        </w:rPr>
      </w:pPr>
    </w:p>
    <w:p w14:paraId="1D3D5903">
      <w:pPr>
        <w:rPr>
          <w:rFonts w:ascii="黑体" w:eastAsia="黑体"/>
          <w:sz w:val="44"/>
          <w:szCs w:val="44"/>
        </w:rPr>
      </w:pPr>
    </w:p>
    <w:p w14:paraId="1B3CFD39">
      <w:pPr>
        <w:ind w:firstLine="3120" w:firstLineChars="600"/>
        <w:rPr>
          <w:rFonts w:ascii="黑体" w:eastAsia="黑体"/>
          <w:sz w:val="52"/>
          <w:szCs w:val="52"/>
        </w:rPr>
      </w:pPr>
      <w:r>
        <w:rPr>
          <w:rFonts w:hint="eastAsia" w:ascii="黑体" w:eastAsia="黑体"/>
          <w:sz w:val="52"/>
          <w:szCs w:val="52"/>
        </w:rPr>
        <w:t>目录</w:t>
      </w:r>
    </w:p>
    <w:p w14:paraId="3A4FDFF2">
      <w:pPr>
        <w:ind w:firstLine="3080" w:firstLineChars="700"/>
        <w:rPr>
          <w:rFonts w:ascii="黑体" w:eastAsia="黑体"/>
          <w:sz w:val="44"/>
          <w:szCs w:val="44"/>
        </w:rPr>
      </w:pPr>
    </w:p>
    <w:p w14:paraId="07EEBA5E">
      <w:pPr>
        <w:pStyle w:val="12"/>
        <w:ind w:firstLine="0" w:firstLineChars="0"/>
        <w:rPr>
          <w:rFonts w:ascii="黑体" w:eastAsia="黑体"/>
          <w:sz w:val="32"/>
          <w:szCs w:val="32"/>
        </w:rPr>
      </w:pPr>
      <w:r>
        <w:rPr>
          <w:rFonts w:hint="eastAsia" w:ascii="黑体" w:eastAsia="黑体"/>
          <w:sz w:val="32"/>
          <w:szCs w:val="32"/>
        </w:rPr>
        <w:t>一、基本职能及主要工作</w:t>
      </w:r>
    </w:p>
    <w:p w14:paraId="11B78E2F">
      <w:pPr>
        <w:rPr>
          <w:rFonts w:ascii="仿宋_GB2312" w:eastAsia="仿宋_GB2312"/>
          <w:sz w:val="32"/>
          <w:szCs w:val="32"/>
        </w:rPr>
      </w:pPr>
      <w:r>
        <w:rPr>
          <w:rFonts w:hint="eastAsia" w:ascii="仿宋_GB2312" w:eastAsia="仿宋_GB2312"/>
          <w:sz w:val="32"/>
          <w:szCs w:val="32"/>
        </w:rPr>
        <w:t>（一）部门职能简介</w:t>
      </w:r>
    </w:p>
    <w:p w14:paraId="2B003D3F">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26年重点工作</w:t>
      </w:r>
    </w:p>
    <w:p w14:paraId="6EB5E8BE">
      <w:pPr>
        <w:rPr>
          <w:rFonts w:ascii="黑体" w:eastAsia="黑体"/>
          <w:sz w:val="32"/>
          <w:szCs w:val="32"/>
        </w:rPr>
      </w:pPr>
      <w:r>
        <w:rPr>
          <w:rFonts w:hint="eastAsia" w:ascii="黑体" w:eastAsia="黑体"/>
          <w:sz w:val="32"/>
          <w:szCs w:val="32"/>
        </w:rPr>
        <w:t>二、部门预算单位构成</w:t>
      </w:r>
    </w:p>
    <w:p w14:paraId="51FAE799">
      <w:pPr>
        <w:rPr>
          <w:rFonts w:ascii="黑体" w:eastAsia="黑体"/>
          <w:sz w:val="32"/>
          <w:szCs w:val="32"/>
        </w:rPr>
      </w:pPr>
      <w:r>
        <w:rPr>
          <w:rFonts w:hint="eastAsia" w:ascii="黑体" w:eastAsia="黑体"/>
          <w:sz w:val="32"/>
          <w:szCs w:val="32"/>
        </w:rPr>
        <w:t>三、收支预算情况说明</w:t>
      </w:r>
    </w:p>
    <w:p w14:paraId="4902A7E4">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120527F1">
      <w:pPr>
        <w:rPr>
          <w:rFonts w:ascii="仿宋_GB2312" w:eastAsia="仿宋_GB2312"/>
          <w:sz w:val="32"/>
          <w:szCs w:val="32"/>
        </w:rPr>
      </w:pPr>
      <w:r>
        <w:rPr>
          <w:rFonts w:hint="eastAsia" w:ascii="仿宋_GB2312" w:eastAsia="仿宋_GB2312"/>
          <w:sz w:val="32"/>
          <w:szCs w:val="32"/>
        </w:rPr>
        <w:t>（二）支出预算情况</w:t>
      </w:r>
    </w:p>
    <w:p w14:paraId="4C49E5EE">
      <w:pPr>
        <w:rPr>
          <w:rFonts w:ascii="黑体" w:eastAsia="黑体"/>
          <w:sz w:val="32"/>
          <w:szCs w:val="32"/>
        </w:rPr>
      </w:pPr>
      <w:r>
        <w:rPr>
          <w:rFonts w:hint="eastAsia" w:ascii="黑体" w:eastAsia="黑体"/>
          <w:sz w:val="32"/>
          <w:szCs w:val="32"/>
        </w:rPr>
        <w:t>四、财政拨款收支预算情况说明</w:t>
      </w:r>
    </w:p>
    <w:p w14:paraId="5CAB1FF1">
      <w:pPr>
        <w:rPr>
          <w:rFonts w:ascii="黑体" w:eastAsia="黑体"/>
          <w:sz w:val="32"/>
          <w:szCs w:val="32"/>
        </w:rPr>
      </w:pPr>
      <w:r>
        <w:rPr>
          <w:rFonts w:hint="eastAsia" w:ascii="黑体" w:eastAsia="黑体"/>
          <w:sz w:val="32"/>
          <w:szCs w:val="32"/>
        </w:rPr>
        <w:t>五、一般公共预算当年拨款情况说明</w:t>
      </w:r>
    </w:p>
    <w:p w14:paraId="6E330B76">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F3FDFDF">
      <w:pPr>
        <w:rPr>
          <w:rFonts w:ascii="黑体" w:eastAsia="黑体"/>
          <w:sz w:val="32"/>
          <w:szCs w:val="32"/>
        </w:rPr>
      </w:pPr>
    </w:p>
    <w:p w14:paraId="0FEBED02">
      <w:pPr>
        <w:pStyle w:val="2"/>
      </w:pPr>
    </w:p>
    <w:p w14:paraId="5D852397">
      <w:pPr>
        <w:pStyle w:val="12"/>
        <w:ind w:firstLine="640"/>
        <w:rPr>
          <w:rFonts w:ascii="黑体" w:eastAsia="黑体"/>
          <w:sz w:val="32"/>
          <w:szCs w:val="32"/>
        </w:rPr>
      </w:pPr>
      <w:r>
        <w:rPr>
          <w:rFonts w:hint="eastAsia" w:ascii="黑体" w:eastAsia="黑体"/>
          <w:sz w:val="32"/>
          <w:szCs w:val="32"/>
        </w:rPr>
        <w:t>一、基本职能及主要工作</w:t>
      </w:r>
    </w:p>
    <w:p w14:paraId="4EAEB6DC">
      <w:pPr>
        <w:ind w:firstLine="640" w:firstLineChars="200"/>
        <w:rPr>
          <w:rFonts w:ascii="仿宋_GB2312" w:eastAsia="仿宋_GB2312"/>
          <w:sz w:val="32"/>
          <w:szCs w:val="32"/>
        </w:rPr>
      </w:pPr>
      <w:r>
        <w:rPr>
          <w:rFonts w:hint="eastAsia" w:ascii="仿宋_GB2312" w:eastAsia="仿宋_GB2312"/>
          <w:sz w:val="32"/>
          <w:szCs w:val="32"/>
        </w:rPr>
        <w:t>（一）部门职能简介</w:t>
      </w:r>
    </w:p>
    <w:p w14:paraId="201F4397">
      <w:pPr>
        <w:spacing w:line="560" w:lineRule="exact"/>
        <w:ind w:firstLine="640" w:firstLineChars="200"/>
        <w:rPr>
          <w:rFonts w:ascii="仿宋_GB2312" w:hAnsi="仿宋" w:eastAsia="仿宋_GB2312"/>
          <w:sz w:val="32"/>
        </w:rPr>
      </w:pPr>
      <w:r>
        <w:rPr>
          <w:rFonts w:hint="eastAsia" w:ascii="仿宋_GB2312" w:hAnsi="仿宋" w:eastAsia="仿宋_GB2312"/>
          <w:sz w:val="32"/>
        </w:rPr>
        <w:t>负责全州理论教育、理论研究、理论宣传和理论队伍建设等方面的业务指导工作；州委中心组学习、调查研究全州宣传思想工作的方针、政策和法规建设、全州文化艺术事业进行宏观指导和协调方面、全州新闻队伍建设、新闻系列职称评定、文明办、全州性精神文明的组织协调和联络工作；负责外宣工作综合报告、重要文件的起草工作。</w:t>
      </w:r>
    </w:p>
    <w:p w14:paraId="6333F320">
      <w:pPr>
        <w:ind w:firstLine="640" w:firstLineChars="200"/>
        <w:rPr>
          <w:rFonts w:ascii="仿宋_GB2312" w:eastAsia="仿宋_GB2312"/>
          <w:sz w:val="32"/>
          <w:szCs w:val="32"/>
        </w:rPr>
      </w:pPr>
      <w:r>
        <w:rPr>
          <w:rFonts w:hint="eastAsia" w:ascii="仿宋_GB2312" w:eastAsia="仿宋_GB2312"/>
          <w:sz w:val="32"/>
          <w:szCs w:val="32"/>
        </w:rPr>
        <w:t>（二）2026年重点工作</w:t>
      </w:r>
    </w:p>
    <w:p w14:paraId="549A1E4C">
      <w:pPr>
        <w:pStyle w:val="12"/>
        <w:ind w:firstLine="640"/>
        <w:rPr>
          <w:rFonts w:hint="eastAsia" w:ascii="仿宋_GB2312" w:hAnsi="仿宋" w:eastAsia="仿宋_GB2312" w:cs="Times New Roman"/>
          <w:kern w:val="2"/>
          <w:sz w:val="32"/>
          <w:szCs w:val="22"/>
          <w:lang w:val="en-US" w:eastAsia="zh-CN" w:bidi="ar-SA"/>
        </w:rPr>
      </w:pPr>
      <w:r>
        <w:rPr>
          <w:rFonts w:hint="eastAsia" w:ascii="仿宋_GB2312" w:hAnsi="仿宋" w:eastAsia="仿宋_GB2312" w:cs="Times New Roman"/>
          <w:kern w:val="2"/>
          <w:sz w:val="32"/>
          <w:szCs w:val="22"/>
          <w:lang w:val="en-US" w:eastAsia="zh-CN" w:bidi="ar-SA"/>
        </w:rPr>
        <w:t>一是严格落实党委（党组）理论学习中心组学习制度，依托“微网实格”等载体，常态化开展党的二十届四中全会、省委十二届八次全会等精神宣讲，让党的声音传遍雪山草地。持续抓好理论研究，推出一批有分量、有价值的研究成果。二是持续提升“德耀阿坝”品牌影响力，举办第六届“感动阿坝年度人物”评选，做好“中国好人”“四川好人”申报推荐开展“榜样在身边”主题教育活动。常态化实施五大文明实践项目，推出“五个一”全民服务行动，深化新时代文明实践中心建设，以文明素质提升助力“好客之州”建设，推动文明新风蔚然成风。三是加快编制《阿坝州“十五五”文化发展规划》《阿坝州国际生态文化旅游目的地规划》，出台《阿坝州文艺精品奖励和人才培育十条措施》，完善文化发展制度保障。加大长征国家文化公园（阿坝州段）建设力度，持续推进国家羌族文化生态保护区、营盘山国家考古遗址公园、阿坝非遗博览园及非遗工坊建设，推动非遗资源场景化、体验化、产品化、旅游化转化。提速九寨黄龙世界级旅游景区、四姑娘山“中国户外运动第一山”建设，加快高原旅游驿站布局，深化文旅深度融合，激活文化产业发展新动能。</w:t>
      </w:r>
    </w:p>
    <w:p w14:paraId="3993114F">
      <w:pPr>
        <w:pStyle w:val="12"/>
        <w:ind w:firstLine="640"/>
        <w:rPr>
          <w:rFonts w:hint="eastAsia" w:ascii="黑体" w:eastAsia="黑体"/>
          <w:sz w:val="32"/>
          <w:szCs w:val="32"/>
        </w:rPr>
      </w:pPr>
      <w:r>
        <w:rPr>
          <w:rFonts w:hint="eastAsia" w:ascii="黑体" w:eastAsia="黑体"/>
          <w:sz w:val="32"/>
          <w:szCs w:val="32"/>
        </w:rPr>
        <w:t>二、部门预算单位构成</w:t>
      </w:r>
    </w:p>
    <w:p w14:paraId="34A45A3C">
      <w:pPr>
        <w:pStyle w:val="12"/>
        <w:ind w:firstLine="640"/>
        <w:rPr>
          <w:rFonts w:ascii="仿宋_GB2312" w:hAnsi="仿宋" w:eastAsia="仿宋_GB2312"/>
          <w:sz w:val="32"/>
        </w:rPr>
      </w:pPr>
      <w:r>
        <w:rPr>
          <w:rFonts w:hint="eastAsia" w:ascii="仿宋_GB2312" w:hAnsi="仿宋" w:eastAsia="仿宋_GB2312"/>
          <w:sz w:val="32"/>
        </w:rPr>
        <w:t>中共阿坝州委宣传部属一级预算单位，下属中共阿坝州</w:t>
      </w:r>
      <w:r>
        <w:rPr>
          <w:rFonts w:hint="eastAsia" w:ascii="仿宋_GB2312" w:hAnsi="仿宋" w:eastAsia="仿宋_GB2312"/>
          <w:sz w:val="32"/>
        </w:rPr>
        <w:t>委讲师团，阿坝州媒体服务中心（阿坝州新时代文明实践中心、阿坝州国防教育中心），阿坝州电影公司、阿坝州新华书店。其中：行政单位1个，其他事业单位4个，即：中共阿坝州委讲师团、阿坝州媒体服务中心</w:t>
      </w:r>
      <w:r>
        <w:rPr>
          <w:rFonts w:hint="eastAsia" w:ascii="仿宋_GB2312" w:hAnsi="仿宋" w:eastAsia="仿宋_GB2312"/>
          <w:sz w:val="32"/>
          <w:lang w:eastAsia="zh-CN"/>
        </w:rPr>
        <w:t>（【</w:t>
      </w:r>
      <w:r>
        <w:rPr>
          <w:rFonts w:hint="eastAsia" w:ascii="仿宋_GB2312" w:hAnsi="仿宋" w:eastAsia="仿宋_GB2312"/>
          <w:sz w:val="32"/>
        </w:rPr>
        <w:t>阿坝州国防教育中心】阿坝州新时代文明实践中心</w:t>
      </w:r>
      <w:r>
        <w:rPr>
          <w:rFonts w:hint="eastAsia" w:ascii="仿宋_GB2312" w:hAnsi="仿宋" w:eastAsia="仿宋_GB2312"/>
          <w:sz w:val="32"/>
          <w:lang w:eastAsia="zh-CN"/>
        </w:rPr>
        <w:t>）</w:t>
      </w:r>
      <w:r>
        <w:rPr>
          <w:rFonts w:hint="eastAsia" w:ascii="仿宋_GB2312" w:hAnsi="仿宋" w:eastAsia="仿宋_GB2312"/>
          <w:sz w:val="32"/>
        </w:rPr>
        <w:t>、阿坝州电影公司、阿坝州新华书店。</w:t>
      </w:r>
    </w:p>
    <w:p w14:paraId="4B1FE5B7">
      <w:pPr>
        <w:pStyle w:val="12"/>
        <w:ind w:firstLine="640"/>
        <w:rPr>
          <w:rFonts w:ascii="黑体" w:eastAsia="黑体"/>
          <w:sz w:val="32"/>
          <w:szCs w:val="32"/>
        </w:rPr>
      </w:pPr>
      <w:r>
        <w:rPr>
          <w:rFonts w:hint="eastAsia" w:ascii="黑体" w:eastAsia="黑体"/>
          <w:sz w:val="32"/>
          <w:szCs w:val="32"/>
        </w:rPr>
        <w:t>三、收支预算情况说明</w:t>
      </w:r>
    </w:p>
    <w:p w14:paraId="2E6783E8">
      <w:p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（一）收入预算情况</w:t>
      </w:r>
    </w:p>
    <w:p w14:paraId="40BE5CE3">
      <w:p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按照综合预算的原则，中共阿坝州委宣传部2026年所有收入和支出均纳入部门预算管理。一般公共预算拨款收入1612.39万元，占100.00%。</w:t>
      </w:r>
    </w:p>
    <w:p w14:paraId="02369290">
      <w:pPr>
        <w:ind w:firstLine="632" w:firstLineChars="200"/>
        <w:rPr>
          <w:rFonts w:ascii="仿宋_GB2312" w:hAnsi="仿宋" w:eastAsia="仿宋_GB2312" w:cs="黑体"/>
          <w:spacing w:val="-2"/>
          <w:sz w:val="32"/>
        </w:rPr>
      </w:pPr>
      <w:r>
        <w:rPr>
          <w:rFonts w:hint="eastAsia" w:ascii="仿宋_GB2312" w:hAnsi="仿宋" w:eastAsia="仿宋_GB2312" w:cs="黑体"/>
          <w:spacing w:val="-2"/>
          <w:sz w:val="32"/>
        </w:rPr>
        <w:t>（二）支出预算情况</w:t>
      </w:r>
    </w:p>
    <w:p w14:paraId="41979663">
      <w:pPr>
        <w:pStyle w:val="2"/>
        <w:ind w:firstLine="632" w:firstLineChars="200"/>
        <w:rPr>
          <w:rFonts w:ascii="黑体" w:eastAsia="黑体"/>
          <w:sz w:val="32"/>
          <w:szCs w:val="32"/>
        </w:rPr>
      </w:pPr>
      <w:r>
        <w:rPr>
          <w:rFonts w:hint="eastAsia" w:ascii="仿宋_GB2312" w:hAnsi="仿宋" w:eastAsia="仿宋_GB2312" w:cs="黑体"/>
          <w:spacing w:val="-2"/>
          <w:kern w:val="2"/>
          <w:sz w:val="32"/>
        </w:rPr>
        <w:t>中共阿坝州委宣传部2026年支出预算</w:t>
      </w:r>
      <w:r>
        <w:rPr>
          <w:rFonts w:hint="eastAsia" w:ascii="仿宋_GB2312" w:hAnsi="仿宋" w:eastAsia="仿宋_GB2312" w:cs="黑体"/>
          <w:spacing w:val="-2"/>
          <w:sz w:val="32"/>
        </w:rPr>
        <w:t>1612.39</w:t>
      </w:r>
      <w:r>
        <w:rPr>
          <w:rFonts w:hint="eastAsia" w:ascii="仿宋_GB2312" w:hAnsi="仿宋" w:eastAsia="仿宋_GB2312" w:cs="黑体"/>
          <w:spacing w:val="-2"/>
          <w:kern w:val="2"/>
          <w:sz w:val="32"/>
        </w:rPr>
        <w:t>万元，占支出预算的100.00%。其中：基本支出937.15万元，占58.12%；项目支出675.24万元，占41.88%。其中：一般公共服务支出1383.26万元，社会保障和就业支出124.84万元，医疗卫生与计划生育支出43.55万元，住房保障支出60.74万元。</w:t>
      </w:r>
      <w:r>
        <w:rPr>
          <w:rFonts w:hint="eastAsia" w:ascii="仿宋_GB2312" w:hAnsi="仿宋" w:eastAsia="仿宋_GB2312" w:cs="黑体"/>
          <w:spacing w:val="-2"/>
          <w:kern w:val="2"/>
          <w:sz w:val="32"/>
        </w:rPr>
        <w:br w:type="textWrapping"/>
      </w:r>
      <w:r>
        <w:rPr>
          <w:rFonts w:hint="eastAsia" w:ascii="仿宋_GB2312" w:eastAsia="仿宋_GB2312" w:cs="仿宋_GB2312"/>
          <w:sz w:val="32"/>
          <w:szCs w:val="32"/>
        </w:rPr>
        <w:t>　　</w:t>
      </w:r>
      <w:r>
        <w:rPr>
          <w:rFonts w:hint="eastAsia" w:ascii="黑体" w:eastAsia="黑体"/>
          <w:sz w:val="32"/>
          <w:szCs w:val="32"/>
        </w:rPr>
        <w:t>四、财政拨款收支预算情况说明</w:t>
      </w:r>
    </w:p>
    <w:p w14:paraId="6DFE49BC">
      <w:pPr>
        <w:pStyle w:val="13"/>
        <w:spacing w:before="0" w:line="360" w:lineRule="auto"/>
        <w:ind w:firstLine="632" w:firstLineChars="200"/>
        <w:rPr>
          <w:rFonts w:hAnsi="仿宋" w:cs="黑体"/>
          <w:spacing w:val="-2"/>
          <w:kern w:val="2"/>
          <w:sz w:val="32"/>
          <w:szCs w:val="22"/>
        </w:rPr>
      </w:pPr>
      <w:r>
        <w:rPr>
          <w:rFonts w:hint="eastAsia" w:hAnsi="仿宋" w:cs="黑体"/>
          <w:spacing w:val="-2"/>
          <w:kern w:val="2"/>
          <w:sz w:val="32"/>
          <w:szCs w:val="22"/>
        </w:rPr>
        <w:t>中共阿坝州委宣传部2026年财政拨款收支总预算1612.39万元,比2025年财政拨款收支总预算1263.48万元增加348.91万元，主要原因：人员经费的基数调增，增加调进人员2人。</w:t>
      </w:r>
    </w:p>
    <w:p w14:paraId="7C10BC10">
      <w:pPr>
        <w:pStyle w:val="13"/>
        <w:spacing w:before="0" w:line="360" w:lineRule="auto"/>
        <w:ind w:firstLine="632" w:firstLineChars="200"/>
        <w:rPr>
          <w:rFonts w:hAnsi="仿宋" w:cs="黑体"/>
          <w:spacing w:val="-2"/>
          <w:kern w:val="2"/>
          <w:sz w:val="32"/>
          <w:szCs w:val="22"/>
        </w:rPr>
      </w:pPr>
      <w:r>
        <w:rPr>
          <w:rFonts w:hint="eastAsia" w:hAnsi="仿宋" w:cs="黑体"/>
          <w:spacing w:val="-2"/>
          <w:kern w:val="2"/>
          <w:sz w:val="32"/>
          <w:szCs w:val="22"/>
        </w:rPr>
        <w:t>收入包括：本年一般公共预算拨款收入1612.39万元。</w:t>
      </w:r>
    </w:p>
    <w:p w14:paraId="2E916B7E">
      <w:pPr>
        <w:pStyle w:val="13"/>
        <w:spacing w:before="0" w:line="360" w:lineRule="auto"/>
        <w:ind w:firstLine="632" w:firstLineChars="200"/>
        <w:rPr>
          <w:rFonts w:hAnsi="仿宋" w:cs="黑体"/>
          <w:spacing w:val="-2"/>
          <w:kern w:val="2"/>
          <w:sz w:val="32"/>
          <w:szCs w:val="22"/>
        </w:rPr>
      </w:pPr>
      <w:r>
        <w:rPr>
          <w:rFonts w:hint="eastAsia" w:hAnsi="仿宋" w:cs="黑体"/>
          <w:spacing w:val="-2"/>
          <w:kern w:val="2"/>
          <w:sz w:val="32"/>
          <w:szCs w:val="22"/>
        </w:rPr>
        <w:t>支出包括：一般公共服务支出1383.26万元，社会保障和就业支出124.94万元，医疗卫生与计划生育支出43.55万元，住房保障支出60.74万元。　　</w:t>
      </w:r>
    </w:p>
    <w:p w14:paraId="657B5208">
      <w:pPr>
        <w:ind w:firstLine="640" w:firstLineChars="200"/>
        <w:rPr>
          <w:rFonts w:ascii="黑体" w:eastAsia="黑体"/>
          <w:sz w:val="32"/>
          <w:szCs w:val="32"/>
        </w:rPr>
      </w:pPr>
      <w:r>
        <w:rPr>
          <w:rFonts w:hint="eastAsia" w:ascii="黑体" w:eastAsia="黑体"/>
          <w:sz w:val="32"/>
          <w:szCs w:val="32"/>
        </w:rPr>
        <w:t>五、一般公共预算当年拨款情况说明</w:t>
      </w:r>
    </w:p>
    <w:p w14:paraId="6C2C4200">
      <w:pPr>
        <w:pStyle w:val="13"/>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7445145D">
      <w:pPr>
        <w:pStyle w:val="13"/>
        <w:spacing w:before="0" w:line="360" w:lineRule="auto"/>
        <w:ind w:firstLine="632" w:firstLineChars="200"/>
        <w:rPr>
          <w:rFonts w:hAnsi="仿宋" w:cs="黑体"/>
          <w:spacing w:val="-2"/>
          <w:kern w:val="2"/>
          <w:sz w:val="32"/>
          <w:szCs w:val="22"/>
        </w:rPr>
      </w:pPr>
      <w:r>
        <w:rPr>
          <w:rFonts w:hint="eastAsia" w:hAnsi="仿宋" w:cs="黑体"/>
          <w:spacing w:val="-2"/>
          <w:kern w:val="2"/>
          <w:sz w:val="32"/>
          <w:szCs w:val="22"/>
        </w:rPr>
        <w:t>中共阿坝州委宣传部2026年财政拨款收支总预算1612.39万元，比2025年财政拨款收支总预算1263.48万元增加348.91万元，主要原因：人员经费的基数调增，增加调进人员2人。</w:t>
      </w:r>
    </w:p>
    <w:p w14:paraId="6DA50749">
      <w:pPr>
        <w:pStyle w:val="13"/>
        <w:spacing w:before="0" w:line="360" w:lineRule="auto"/>
        <w:ind w:firstLine="640" w:firstLineChars="200"/>
        <w:rPr>
          <w:rFonts w:hAnsi="仿宋" w:cs="黑体"/>
          <w:spacing w:val="-2"/>
          <w:kern w:val="2"/>
          <w:sz w:val="32"/>
          <w:szCs w:val="22"/>
        </w:rPr>
      </w:pPr>
      <w:r>
        <w:rPr>
          <w:rFonts w:hint="eastAsia" w:cs="宋体"/>
          <w:sz w:val="32"/>
          <w:szCs w:val="32"/>
        </w:rPr>
        <w:t>（二）一般公共预算当年拨款结构情况</w:t>
      </w:r>
      <w:r>
        <w:rPr>
          <w:rFonts w:hint="eastAsia" w:cs="宋体"/>
          <w:sz w:val="32"/>
          <w:szCs w:val="32"/>
        </w:rPr>
        <w:br w:type="textWrapping"/>
      </w:r>
      <w:r>
        <w:rPr>
          <w:rFonts w:hint="eastAsia" w:cs="宋体"/>
          <w:sz w:val="32"/>
          <w:szCs w:val="32"/>
        </w:rPr>
        <w:t xml:space="preserve">    中共阿坝州委宣传部2026年收入预算</w:t>
      </w:r>
      <w:r>
        <w:rPr>
          <w:rFonts w:hint="eastAsia" w:hAnsi="仿宋" w:cs="黑体"/>
          <w:spacing w:val="-2"/>
          <w:kern w:val="2"/>
          <w:sz w:val="32"/>
          <w:szCs w:val="22"/>
        </w:rPr>
        <w:t>1263.48</w:t>
      </w:r>
      <w:r>
        <w:rPr>
          <w:rFonts w:hint="eastAsia" w:cs="宋体"/>
          <w:sz w:val="32"/>
          <w:szCs w:val="32"/>
        </w:rPr>
        <w:t>万元，其中：</w:t>
      </w:r>
      <w:r>
        <w:rPr>
          <w:rFonts w:hint="eastAsia" w:hAnsi="仿宋" w:cs="黑体"/>
          <w:spacing w:val="-2"/>
          <w:kern w:val="2"/>
          <w:sz w:val="32"/>
          <w:szCs w:val="22"/>
        </w:rPr>
        <w:t>一般公共服务支出1383.26万元，社会保障和就业支出124.94万元，医疗卫生与计划生育支出43.55万元，住房保障支出60.74万元。</w:t>
      </w:r>
    </w:p>
    <w:p w14:paraId="1E90ADD3">
      <w:pPr>
        <w:pStyle w:val="13"/>
        <w:spacing w:before="0" w:line="360" w:lineRule="auto"/>
        <w:ind w:firstLine="640" w:firstLineChars="200"/>
        <w:rPr>
          <w:rFonts w:cs="仿宋_GB2312"/>
          <w:kern w:val="2"/>
          <w:sz w:val="32"/>
          <w:szCs w:val="32"/>
        </w:rPr>
      </w:pPr>
      <w:r>
        <w:rPr>
          <w:rFonts w:hint="eastAsia" w:cs="仿宋_GB2312"/>
          <w:kern w:val="2"/>
          <w:sz w:val="32"/>
          <w:szCs w:val="32"/>
        </w:rPr>
        <w:t>（三）一般公共预算当年拨款具体使用情况</w:t>
      </w:r>
    </w:p>
    <w:p w14:paraId="04872A02">
      <w:pPr>
        <w:pStyle w:val="13"/>
        <w:spacing w:before="0" w:line="360" w:lineRule="auto"/>
        <w:ind w:firstLine="640" w:firstLineChars="200"/>
        <w:rPr>
          <w:rFonts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支出（类）宣传事务（款）</w:t>
      </w:r>
      <w:r>
        <w:rPr>
          <w:rFonts w:ascii="ˎ̥" w:hAnsi="ˎ̥" w:eastAsia="宋体" w:cs="宋体"/>
          <w:b/>
          <w:bCs/>
          <w:sz w:val="32"/>
          <w:szCs w:val="32"/>
        </w:rPr>
        <w:t>行政运行</w:t>
      </w:r>
      <w:r>
        <w:rPr>
          <w:rFonts w:hint="eastAsia" w:ascii="ˎ̥" w:hAnsi="ˎ̥" w:eastAsia="宋体" w:cs="宋体"/>
          <w:b/>
          <w:bCs/>
          <w:sz w:val="32"/>
          <w:szCs w:val="32"/>
        </w:rPr>
        <w:t>支出（项）</w:t>
      </w:r>
      <w:r>
        <w:rPr>
          <w:rFonts w:hint="eastAsia" w:cs="仿宋_GB2312"/>
          <w:kern w:val="2"/>
          <w:sz w:val="32"/>
          <w:szCs w:val="32"/>
        </w:rPr>
        <w:t>708.02万元，主要用于单位基本支出中的人员经费支出与日常公用经费支出。</w:t>
      </w:r>
    </w:p>
    <w:p w14:paraId="3C0ED618">
      <w:pPr>
        <w:pStyle w:val="13"/>
        <w:spacing w:before="0" w:line="360" w:lineRule="auto"/>
        <w:ind w:firstLine="640" w:firstLineChars="200"/>
        <w:rPr>
          <w:rFonts w:cs="仿宋_GB2312"/>
          <w:kern w:val="2"/>
          <w:sz w:val="32"/>
          <w:szCs w:val="32"/>
        </w:rPr>
      </w:pPr>
      <w:r>
        <w:rPr>
          <w:rFonts w:hint="eastAsia" w:cs="仿宋_GB2312"/>
          <w:kern w:val="2"/>
          <w:sz w:val="32"/>
          <w:szCs w:val="32"/>
        </w:rPr>
        <w:t>2.</w:t>
      </w:r>
      <w:r>
        <w:rPr>
          <w:rFonts w:ascii="ˎ̥" w:hAnsi="ˎ̥" w:eastAsia="宋体" w:cs="宋体"/>
          <w:b/>
          <w:bCs/>
          <w:sz w:val="32"/>
          <w:szCs w:val="32"/>
        </w:rPr>
        <w:t>一般公共服务</w:t>
      </w:r>
      <w:r>
        <w:rPr>
          <w:rFonts w:hint="eastAsia" w:ascii="ˎ̥" w:hAnsi="ˎ̥" w:eastAsia="宋体" w:cs="宋体"/>
          <w:b/>
          <w:bCs/>
          <w:sz w:val="32"/>
          <w:szCs w:val="32"/>
        </w:rPr>
        <w:t>支出（类）宣传事务（款）一般行政管理事务支出（项）</w:t>
      </w:r>
      <w:r>
        <w:rPr>
          <w:rFonts w:hint="eastAsia" w:cs="仿宋_GB2312"/>
          <w:kern w:val="2"/>
          <w:sz w:val="32"/>
          <w:szCs w:val="32"/>
        </w:rPr>
        <w:t>675.24万元，主要用于开展宣传事务的运转类项目支出。</w:t>
      </w:r>
    </w:p>
    <w:p w14:paraId="117BD046">
      <w:pPr>
        <w:pStyle w:val="13"/>
        <w:spacing w:before="0" w:line="360" w:lineRule="auto"/>
        <w:ind w:firstLine="640" w:firstLineChars="200"/>
        <w:rPr>
          <w:rFonts w:cs="仿宋_GB2312"/>
          <w:kern w:val="2"/>
          <w:sz w:val="32"/>
          <w:szCs w:val="32"/>
        </w:rPr>
      </w:pPr>
      <w:r>
        <w:rPr>
          <w:rFonts w:hint="eastAsia" w:ascii="ˎ̥" w:hAnsi="ˎ̥" w:eastAsia="宋体" w:cs="宋体"/>
          <w:sz w:val="32"/>
          <w:szCs w:val="32"/>
        </w:rPr>
        <w:t>3.</w:t>
      </w:r>
      <w:r>
        <w:rPr>
          <w:rFonts w:hint="eastAsia" w:ascii="ˎ̥" w:hAnsi="ˎ̥" w:eastAsia="宋体" w:cs="宋体"/>
          <w:b/>
          <w:bCs/>
          <w:sz w:val="32"/>
          <w:szCs w:val="32"/>
        </w:rPr>
        <w:t>社会保障和就业支出（类）行政事业单位养老支出（款）机关事业单位基本养老保险缴费支出（项）</w:t>
      </w:r>
      <w:r>
        <w:rPr>
          <w:rFonts w:hint="eastAsia" w:cs="仿宋_GB2312"/>
          <w:kern w:val="2"/>
          <w:sz w:val="32"/>
          <w:szCs w:val="32"/>
        </w:rPr>
        <w:t>83.23万元，主要用于单位在职职工的养老保险缴纳，落实行政事业单位基本养老保险制度改革和相关规定。</w:t>
      </w:r>
    </w:p>
    <w:p w14:paraId="7AB187C1">
      <w:pPr>
        <w:pStyle w:val="13"/>
        <w:spacing w:before="0" w:line="360" w:lineRule="auto"/>
        <w:ind w:firstLine="640" w:firstLineChars="200"/>
        <w:rPr>
          <w:rFonts w:cs="仿宋_GB2312"/>
          <w:kern w:val="2"/>
          <w:sz w:val="32"/>
          <w:szCs w:val="32"/>
        </w:rPr>
      </w:pPr>
      <w:r>
        <w:rPr>
          <w:rFonts w:hint="eastAsia" w:cs="仿宋_GB2312"/>
          <w:kern w:val="2"/>
          <w:sz w:val="32"/>
          <w:szCs w:val="32"/>
        </w:rPr>
        <w:t>4.</w:t>
      </w:r>
      <w:r>
        <w:rPr>
          <w:rFonts w:hint="eastAsia" w:ascii="ˎ̥" w:hAnsi="ˎ̥" w:eastAsia="宋体" w:cs="宋体"/>
          <w:b/>
          <w:bCs/>
          <w:sz w:val="32"/>
          <w:szCs w:val="32"/>
        </w:rPr>
        <w:t>社会保障和就业支出（类）行政事业单位职业年金支出（款）机关事业单位职业年金缴费支出（项）</w:t>
      </w:r>
      <w:r>
        <w:rPr>
          <w:rFonts w:hint="eastAsia" w:cs="仿宋_GB2312"/>
          <w:kern w:val="2"/>
          <w:sz w:val="32"/>
          <w:szCs w:val="32"/>
        </w:rPr>
        <w:t>41.61万元，主要用于单位在职职工的职业年金缴纳，落实行政事业单位职业年金制度改革和相关规定。</w:t>
      </w:r>
    </w:p>
    <w:p w14:paraId="736B2171">
      <w:pPr>
        <w:pStyle w:val="13"/>
        <w:spacing w:before="0" w:line="360" w:lineRule="auto"/>
        <w:ind w:firstLine="640" w:firstLineChars="200"/>
        <w:rPr>
          <w:rFonts w:cs="仿宋_GB2312"/>
          <w:kern w:val="2"/>
          <w:sz w:val="32"/>
          <w:szCs w:val="32"/>
        </w:rPr>
      </w:pPr>
      <w:r>
        <w:rPr>
          <w:rFonts w:hint="eastAsia" w:cs="仿宋_GB2312"/>
          <w:kern w:val="2"/>
          <w:sz w:val="32"/>
          <w:szCs w:val="32"/>
        </w:rPr>
        <w:t>5.</w:t>
      </w:r>
      <w:r>
        <w:rPr>
          <w:rFonts w:hint="eastAsia" w:ascii="ˎ̥" w:hAnsi="ˎ̥" w:eastAsia="宋体" w:cs="宋体"/>
          <w:b/>
          <w:bCs/>
          <w:sz w:val="32"/>
          <w:szCs w:val="32"/>
        </w:rPr>
        <w:t>卫生健康支出（类）行政事业单位医疗（款）行政单位医疗（项）</w:t>
      </w:r>
      <w:r>
        <w:rPr>
          <w:rFonts w:hint="eastAsia" w:cs="仿宋_GB2312"/>
          <w:kern w:val="2"/>
          <w:sz w:val="32"/>
          <w:szCs w:val="32"/>
        </w:rPr>
        <w:t>36.41万元，主要用于单位在职职工的职工基本医疗保险缴纳，落实行政事业单位基本医疗保险政策相关相关规定。</w:t>
      </w:r>
    </w:p>
    <w:p w14:paraId="00178D4C">
      <w:pPr>
        <w:pStyle w:val="13"/>
        <w:spacing w:before="0" w:line="360" w:lineRule="auto"/>
        <w:ind w:firstLine="640" w:firstLineChars="200"/>
        <w:rPr>
          <w:rFonts w:cs="仿宋_GB2312"/>
          <w:kern w:val="2"/>
          <w:sz w:val="32"/>
          <w:szCs w:val="32"/>
        </w:rPr>
      </w:pPr>
      <w:r>
        <w:rPr>
          <w:rFonts w:hint="eastAsia" w:cs="仿宋_GB2312"/>
          <w:kern w:val="2"/>
          <w:sz w:val="32"/>
          <w:szCs w:val="32"/>
        </w:rPr>
        <w:t>6.</w:t>
      </w:r>
      <w:r>
        <w:rPr>
          <w:rFonts w:hint="eastAsia" w:ascii="ˎ̥" w:hAnsi="ˎ̥" w:eastAsia="宋体" w:cs="宋体"/>
          <w:b/>
          <w:bCs/>
          <w:sz w:val="32"/>
          <w:szCs w:val="32"/>
        </w:rPr>
        <w:t>卫生健康支出（类）行政事业单位医疗（款）公务员医疗补助（项）</w:t>
      </w:r>
      <w:r>
        <w:rPr>
          <w:rFonts w:hint="eastAsia" w:cs="仿宋_GB2312"/>
          <w:kern w:val="2"/>
          <w:sz w:val="32"/>
          <w:szCs w:val="32"/>
        </w:rPr>
        <w:t>7.14万元，主要用于单位在职职工的医疗补助缴纳，落实行政事业单位基本医疗保险政策相关相关规定。</w:t>
      </w:r>
    </w:p>
    <w:p w14:paraId="7FF5B080">
      <w:pPr>
        <w:pStyle w:val="13"/>
        <w:spacing w:before="0" w:line="360" w:lineRule="auto"/>
        <w:ind w:firstLine="640" w:firstLineChars="200"/>
        <w:rPr>
          <w:rFonts w:cs="仿宋_GB2312"/>
          <w:kern w:val="2"/>
          <w:sz w:val="32"/>
          <w:szCs w:val="32"/>
        </w:rPr>
      </w:pPr>
      <w:r>
        <w:rPr>
          <w:rFonts w:hint="eastAsia" w:cs="仿宋_GB2312"/>
          <w:kern w:val="2"/>
          <w:sz w:val="32"/>
          <w:szCs w:val="32"/>
        </w:rPr>
        <w:t>7.</w:t>
      </w:r>
      <w:r>
        <w:rPr>
          <w:rFonts w:hint="eastAsia" w:ascii="ˎ̥" w:hAnsi="ˎ̥" w:eastAsia="宋体" w:cs="宋体"/>
          <w:b/>
          <w:bCs/>
          <w:sz w:val="32"/>
          <w:szCs w:val="32"/>
        </w:rPr>
        <w:t>住房保障支出（类）住房改革支出（款）住房公积金（项）</w:t>
      </w:r>
      <w:r>
        <w:rPr>
          <w:rFonts w:hint="eastAsia" w:cs="仿宋_GB2312"/>
          <w:kern w:val="2"/>
          <w:sz w:val="32"/>
          <w:szCs w:val="32"/>
        </w:rPr>
        <w:t>60.74万元，主要用于按规定标准缴纳在职职工的住房公积金支出，落实行政事业人员住房公积金等住房改革补助政策。</w:t>
      </w:r>
    </w:p>
    <w:p w14:paraId="2D50324E">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029845D">
      <w:pPr>
        <w:pStyle w:val="13"/>
        <w:spacing w:before="0" w:line="360" w:lineRule="auto"/>
        <w:ind w:firstLine="640" w:firstLineChars="200"/>
        <w:rPr>
          <w:rFonts w:cs="仿宋_GB2312"/>
          <w:kern w:val="2"/>
          <w:sz w:val="32"/>
          <w:szCs w:val="32"/>
        </w:rPr>
      </w:pPr>
      <w:r>
        <w:rPr>
          <w:rFonts w:hint="eastAsia" w:cs="仿宋_GB2312"/>
          <w:kern w:val="2"/>
          <w:sz w:val="32"/>
          <w:szCs w:val="32"/>
        </w:rPr>
        <w:t>中共阿坝州委宣传部2026年一般公共预算基本支出937.15万元，其中：人员经费804.22万元，公用经费132.93万元。</w:t>
      </w:r>
    </w:p>
    <w:p w14:paraId="199CB2AF">
      <w:pPr>
        <w:pStyle w:val="13"/>
        <w:spacing w:before="0" w:line="360" w:lineRule="auto"/>
        <w:ind w:firstLine="640" w:firstLineChars="200"/>
        <w:rPr>
          <w:rFonts w:cs="仿宋_GB2312"/>
          <w:kern w:val="2"/>
          <w:sz w:val="32"/>
          <w:szCs w:val="32"/>
        </w:rPr>
      </w:pPr>
      <w:r>
        <w:rPr>
          <w:rFonts w:hint="eastAsia" w:cs="仿宋_GB2312"/>
          <w:kern w:val="2"/>
          <w:sz w:val="32"/>
          <w:szCs w:val="32"/>
        </w:rPr>
        <w:t>人员经费804.22万元，主要包括：基本工资178.26万元、津贴补贴185.81万元、奖金158.71万元、其他社会保障缴费4.16万元、机关事业单位基本养老保险缴费83.23万元、职业年金缴费41.61万元、职工基本医疗保险缴费36.41万元、公务员医疗补助缴费7.14万元、其他工资福利支出32.40万元、离退休人员公用经费0.42万元、住房公积金60.74万元、对个人和家庭的补助支出15.31万元。</w:t>
      </w:r>
    </w:p>
    <w:p w14:paraId="659AA326">
      <w:pPr>
        <w:pStyle w:val="13"/>
        <w:spacing w:before="0" w:line="360" w:lineRule="auto"/>
        <w:ind w:firstLine="640" w:firstLineChars="200"/>
        <w:rPr>
          <w:rFonts w:ascii="黑体" w:eastAsia="黑体"/>
          <w:sz w:val="32"/>
          <w:szCs w:val="32"/>
        </w:rPr>
      </w:pPr>
      <w:r>
        <w:rPr>
          <w:rFonts w:hint="eastAsia" w:cs="仿宋_GB2312"/>
          <w:kern w:val="2"/>
          <w:sz w:val="32"/>
          <w:szCs w:val="32"/>
        </w:rPr>
        <w:t>公用经费132.93万元，主要包括：办公费3.56万元、水费1.07万元、邮电费11.72万元、取暖费1.43万元、差旅费26.83万元、维修（护）费0.67万元、培训费6.37万元、公务接待费2.23万元、福利费0.00万元、公务用车运行费39.60万元、其他商品和服务支出20.43万元。</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5BF3E7DE">
      <w:pPr>
        <w:pStyle w:val="13"/>
        <w:spacing w:before="0" w:line="360" w:lineRule="auto"/>
        <w:ind w:firstLine="640" w:firstLineChars="200"/>
        <w:rPr>
          <w:rFonts w:cs="仿宋_GB2312"/>
          <w:kern w:val="2"/>
          <w:sz w:val="32"/>
          <w:szCs w:val="32"/>
        </w:rPr>
      </w:pPr>
      <w:r>
        <w:rPr>
          <w:rFonts w:hint="eastAsia" w:cs="仿宋_GB2312"/>
          <w:kern w:val="2"/>
          <w:sz w:val="32"/>
          <w:szCs w:val="32"/>
        </w:rPr>
        <w:t>中共阿坝州委宣传部2026年“三公”经费财政拨款预算数127.33万元，其中：因公出国（境）经费0.00万元，公务接待费2.23万元，公务用车购置及运行维护费125.10万元。</w:t>
      </w:r>
    </w:p>
    <w:p w14:paraId="2679FB2F">
      <w:pPr>
        <w:pStyle w:val="13"/>
        <w:spacing w:before="0" w:line="360" w:lineRule="auto"/>
        <w:ind w:firstLine="640" w:firstLineChars="200"/>
        <w:rPr>
          <w:rFonts w:cs="仿宋_GB2312"/>
          <w:kern w:val="2"/>
          <w:sz w:val="32"/>
          <w:szCs w:val="32"/>
        </w:rPr>
      </w:pPr>
      <w:r>
        <w:rPr>
          <w:rFonts w:hint="eastAsia" w:cs="仿宋_GB2312"/>
          <w:kern w:val="2"/>
          <w:sz w:val="32"/>
          <w:szCs w:val="32"/>
        </w:rPr>
        <w:t>（一）2026年因公出国（境）经费0.00万元。</w:t>
      </w:r>
    </w:p>
    <w:p w14:paraId="5837DFA6">
      <w:pPr>
        <w:pStyle w:val="13"/>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2026年公务接待经费2.23万元。较2025年预算2.11万元经费增加0.12万元，增长5.68%，公务接待费计划用于因业务工作需要开展的公务接待。</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（三）2026年公务用车购置及运行维护费125.10万元。较2025年预算经费121.60万元增加3.50万元，增长2.87%，主要用于2026年开展三下乡、精神文明创建、媒体采访活动等各项工作的公务用车运行费。</w:t>
      </w:r>
    </w:p>
    <w:p w14:paraId="1DE45195">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27E67A5A">
      <w:pPr>
        <w:pStyle w:val="13"/>
        <w:spacing w:before="0" w:line="360" w:lineRule="auto"/>
        <w:ind w:firstLine="640" w:firstLineChars="200"/>
        <w:rPr>
          <w:rFonts w:cs="仿宋_GB2312"/>
          <w:kern w:val="2"/>
          <w:sz w:val="32"/>
          <w:szCs w:val="32"/>
        </w:rPr>
      </w:pPr>
      <w:r>
        <w:rPr>
          <w:rFonts w:hint="eastAsia" w:cs="仿宋_GB2312"/>
          <w:kern w:val="2"/>
          <w:sz w:val="32"/>
          <w:szCs w:val="32"/>
        </w:rPr>
        <w:t>中共阿坝州委宣传部2026年政府性基金预算拨款安排的支出0.00万元。较2025年预算经费</w:t>
      </w:r>
      <w:r>
        <w:rPr>
          <w:rFonts w:hint="eastAsia" w:cs="宋体"/>
          <w:sz w:val="32"/>
          <w:szCs w:val="32"/>
        </w:rPr>
        <w:t>0.00</w:t>
      </w:r>
      <w:r>
        <w:rPr>
          <w:rFonts w:hint="eastAsia" w:cs="仿宋_GB2312"/>
          <w:kern w:val="2"/>
          <w:sz w:val="32"/>
          <w:szCs w:val="32"/>
        </w:rPr>
        <w:t>万元持平。</w:t>
      </w:r>
    </w:p>
    <w:p w14:paraId="6B138FEF">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AC88E14">
      <w:pPr>
        <w:pStyle w:val="13"/>
        <w:spacing w:before="0" w:line="360" w:lineRule="auto"/>
        <w:ind w:firstLine="640" w:firstLineChars="200"/>
        <w:rPr>
          <w:rFonts w:cs="仿宋_GB2312"/>
          <w:color w:val="00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中共阿坝州委宣传部2026年机关运行经费财政拨款预算为125.10万元，</w:t>
      </w:r>
      <w:r>
        <w:rPr>
          <w:rFonts w:hint="eastAsia" w:cs="仿宋_GB2312"/>
          <w:color w:val="000000"/>
          <w:kern w:val="2"/>
          <w:sz w:val="32"/>
          <w:szCs w:val="32"/>
        </w:rPr>
        <w:t>较2025年预算经费121.60万元增加3.50万元，增长2.87%。主要用于2026年开展三下乡、精神文明创建、媒体采访活动等各项工作的公务用车运行费。</w:t>
      </w:r>
    </w:p>
    <w:p w14:paraId="660F340D">
      <w:pPr>
        <w:pStyle w:val="13"/>
        <w:spacing w:before="0" w:line="360" w:lineRule="auto"/>
        <w:ind w:firstLine="640" w:firstLineChars="200"/>
        <w:rPr>
          <w:rFonts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中共阿坝州委宣传部</w:t>
      </w:r>
      <w:r>
        <w:rPr>
          <w:rFonts w:hint="eastAsia" w:cs="仿宋_GB2312"/>
          <w:color w:val="000000"/>
          <w:kern w:val="2"/>
          <w:sz w:val="32"/>
          <w:szCs w:val="32"/>
        </w:rPr>
        <w:t>安排政府采购预算132.23万元，办公设备及食堂餐厨设备采购，办公用房及食堂维修改造，车辆大修等</w:t>
      </w:r>
      <w:r>
        <w:rPr>
          <w:rFonts w:hint="eastAsia" w:cs="仿宋_GB2312"/>
          <w:kern w:val="2"/>
          <w:sz w:val="32"/>
          <w:szCs w:val="32"/>
        </w:rPr>
        <w:t>。</w:t>
      </w:r>
    </w:p>
    <w:p w14:paraId="2548FAF7">
      <w:pPr>
        <w:pStyle w:val="13"/>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67C21C90">
      <w:pPr>
        <w:pStyle w:val="13"/>
        <w:spacing w:before="0" w:line="360" w:lineRule="auto"/>
        <w:ind w:firstLine="640" w:firstLineChars="200"/>
        <w:rPr>
          <w:rFonts w:cs="仿宋_GB2312"/>
          <w:kern w:val="2"/>
          <w:sz w:val="32"/>
          <w:szCs w:val="32"/>
        </w:rPr>
      </w:pPr>
      <w:r>
        <w:rPr>
          <w:rFonts w:hint="eastAsia" w:cs="仿宋_GB2312"/>
          <w:kern w:val="2"/>
          <w:sz w:val="32"/>
          <w:szCs w:val="32"/>
        </w:rPr>
        <w:t>截至2025年12月31日，中共阿坝州委宣传部（州媒体服务中心）固定资产472.93万元。</w:t>
      </w:r>
    </w:p>
    <w:p w14:paraId="23549656">
      <w:pPr>
        <w:pStyle w:val="13"/>
        <w:numPr>
          <w:ilvl w:val="0"/>
          <w:numId w:val="1"/>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2026年中共阿坝州委宣传部通用项目和专用项目均按要求实行绩效目标管理。</w:t>
      </w:r>
    </w:p>
    <w:p w14:paraId="62750E2C">
      <w:pPr>
        <w:pStyle w:val="13"/>
        <w:spacing w:before="0" w:line="360" w:lineRule="auto"/>
        <w:ind w:firstLine="640" w:firstLineChars="200"/>
        <w:rPr>
          <w:rFonts w:cs="仿宋_GB2312"/>
          <w:kern w:val="2"/>
          <w:sz w:val="32"/>
          <w:szCs w:val="32"/>
        </w:rPr>
      </w:pPr>
      <w:r>
        <w:rPr>
          <w:rFonts w:hint="eastAsia" w:cs="仿宋_GB2312"/>
          <w:kern w:val="2"/>
          <w:sz w:val="32"/>
          <w:szCs w:val="32"/>
        </w:rPr>
        <w:t>工资性支出项目绩效目标是严格执行相关政策，保障工资及时发放、足额发放，预算编制科学合理，减少结余资金，涉及一般公共预算当年拨款378.94万元。</w:t>
      </w:r>
    </w:p>
    <w:p w14:paraId="0E97001A">
      <w:pPr>
        <w:pStyle w:val="13"/>
        <w:spacing w:before="0" w:line="360" w:lineRule="auto"/>
        <w:ind w:firstLine="640" w:firstLineChars="200"/>
        <w:rPr>
          <w:rFonts w:cs="仿宋_GB2312"/>
          <w:kern w:val="2"/>
          <w:sz w:val="32"/>
          <w:szCs w:val="32"/>
        </w:rPr>
      </w:pPr>
      <w:r>
        <w:rPr>
          <w:rFonts w:hint="eastAsia" w:cs="仿宋_GB2312"/>
          <w:kern w:val="2"/>
          <w:sz w:val="32"/>
          <w:szCs w:val="32"/>
        </w:rPr>
        <w:t>单位缴费项目绩效目标是严格执行相关政策，保障工资及时发放、足额发放，预算编制科学合理，减少结余资金，涉及一般公共预算当年拨款233.30万元。</w:t>
      </w:r>
    </w:p>
    <w:p w14:paraId="0B0571D3">
      <w:pPr>
        <w:pStyle w:val="13"/>
        <w:spacing w:before="0" w:line="360" w:lineRule="auto"/>
        <w:ind w:firstLine="640" w:firstLineChars="200"/>
        <w:rPr>
          <w:rFonts w:cs="仿宋_GB2312"/>
          <w:kern w:val="2"/>
          <w:sz w:val="32"/>
          <w:szCs w:val="32"/>
        </w:rPr>
      </w:pPr>
      <w:r>
        <w:rPr>
          <w:rFonts w:hint="eastAsia" w:cs="仿宋_GB2312"/>
          <w:kern w:val="2"/>
          <w:sz w:val="32"/>
          <w:szCs w:val="32"/>
        </w:rPr>
        <w:t>对个人和家庭的补助支出项目绩效目标是严格执行相关政策，保障工资及时发放、足额发放，预算编制科学合理，减少结余资金，涉及一般公共预算当年拨款15.31万元。</w:t>
      </w:r>
    </w:p>
    <w:p w14:paraId="54DFF8C7">
      <w:pPr>
        <w:pStyle w:val="13"/>
        <w:spacing w:before="0" w:line="360" w:lineRule="auto"/>
        <w:ind w:firstLine="640" w:firstLineChars="200"/>
        <w:rPr>
          <w:rFonts w:cs="仿宋_GB2312"/>
          <w:kern w:val="2"/>
          <w:sz w:val="32"/>
          <w:szCs w:val="32"/>
        </w:rPr>
      </w:pPr>
      <w:r>
        <w:rPr>
          <w:rFonts w:hint="eastAsia" w:cs="仿宋_GB2312"/>
          <w:kern w:val="2"/>
          <w:sz w:val="32"/>
          <w:szCs w:val="32"/>
        </w:rPr>
        <w:t>定额公用经费项目绩效目标是保障单位日常运转，提高预算编制质量，严格执行预算，涉及一般公共预算当年拨款132.93万元。</w:t>
      </w:r>
    </w:p>
    <w:p w14:paraId="2E36F76E">
      <w:pPr>
        <w:pStyle w:val="13"/>
        <w:spacing w:before="0" w:line="360" w:lineRule="auto"/>
        <w:ind w:firstLine="640" w:firstLineChars="200"/>
        <w:rPr>
          <w:rFonts w:cs="仿宋_GB2312"/>
          <w:kern w:val="2"/>
          <w:sz w:val="32"/>
          <w:szCs w:val="32"/>
        </w:rPr>
      </w:pPr>
      <w:r>
        <w:rPr>
          <w:rFonts w:hint="eastAsia" w:cs="仿宋_GB2312"/>
          <w:kern w:val="2"/>
          <w:sz w:val="32"/>
          <w:szCs w:val="32"/>
        </w:rPr>
        <w:t>特定项目运转类绩效目标是开展对外宣传、中心组学习、基层理论宣讲、三下乡、长征国家公园建设、国防建设、博览会、五个一工程、培训、精神文明等工作经费，涉及一般公共预算当年拨款675.24万元。</w:t>
      </w:r>
    </w:p>
    <w:p w14:paraId="7152570A">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modern"/>
    <w:pitch w:val="default"/>
    <w:sig w:usb0="00000000" w:usb1="00000000" w:usb2="00000016" w:usb3="00000000" w:csb0="00040001" w:csb1="00000000"/>
  </w:font>
  <w:font w:name="ˎ̥">
    <w:altName w:val="C059"/>
    <w:panose1 w:val="00000000000000000000"/>
    <w:charset w:val="00"/>
    <w:family w:val="roman"/>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DFE4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jc3MzgyZGU5NDBmZDdlNDY2ZjkyNjM3OTBhZTMxZGEifQ=="/>
  </w:docVars>
  <w:rsids>
    <w:rsidRoot w:val="00FA35F7"/>
    <w:rsid w:val="00123CF1"/>
    <w:rsid w:val="002202F3"/>
    <w:rsid w:val="002E6CE1"/>
    <w:rsid w:val="004202E3"/>
    <w:rsid w:val="00442023"/>
    <w:rsid w:val="004614BC"/>
    <w:rsid w:val="004A2BFE"/>
    <w:rsid w:val="00560F31"/>
    <w:rsid w:val="00610C3F"/>
    <w:rsid w:val="006A31A8"/>
    <w:rsid w:val="007E2286"/>
    <w:rsid w:val="009C562E"/>
    <w:rsid w:val="00A85983"/>
    <w:rsid w:val="00B14CD2"/>
    <w:rsid w:val="00BD2F77"/>
    <w:rsid w:val="00BE6FB9"/>
    <w:rsid w:val="00DF4C90"/>
    <w:rsid w:val="00E00C07"/>
    <w:rsid w:val="00E019EA"/>
    <w:rsid w:val="00E85EC6"/>
    <w:rsid w:val="00EA5DD6"/>
    <w:rsid w:val="00F00433"/>
    <w:rsid w:val="00FA35F7"/>
    <w:rsid w:val="01B666C0"/>
    <w:rsid w:val="01E66FA5"/>
    <w:rsid w:val="02054F52"/>
    <w:rsid w:val="02291DCB"/>
    <w:rsid w:val="024E68F9"/>
    <w:rsid w:val="02BA3AFD"/>
    <w:rsid w:val="02EB05EB"/>
    <w:rsid w:val="03060F81"/>
    <w:rsid w:val="0491294B"/>
    <w:rsid w:val="04F76DD4"/>
    <w:rsid w:val="053C31DA"/>
    <w:rsid w:val="059B1E55"/>
    <w:rsid w:val="05B534B7"/>
    <w:rsid w:val="073B129C"/>
    <w:rsid w:val="09862E1C"/>
    <w:rsid w:val="0A717628"/>
    <w:rsid w:val="0AF946D6"/>
    <w:rsid w:val="0BAB4DBC"/>
    <w:rsid w:val="0C3F399A"/>
    <w:rsid w:val="0CBD4DA7"/>
    <w:rsid w:val="0DC65EDD"/>
    <w:rsid w:val="0FBA55CD"/>
    <w:rsid w:val="11E64458"/>
    <w:rsid w:val="131F6DE2"/>
    <w:rsid w:val="151F0DF6"/>
    <w:rsid w:val="153E0A4F"/>
    <w:rsid w:val="15E50ECA"/>
    <w:rsid w:val="15F27929"/>
    <w:rsid w:val="16AE07B1"/>
    <w:rsid w:val="16CD3E38"/>
    <w:rsid w:val="17A821AF"/>
    <w:rsid w:val="181810E3"/>
    <w:rsid w:val="19145D4E"/>
    <w:rsid w:val="19AF1F1B"/>
    <w:rsid w:val="1A166D8F"/>
    <w:rsid w:val="1A1E49AB"/>
    <w:rsid w:val="1D061E52"/>
    <w:rsid w:val="1D8611E5"/>
    <w:rsid w:val="1D8D60CF"/>
    <w:rsid w:val="1DB573D4"/>
    <w:rsid w:val="1ECE699F"/>
    <w:rsid w:val="1F354C71"/>
    <w:rsid w:val="211A411E"/>
    <w:rsid w:val="21703D3E"/>
    <w:rsid w:val="22124DF5"/>
    <w:rsid w:val="227E06DD"/>
    <w:rsid w:val="22DB78DD"/>
    <w:rsid w:val="22EB3C0A"/>
    <w:rsid w:val="26E72F69"/>
    <w:rsid w:val="28A16ED3"/>
    <w:rsid w:val="29424212"/>
    <w:rsid w:val="29EE12D9"/>
    <w:rsid w:val="2C26290B"/>
    <w:rsid w:val="2C8B5379"/>
    <w:rsid w:val="2CA174A1"/>
    <w:rsid w:val="2D297497"/>
    <w:rsid w:val="2E075A2A"/>
    <w:rsid w:val="2E850592"/>
    <w:rsid w:val="2EDC6EB7"/>
    <w:rsid w:val="2F8B7C95"/>
    <w:rsid w:val="2FFF1E40"/>
    <w:rsid w:val="31774A03"/>
    <w:rsid w:val="31774C75"/>
    <w:rsid w:val="319C292D"/>
    <w:rsid w:val="32EE540A"/>
    <w:rsid w:val="33BB353F"/>
    <w:rsid w:val="36864261"/>
    <w:rsid w:val="380354B4"/>
    <w:rsid w:val="3A655FB2"/>
    <w:rsid w:val="3BBC60A6"/>
    <w:rsid w:val="3CF8135F"/>
    <w:rsid w:val="3F116709"/>
    <w:rsid w:val="3F6031EC"/>
    <w:rsid w:val="3F8D4B70"/>
    <w:rsid w:val="3FB3AC63"/>
    <w:rsid w:val="40731583"/>
    <w:rsid w:val="40CF687B"/>
    <w:rsid w:val="411C1395"/>
    <w:rsid w:val="41272213"/>
    <w:rsid w:val="413A335C"/>
    <w:rsid w:val="4157061F"/>
    <w:rsid w:val="44D83825"/>
    <w:rsid w:val="4577128F"/>
    <w:rsid w:val="465313B5"/>
    <w:rsid w:val="46717A8D"/>
    <w:rsid w:val="46733805"/>
    <w:rsid w:val="46E42955"/>
    <w:rsid w:val="47743CD8"/>
    <w:rsid w:val="47F24BFD"/>
    <w:rsid w:val="47F92430"/>
    <w:rsid w:val="48BA1BBF"/>
    <w:rsid w:val="49876DEE"/>
    <w:rsid w:val="49975A5C"/>
    <w:rsid w:val="4A8F2CE5"/>
    <w:rsid w:val="4B773D97"/>
    <w:rsid w:val="4BB94F3A"/>
    <w:rsid w:val="4D9F4BE9"/>
    <w:rsid w:val="4DF53699"/>
    <w:rsid w:val="4E946A0E"/>
    <w:rsid w:val="4F9D706A"/>
    <w:rsid w:val="50025BF9"/>
    <w:rsid w:val="51086514"/>
    <w:rsid w:val="54321BDA"/>
    <w:rsid w:val="56CB31E9"/>
    <w:rsid w:val="57790E97"/>
    <w:rsid w:val="57BF2D4E"/>
    <w:rsid w:val="587A4EC7"/>
    <w:rsid w:val="58CB5722"/>
    <w:rsid w:val="5A985AD8"/>
    <w:rsid w:val="5C451348"/>
    <w:rsid w:val="5D0659FF"/>
    <w:rsid w:val="5DC7BE77"/>
    <w:rsid w:val="5E6F4DA2"/>
    <w:rsid w:val="5F685A79"/>
    <w:rsid w:val="5F9A19AB"/>
    <w:rsid w:val="5FC66C44"/>
    <w:rsid w:val="5FDB6179"/>
    <w:rsid w:val="608045AD"/>
    <w:rsid w:val="626F585D"/>
    <w:rsid w:val="63381C06"/>
    <w:rsid w:val="63771CF3"/>
    <w:rsid w:val="64712012"/>
    <w:rsid w:val="64E57B6C"/>
    <w:rsid w:val="6509385A"/>
    <w:rsid w:val="65E87914"/>
    <w:rsid w:val="66D659BE"/>
    <w:rsid w:val="66ED4AB6"/>
    <w:rsid w:val="676550B0"/>
    <w:rsid w:val="691C793A"/>
    <w:rsid w:val="69D01BC4"/>
    <w:rsid w:val="69E71E74"/>
    <w:rsid w:val="6A025EBD"/>
    <w:rsid w:val="6A417D21"/>
    <w:rsid w:val="6B574BF4"/>
    <w:rsid w:val="6B6A0DCB"/>
    <w:rsid w:val="6BD91DC4"/>
    <w:rsid w:val="6C335661"/>
    <w:rsid w:val="6C5F24EE"/>
    <w:rsid w:val="6DD4077E"/>
    <w:rsid w:val="6DF57072"/>
    <w:rsid w:val="6E9F6FDD"/>
    <w:rsid w:val="6F9DBCBA"/>
    <w:rsid w:val="70BC134B"/>
    <w:rsid w:val="712832BA"/>
    <w:rsid w:val="72C54B39"/>
    <w:rsid w:val="73734595"/>
    <w:rsid w:val="73A55AC9"/>
    <w:rsid w:val="73AF381F"/>
    <w:rsid w:val="74AF784E"/>
    <w:rsid w:val="74EE0377"/>
    <w:rsid w:val="756845CD"/>
    <w:rsid w:val="756B404C"/>
    <w:rsid w:val="75FC2F67"/>
    <w:rsid w:val="76263B40"/>
    <w:rsid w:val="774B7D02"/>
    <w:rsid w:val="782A7918"/>
    <w:rsid w:val="7A09169E"/>
    <w:rsid w:val="7BD14C58"/>
    <w:rsid w:val="7CE56503"/>
    <w:rsid w:val="7D2C5EE0"/>
    <w:rsid w:val="7DB12205"/>
    <w:rsid w:val="7F192494"/>
    <w:rsid w:val="7F7ECA2B"/>
    <w:rsid w:val="BDFB961C"/>
    <w:rsid w:val="DFEFCFFF"/>
    <w:rsid w:val="E7FE42A7"/>
    <w:rsid w:val="EF74F306"/>
    <w:rsid w:val="FBC912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autoRedefine/>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next w:val="3"/>
    <w:qFormat/>
    <w:uiPriority w:val="0"/>
    <w:pPr>
      <w:adjustRightInd w:val="0"/>
      <w:spacing w:line="480" w:lineRule="atLeast"/>
      <w:textAlignment w:val="baseline"/>
    </w:pPr>
    <w:rPr>
      <w:rFonts w:ascii="Arial" w:hAnsi="Arial"/>
      <w:kern w:val="0"/>
    </w:rPr>
  </w:style>
  <w:style w:type="paragraph" w:styleId="3">
    <w:name w:val="index 5"/>
    <w:basedOn w:val="1"/>
    <w:next w:val="1"/>
    <w:qFormat/>
    <w:uiPriority w:val="0"/>
    <w:pPr>
      <w:ind w:left="168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Pages>
  <Words>644</Words>
  <Characters>3675</Characters>
  <Lines>30</Lines>
  <Paragraphs>8</Paragraphs>
  <TotalTime>1</TotalTime>
  <ScaleCrop>false</ScaleCrop>
  <LinksUpToDate>false</LinksUpToDate>
  <CharactersWithSpaces>4311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huawei</cp:lastModifiedBy>
  <cp:lastPrinted>2024-01-23T23:31:00Z</cp:lastPrinted>
  <dcterms:modified xsi:type="dcterms:W3CDTF">2026-01-21T13:56:49Z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F79DA38BC05A4FCE86A4E757CDD8A6B0_13</vt:lpwstr>
  </property>
</Properties>
</file>