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0A8D6">
      <w:pPr>
        <w:rPr>
          <w:rFonts w:ascii="黑体" w:eastAsia="黑体"/>
          <w:sz w:val="32"/>
          <w:szCs w:val="32"/>
        </w:rPr>
      </w:pPr>
      <w:r>
        <w:rPr>
          <w:rFonts w:hint="eastAsia" w:ascii="黑体" w:eastAsia="黑体"/>
          <w:sz w:val="32"/>
          <w:szCs w:val="32"/>
        </w:rPr>
        <w:t>附件2</w:t>
      </w:r>
    </w:p>
    <w:p w14:paraId="43F671D9"/>
    <w:p w14:paraId="0E997843"/>
    <w:p w14:paraId="46FC2AA3"/>
    <w:p w14:paraId="57056D72">
      <w:pPr>
        <w:ind w:firstLine="1050" w:firstLineChars="500"/>
      </w:pPr>
    </w:p>
    <w:p w14:paraId="1860B56C">
      <w:pPr>
        <w:ind w:firstLine="1050" w:firstLineChars="500"/>
      </w:pPr>
    </w:p>
    <w:p w14:paraId="1F4348C8">
      <w:pPr>
        <w:ind w:firstLine="1760" w:firstLineChars="400"/>
        <w:rPr>
          <w:rFonts w:ascii="黑体" w:eastAsia="黑体"/>
          <w:sz w:val="44"/>
          <w:szCs w:val="44"/>
        </w:rPr>
      </w:pPr>
    </w:p>
    <w:p w14:paraId="08449C75">
      <w:pPr>
        <w:ind w:firstLine="1760" w:firstLineChars="400"/>
        <w:rPr>
          <w:rFonts w:ascii="黑体" w:eastAsia="黑体"/>
          <w:sz w:val="44"/>
          <w:szCs w:val="44"/>
        </w:rPr>
      </w:pPr>
    </w:p>
    <w:p w14:paraId="6F009BE3">
      <w:pPr>
        <w:jc w:val="center"/>
        <w:rPr>
          <w:rFonts w:ascii="黑体" w:eastAsia="黑体"/>
          <w:sz w:val="44"/>
          <w:szCs w:val="44"/>
        </w:rPr>
      </w:pPr>
      <w:r>
        <w:rPr>
          <w:rFonts w:hint="eastAsia" w:ascii="黑体" w:eastAsia="黑体"/>
          <w:sz w:val="44"/>
          <w:szCs w:val="44"/>
        </w:rPr>
        <w:t>中共阿坝州委宣传部部门汇总</w:t>
      </w:r>
    </w:p>
    <w:p w14:paraId="3B9ECA17">
      <w:pPr>
        <w:jc w:val="center"/>
        <w:rPr>
          <w:rFonts w:ascii="黑体" w:eastAsia="黑体"/>
          <w:sz w:val="44"/>
          <w:szCs w:val="44"/>
        </w:rPr>
      </w:pPr>
      <w:r>
        <w:rPr>
          <w:rFonts w:ascii="黑体" w:eastAsia="黑体"/>
          <w:sz w:val="44"/>
          <w:szCs w:val="44"/>
        </w:rPr>
        <w:t>2</w:t>
      </w:r>
      <w:r>
        <w:rPr>
          <w:rFonts w:hint="eastAsia" w:ascii="黑体" w:eastAsia="黑体"/>
          <w:sz w:val="44"/>
          <w:szCs w:val="44"/>
        </w:rPr>
        <w:t>026年部门预算</w:t>
      </w:r>
    </w:p>
    <w:p w14:paraId="1CC12A13">
      <w:pPr>
        <w:ind w:firstLine="1760" w:firstLineChars="400"/>
        <w:rPr>
          <w:rFonts w:ascii="黑体" w:eastAsia="黑体"/>
          <w:sz w:val="44"/>
          <w:szCs w:val="44"/>
        </w:rPr>
      </w:pPr>
    </w:p>
    <w:p w14:paraId="72D1DB77">
      <w:pPr>
        <w:ind w:firstLine="1760" w:firstLineChars="400"/>
        <w:rPr>
          <w:rFonts w:ascii="黑体" w:eastAsia="黑体"/>
          <w:sz w:val="44"/>
          <w:szCs w:val="44"/>
        </w:rPr>
      </w:pPr>
    </w:p>
    <w:p w14:paraId="07DFE32E">
      <w:pPr>
        <w:ind w:firstLine="1760" w:firstLineChars="400"/>
        <w:rPr>
          <w:rFonts w:ascii="黑体" w:eastAsia="黑体"/>
          <w:sz w:val="44"/>
          <w:szCs w:val="44"/>
        </w:rPr>
      </w:pPr>
    </w:p>
    <w:p w14:paraId="7F41720E">
      <w:pPr>
        <w:ind w:firstLine="1760" w:firstLineChars="400"/>
        <w:rPr>
          <w:rFonts w:ascii="黑体" w:eastAsia="黑体"/>
          <w:sz w:val="44"/>
          <w:szCs w:val="44"/>
        </w:rPr>
      </w:pPr>
    </w:p>
    <w:p w14:paraId="474189CB">
      <w:pPr>
        <w:ind w:firstLine="1760" w:firstLineChars="400"/>
        <w:rPr>
          <w:rFonts w:ascii="黑体" w:eastAsia="黑体"/>
          <w:sz w:val="44"/>
          <w:szCs w:val="44"/>
        </w:rPr>
      </w:pPr>
    </w:p>
    <w:p w14:paraId="08B7C7D8">
      <w:pPr>
        <w:ind w:firstLine="1760" w:firstLineChars="400"/>
        <w:rPr>
          <w:rFonts w:ascii="黑体" w:eastAsia="黑体"/>
          <w:sz w:val="44"/>
          <w:szCs w:val="44"/>
        </w:rPr>
      </w:pPr>
    </w:p>
    <w:p w14:paraId="2BAEEF78">
      <w:pPr>
        <w:ind w:firstLine="1760" w:firstLineChars="400"/>
        <w:rPr>
          <w:rFonts w:ascii="黑体" w:eastAsia="黑体"/>
          <w:sz w:val="44"/>
          <w:szCs w:val="44"/>
        </w:rPr>
      </w:pPr>
    </w:p>
    <w:p w14:paraId="7C93235F">
      <w:pPr>
        <w:ind w:firstLine="2640" w:firstLineChars="600"/>
        <w:rPr>
          <w:rFonts w:ascii="黑体" w:eastAsia="黑体"/>
          <w:sz w:val="44"/>
          <w:szCs w:val="44"/>
        </w:rPr>
      </w:pPr>
      <w:r>
        <w:rPr>
          <w:rFonts w:hint="eastAsia" w:ascii="黑体" w:eastAsia="黑体"/>
          <w:sz w:val="44"/>
          <w:szCs w:val="44"/>
        </w:rPr>
        <w:t>2026年01月22日</w:t>
      </w:r>
    </w:p>
    <w:p w14:paraId="44C2E134">
      <w:pPr>
        <w:ind w:firstLine="1760" w:firstLineChars="400"/>
        <w:rPr>
          <w:rFonts w:ascii="黑体" w:eastAsia="黑体"/>
          <w:sz w:val="44"/>
          <w:szCs w:val="44"/>
        </w:rPr>
      </w:pPr>
    </w:p>
    <w:p w14:paraId="48385775">
      <w:pPr>
        <w:ind w:firstLine="1760" w:firstLineChars="400"/>
        <w:rPr>
          <w:rFonts w:ascii="黑体" w:eastAsia="黑体"/>
          <w:sz w:val="44"/>
          <w:szCs w:val="44"/>
        </w:rPr>
      </w:pPr>
    </w:p>
    <w:p w14:paraId="60332315">
      <w:pPr>
        <w:ind w:firstLine="1760" w:firstLineChars="400"/>
        <w:rPr>
          <w:rFonts w:ascii="黑体" w:eastAsia="黑体"/>
          <w:sz w:val="44"/>
          <w:szCs w:val="44"/>
        </w:rPr>
      </w:pPr>
    </w:p>
    <w:p w14:paraId="29B9B0EC">
      <w:pPr>
        <w:ind w:firstLine="1760" w:firstLineChars="400"/>
        <w:rPr>
          <w:rFonts w:ascii="黑体" w:eastAsia="黑体"/>
          <w:sz w:val="44"/>
          <w:szCs w:val="44"/>
        </w:rPr>
      </w:pPr>
    </w:p>
    <w:p w14:paraId="7B59F9CA">
      <w:pPr>
        <w:ind w:firstLine="1760" w:firstLineChars="400"/>
        <w:rPr>
          <w:rFonts w:ascii="黑体" w:eastAsia="黑体"/>
          <w:sz w:val="44"/>
          <w:szCs w:val="44"/>
        </w:rPr>
      </w:pPr>
    </w:p>
    <w:p w14:paraId="2B083665">
      <w:pPr>
        <w:ind w:firstLine="1760" w:firstLineChars="400"/>
        <w:rPr>
          <w:rFonts w:ascii="黑体" w:eastAsia="黑体"/>
          <w:sz w:val="44"/>
          <w:szCs w:val="44"/>
        </w:rPr>
      </w:pPr>
    </w:p>
    <w:p w14:paraId="37D87D18">
      <w:pPr>
        <w:pStyle w:val="21"/>
        <w:jc w:val="center"/>
        <w:rPr>
          <w:sz w:val="44"/>
          <w:szCs w:val="44"/>
          <w:lang w:val="zh-CN"/>
        </w:rPr>
        <w:sectPr>
          <w:headerReference r:id="rId3" w:type="default"/>
          <w:pgSz w:w="11906" w:h="16838"/>
          <w:pgMar w:top="1440" w:right="1800" w:bottom="1440" w:left="1800" w:header="851" w:footer="992" w:gutter="0"/>
          <w:pgNumType w:start="1"/>
          <w:cols w:space="720" w:num="1"/>
          <w:docGrid w:type="lines" w:linePitch="312" w:charSpace="0"/>
        </w:sectPr>
      </w:pPr>
    </w:p>
    <w:sdt>
      <w:sdtPr>
        <w:rPr>
          <w:rFonts w:ascii="Calibri" w:hAnsi="Calibri" w:eastAsia="宋体" w:cs="Times New Roman"/>
          <w:b w:val="0"/>
          <w:bCs w:val="0"/>
          <w:color w:val="auto"/>
          <w:kern w:val="2"/>
          <w:sz w:val="44"/>
          <w:szCs w:val="44"/>
          <w:lang w:val="zh-CN"/>
        </w:rPr>
        <w:id w:val="1928998665"/>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14:paraId="695C1CAD">
          <w:pPr>
            <w:pStyle w:val="21"/>
            <w:jc w:val="center"/>
            <w:rPr>
              <w:rFonts w:ascii="黑体" w:hAnsi="黑体" w:eastAsia="黑体"/>
              <w:color w:val="auto"/>
              <w:sz w:val="44"/>
              <w:szCs w:val="44"/>
            </w:rPr>
          </w:pPr>
          <w:r>
            <w:rPr>
              <w:rFonts w:ascii="黑体" w:hAnsi="黑体" w:eastAsia="黑体"/>
              <w:color w:val="auto"/>
              <w:sz w:val="44"/>
              <w:szCs w:val="44"/>
              <w:lang w:val="zh-CN"/>
            </w:rPr>
            <w:t>目录</w:t>
          </w:r>
        </w:p>
        <w:p w14:paraId="6EB4489C">
          <w:pPr>
            <w:pStyle w:val="11"/>
            <w:tabs>
              <w:tab w:val="right" w:leader="dot" w:pos="8306"/>
            </w:tabs>
            <w:spacing w:line="360" w:lineRule="auto"/>
            <w:rPr>
              <w:sz w:val="28"/>
              <w:szCs w:val="28"/>
            </w:rPr>
          </w:pPr>
          <w:r>
            <w:rPr>
              <w:sz w:val="28"/>
              <w:szCs w:val="28"/>
            </w:rPr>
            <w:fldChar w:fldCharType="begin"/>
          </w:r>
          <w:r>
            <w:rPr>
              <w:sz w:val="28"/>
              <w:szCs w:val="28"/>
            </w:rPr>
            <w:instrText xml:space="preserve"> TOC \o "1-3" \h \z \u </w:instrText>
          </w:r>
          <w:r>
            <w:rPr>
              <w:sz w:val="28"/>
              <w:szCs w:val="28"/>
            </w:rPr>
            <w:fldChar w:fldCharType="separate"/>
          </w:r>
          <w:r>
            <w:fldChar w:fldCharType="begin"/>
          </w:r>
          <w:r>
            <w:instrText xml:space="preserve"> HYPERLINK \l "_Toc21542" </w:instrText>
          </w:r>
          <w:r>
            <w:fldChar w:fldCharType="separate"/>
          </w:r>
          <w:r>
            <w:rPr>
              <w:rFonts w:hint="eastAsia" w:ascii="黑体" w:eastAsia="黑体"/>
              <w:sz w:val="28"/>
              <w:szCs w:val="28"/>
            </w:rPr>
            <w:t>一、基本职能及主要工作</w:t>
          </w:r>
          <w:r>
            <w:rPr>
              <w:sz w:val="28"/>
              <w:szCs w:val="28"/>
            </w:rPr>
            <w:tab/>
          </w:r>
          <w:r>
            <w:rPr>
              <w:sz w:val="28"/>
              <w:szCs w:val="28"/>
            </w:rPr>
            <w:fldChar w:fldCharType="begin"/>
          </w:r>
          <w:r>
            <w:rPr>
              <w:sz w:val="28"/>
              <w:szCs w:val="28"/>
            </w:rPr>
            <w:instrText xml:space="preserve"> PAGEREF _Toc21542 \h </w:instrText>
          </w:r>
          <w:r>
            <w:rPr>
              <w:sz w:val="28"/>
              <w:szCs w:val="28"/>
            </w:rPr>
            <w:fldChar w:fldCharType="separate"/>
          </w:r>
          <w:r>
            <w:rPr>
              <w:sz w:val="28"/>
              <w:szCs w:val="28"/>
            </w:rPr>
            <w:t>1</w:t>
          </w:r>
          <w:r>
            <w:rPr>
              <w:sz w:val="28"/>
              <w:szCs w:val="28"/>
            </w:rPr>
            <w:fldChar w:fldCharType="end"/>
          </w:r>
          <w:r>
            <w:rPr>
              <w:sz w:val="28"/>
              <w:szCs w:val="28"/>
            </w:rPr>
            <w:fldChar w:fldCharType="end"/>
          </w:r>
        </w:p>
        <w:p w14:paraId="65A765FB">
          <w:pPr>
            <w:pStyle w:val="12"/>
            <w:tabs>
              <w:tab w:val="right" w:leader="dot" w:pos="8306"/>
            </w:tabs>
            <w:spacing w:line="360" w:lineRule="auto"/>
            <w:rPr>
              <w:sz w:val="28"/>
              <w:szCs w:val="28"/>
            </w:rPr>
          </w:pPr>
          <w:r>
            <w:fldChar w:fldCharType="begin"/>
          </w:r>
          <w:r>
            <w:instrText xml:space="preserve"> HYPERLINK \l "_Toc3195" </w:instrText>
          </w:r>
          <w:r>
            <w:fldChar w:fldCharType="separate"/>
          </w:r>
          <w:r>
            <w:rPr>
              <w:rFonts w:hint="eastAsia" w:ascii="仿宋_GB2312" w:eastAsia="仿宋_GB2312"/>
              <w:sz w:val="28"/>
              <w:szCs w:val="28"/>
            </w:rPr>
            <w:t>（一）部门职能简介</w:t>
          </w:r>
          <w:r>
            <w:rPr>
              <w:sz w:val="28"/>
              <w:szCs w:val="28"/>
            </w:rPr>
            <w:tab/>
          </w:r>
          <w:r>
            <w:rPr>
              <w:sz w:val="28"/>
              <w:szCs w:val="28"/>
            </w:rPr>
            <w:fldChar w:fldCharType="begin"/>
          </w:r>
          <w:r>
            <w:rPr>
              <w:sz w:val="28"/>
              <w:szCs w:val="28"/>
            </w:rPr>
            <w:instrText xml:space="preserve"> PAGEREF _Toc3195 \h </w:instrText>
          </w:r>
          <w:r>
            <w:rPr>
              <w:sz w:val="28"/>
              <w:szCs w:val="28"/>
            </w:rPr>
            <w:fldChar w:fldCharType="separate"/>
          </w:r>
          <w:r>
            <w:rPr>
              <w:sz w:val="28"/>
              <w:szCs w:val="28"/>
            </w:rPr>
            <w:t>1</w:t>
          </w:r>
          <w:r>
            <w:rPr>
              <w:sz w:val="28"/>
              <w:szCs w:val="28"/>
            </w:rPr>
            <w:fldChar w:fldCharType="end"/>
          </w:r>
          <w:r>
            <w:rPr>
              <w:sz w:val="28"/>
              <w:szCs w:val="28"/>
            </w:rPr>
            <w:fldChar w:fldCharType="end"/>
          </w:r>
        </w:p>
        <w:p w14:paraId="7A03F7F3">
          <w:pPr>
            <w:pStyle w:val="12"/>
            <w:tabs>
              <w:tab w:val="right" w:leader="dot" w:pos="8306"/>
            </w:tabs>
            <w:spacing w:line="360" w:lineRule="auto"/>
            <w:rPr>
              <w:sz w:val="28"/>
              <w:szCs w:val="28"/>
            </w:rPr>
          </w:pPr>
          <w:r>
            <w:fldChar w:fldCharType="begin"/>
          </w:r>
          <w:r>
            <w:instrText xml:space="preserve"> HYPERLINK \l "_Toc354" </w:instrText>
          </w:r>
          <w:r>
            <w:fldChar w:fldCharType="separate"/>
          </w:r>
          <w:r>
            <w:rPr>
              <w:rFonts w:hint="eastAsia" w:ascii="仿宋_GB2312" w:eastAsia="仿宋_GB2312"/>
              <w:sz w:val="28"/>
              <w:szCs w:val="28"/>
            </w:rPr>
            <w:t>（二）2026重点工作</w:t>
          </w:r>
          <w:r>
            <w:rPr>
              <w:sz w:val="28"/>
              <w:szCs w:val="28"/>
            </w:rPr>
            <w:tab/>
          </w:r>
          <w:r>
            <w:rPr>
              <w:sz w:val="28"/>
              <w:szCs w:val="28"/>
            </w:rPr>
            <w:fldChar w:fldCharType="begin"/>
          </w:r>
          <w:r>
            <w:rPr>
              <w:sz w:val="28"/>
              <w:szCs w:val="28"/>
            </w:rPr>
            <w:instrText xml:space="preserve"> PAGEREF _Toc354 \h </w:instrText>
          </w:r>
          <w:r>
            <w:rPr>
              <w:sz w:val="28"/>
              <w:szCs w:val="28"/>
            </w:rPr>
            <w:fldChar w:fldCharType="separate"/>
          </w:r>
          <w:r>
            <w:rPr>
              <w:sz w:val="28"/>
              <w:szCs w:val="28"/>
            </w:rPr>
            <w:t>1</w:t>
          </w:r>
          <w:r>
            <w:rPr>
              <w:sz w:val="28"/>
              <w:szCs w:val="28"/>
            </w:rPr>
            <w:fldChar w:fldCharType="end"/>
          </w:r>
          <w:r>
            <w:rPr>
              <w:sz w:val="28"/>
              <w:szCs w:val="28"/>
            </w:rPr>
            <w:fldChar w:fldCharType="end"/>
          </w:r>
        </w:p>
        <w:p w14:paraId="50033E05">
          <w:pPr>
            <w:pStyle w:val="11"/>
            <w:tabs>
              <w:tab w:val="right" w:leader="dot" w:pos="8306"/>
            </w:tabs>
            <w:spacing w:line="360" w:lineRule="auto"/>
            <w:rPr>
              <w:sz w:val="28"/>
              <w:szCs w:val="28"/>
            </w:rPr>
          </w:pPr>
          <w:r>
            <w:fldChar w:fldCharType="begin"/>
          </w:r>
          <w:r>
            <w:instrText xml:space="preserve"> HYPERLINK \l "_Toc26856" </w:instrText>
          </w:r>
          <w:r>
            <w:fldChar w:fldCharType="separate"/>
          </w:r>
          <w:r>
            <w:rPr>
              <w:rFonts w:hint="eastAsia" w:ascii="黑体" w:eastAsia="黑体"/>
              <w:sz w:val="28"/>
              <w:szCs w:val="28"/>
            </w:rPr>
            <w:t>二、部门预算单位构成</w:t>
          </w:r>
          <w:r>
            <w:rPr>
              <w:sz w:val="28"/>
              <w:szCs w:val="28"/>
            </w:rPr>
            <w:tab/>
          </w:r>
          <w:r>
            <w:rPr>
              <w:sz w:val="28"/>
              <w:szCs w:val="28"/>
            </w:rPr>
            <w:fldChar w:fldCharType="begin"/>
          </w:r>
          <w:r>
            <w:rPr>
              <w:sz w:val="28"/>
              <w:szCs w:val="28"/>
            </w:rPr>
            <w:instrText xml:space="preserve"> PAGEREF _Toc26856 \h </w:instrText>
          </w:r>
          <w:r>
            <w:rPr>
              <w:sz w:val="28"/>
              <w:szCs w:val="28"/>
            </w:rPr>
            <w:fldChar w:fldCharType="separate"/>
          </w:r>
          <w:r>
            <w:rPr>
              <w:sz w:val="28"/>
              <w:szCs w:val="28"/>
            </w:rPr>
            <w:t>2</w:t>
          </w:r>
          <w:r>
            <w:rPr>
              <w:sz w:val="28"/>
              <w:szCs w:val="28"/>
            </w:rPr>
            <w:fldChar w:fldCharType="end"/>
          </w:r>
          <w:r>
            <w:rPr>
              <w:sz w:val="28"/>
              <w:szCs w:val="28"/>
            </w:rPr>
            <w:fldChar w:fldCharType="end"/>
          </w:r>
        </w:p>
        <w:p w14:paraId="1CC3B5D7">
          <w:pPr>
            <w:pStyle w:val="11"/>
            <w:tabs>
              <w:tab w:val="right" w:leader="dot" w:pos="8306"/>
            </w:tabs>
            <w:spacing w:line="360" w:lineRule="auto"/>
            <w:rPr>
              <w:sz w:val="28"/>
              <w:szCs w:val="28"/>
            </w:rPr>
          </w:pPr>
          <w:r>
            <w:fldChar w:fldCharType="begin"/>
          </w:r>
          <w:r>
            <w:instrText xml:space="preserve"> HYPERLINK \l "_Toc16343" </w:instrText>
          </w:r>
          <w:r>
            <w:fldChar w:fldCharType="separate"/>
          </w:r>
          <w:r>
            <w:rPr>
              <w:rFonts w:hint="eastAsia" w:ascii="黑体" w:eastAsia="黑体"/>
              <w:sz w:val="28"/>
              <w:szCs w:val="28"/>
            </w:rPr>
            <w:t>三、收支预算情况说明</w:t>
          </w:r>
          <w:r>
            <w:rPr>
              <w:sz w:val="28"/>
              <w:szCs w:val="28"/>
            </w:rPr>
            <w:tab/>
          </w:r>
          <w:r>
            <w:rPr>
              <w:sz w:val="28"/>
              <w:szCs w:val="28"/>
            </w:rPr>
            <w:fldChar w:fldCharType="begin"/>
          </w:r>
          <w:r>
            <w:rPr>
              <w:sz w:val="28"/>
              <w:szCs w:val="28"/>
            </w:rPr>
            <w:instrText xml:space="preserve"> PAGEREF _Toc16343 \h </w:instrText>
          </w:r>
          <w:r>
            <w:rPr>
              <w:sz w:val="28"/>
              <w:szCs w:val="28"/>
            </w:rPr>
            <w:fldChar w:fldCharType="separate"/>
          </w:r>
          <w:r>
            <w:rPr>
              <w:sz w:val="28"/>
              <w:szCs w:val="28"/>
            </w:rPr>
            <w:t>2</w:t>
          </w:r>
          <w:r>
            <w:rPr>
              <w:sz w:val="28"/>
              <w:szCs w:val="28"/>
            </w:rPr>
            <w:fldChar w:fldCharType="end"/>
          </w:r>
          <w:r>
            <w:rPr>
              <w:sz w:val="28"/>
              <w:szCs w:val="28"/>
            </w:rPr>
            <w:fldChar w:fldCharType="end"/>
          </w:r>
        </w:p>
        <w:p w14:paraId="335D9946">
          <w:pPr>
            <w:pStyle w:val="12"/>
            <w:tabs>
              <w:tab w:val="right" w:leader="dot" w:pos="8306"/>
            </w:tabs>
            <w:spacing w:line="360" w:lineRule="auto"/>
            <w:rPr>
              <w:sz w:val="28"/>
              <w:szCs w:val="28"/>
            </w:rPr>
          </w:pPr>
          <w:r>
            <w:fldChar w:fldCharType="begin"/>
          </w:r>
          <w:r>
            <w:instrText xml:space="preserve"> HYPERLINK \l "_Toc12789" </w:instrText>
          </w:r>
          <w:r>
            <w:fldChar w:fldCharType="separate"/>
          </w:r>
          <w:r>
            <w:rPr>
              <w:rFonts w:hint="eastAsia" w:ascii="仿宋_GB2312" w:eastAsia="仿宋_GB2312"/>
              <w:sz w:val="28"/>
              <w:szCs w:val="28"/>
            </w:rPr>
            <w:t>（一）收入预算情况</w:t>
          </w:r>
          <w:r>
            <w:rPr>
              <w:sz w:val="28"/>
              <w:szCs w:val="28"/>
            </w:rPr>
            <w:tab/>
          </w:r>
          <w:r>
            <w:rPr>
              <w:sz w:val="28"/>
              <w:szCs w:val="28"/>
            </w:rPr>
            <w:fldChar w:fldCharType="begin"/>
          </w:r>
          <w:r>
            <w:rPr>
              <w:sz w:val="28"/>
              <w:szCs w:val="28"/>
            </w:rPr>
            <w:instrText xml:space="preserve"> PAGEREF _Toc12789 \h </w:instrText>
          </w:r>
          <w:r>
            <w:rPr>
              <w:sz w:val="28"/>
              <w:szCs w:val="28"/>
            </w:rPr>
            <w:fldChar w:fldCharType="separate"/>
          </w:r>
          <w:r>
            <w:rPr>
              <w:sz w:val="28"/>
              <w:szCs w:val="28"/>
            </w:rPr>
            <w:t>3</w:t>
          </w:r>
          <w:r>
            <w:rPr>
              <w:sz w:val="28"/>
              <w:szCs w:val="28"/>
            </w:rPr>
            <w:fldChar w:fldCharType="end"/>
          </w:r>
          <w:r>
            <w:rPr>
              <w:sz w:val="28"/>
              <w:szCs w:val="28"/>
            </w:rPr>
            <w:fldChar w:fldCharType="end"/>
          </w:r>
        </w:p>
        <w:p w14:paraId="3CED1A12">
          <w:pPr>
            <w:pStyle w:val="12"/>
            <w:tabs>
              <w:tab w:val="right" w:leader="dot" w:pos="8306"/>
            </w:tabs>
            <w:spacing w:line="360" w:lineRule="auto"/>
            <w:rPr>
              <w:sz w:val="28"/>
              <w:szCs w:val="28"/>
            </w:rPr>
          </w:pPr>
          <w:r>
            <w:fldChar w:fldCharType="begin"/>
          </w:r>
          <w:r>
            <w:instrText xml:space="preserve"> HYPERLINK \l "_Toc22662" </w:instrText>
          </w:r>
          <w:r>
            <w:fldChar w:fldCharType="separate"/>
          </w:r>
          <w:r>
            <w:rPr>
              <w:rFonts w:hint="eastAsia" w:ascii="仿宋_GB2312" w:eastAsia="仿宋_GB2312"/>
              <w:sz w:val="28"/>
              <w:szCs w:val="28"/>
            </w:rPr>
            <w:t>（二）支出预算情况</w:t>
          </w:r>
          <w:r>
            <w:rPr>
              <w:sz w:val="28"/>
              <w:szCs w:val="28"/>
            </w:rPr>
            <w:tab/>
          </w:r>
          <w:r>
            <w:rPr>
              <w:sz w:val="28"/>
              <w:szCs w:val="28"/>
            </w:rPr>
            <w:fldChar w:fldCharType="begin"/>
          </w:r>
          <w:r>
            <w:rPr>
              <w:sz w:val="28"/>
              <w:szCs w:val="28"/>
            </w:rPr>
            <w:instrText xml:space="preserve"> PAGEREF _Toc22662 \h </w:instrText>
          </w:r>
          <w:r>
            <w:rPr>
              <w:sz w:val="28"/>
              <w:szCs w:val="28"/>
            </w:rPr>
            <w:fldChar w:fldCharType="separate"/>
          </w:r>
          <w:r>
            <w:rPr>
              <w:sz w:val="28"/>
              <w:szCs w:val="28"/>
            </w:rPr>
            <w:t>3</w:t>
          </w:r>
          <w:r>
            <w:rPr>
              <w:sz w:val="28"/>
              <w:szCs w:val="28"/>
            </w:rPr>
            <w:fldChar w:fldCharType="end"/>
          </w:r>
          <w:r>
            <w:rPr>
              <w:sz w:val="28"/>
              <w:szCs w:val="28"/>
            </w:rPr>
            <w:fldChar w:fldCharType="end"/>
          </w:r>
        </w:p>
        <w:p w14:paraId="4197FA12">
          <w:pPr>
            <w:pStyle w:val="11"/>
            <w:tabs>
              <w:tab w:val="right" w:leader="dot" w:pos="8306"/>
            </w:tabs>
            <w:spacing w:line="360" w:lineRule="auto"/>
            <w:rPr>
              <w:sz w:val="28"/>
              <w:szCs w:val="28"/>
            </w:rPr>
          </w:pPr>
          <w:r>
            <w:fldChar w:fldCharType="begin"/>
          </w:r>
          <w:r>
            <w:instrText xml:space="preserve"> HYPERLINK \l "_Toc2310" </w:instrText>
          </w:r>
          <w:r>
            <w:fldChar w:fldCharType="separate"/>
          </w:r>
          <w:r>
            <w:rPr>
              <w:rFonts w:hint="eastAsia" w:ascii="黑体" w:eastAsia="黑体"/>
              <w:sz w:val="28"/>
              <w:szCs w:val="28"/>
            </w:rPr>
            <w:t>四、财政拨款收支预算情况说明</w:t>
          </w:r>
          <w:r>
            <w:rPr>
              <w:sz w:val="28"/>
              <w:szCs w:val="28"/>
            </w:rPr>
            <w:tab/>
          </w:r>
          <w:r>
            <w:rPr>
              <w:sz w:val="28"/>
              <w:szCs w:val="28"/>
            </w:rPr>
            <w:fldChar w:fldCharType="begin"/>
          </w:r>
          <w:r>
            <w:rPr>
              <w:sz w:val="28"/>
              <w:szCs w:val="28"/>
            </w:rPr>
            <w:instrText xml:space="preserve"> PAGEREF _Toc2310 \h </w:instrText>
          </w:r>
          <w:r>
            <w:rPr>
              <w:sz w:val="28"/>
              <w:szCs w:val="28"/>
            </w:rPr>
            <w:fldChar w:fldCharType="separate"/>
          </w:r>
          <w:r>
            <w:rPr>
              <w:sz w:val="28"/>
              <w:szCs w:val="28"/>
            </w:rPr>
            <w:t>3</w:t>
          </w:r>
          <w:r>
            <w:rPr>
              <w:sz w:val="28"/>
              <w:szCs w:val="28"/>
            </w:rPr>
            <w:fldChar w:fldCharType="end"/>
          </w:r>
          <w:r>
            <w:rPr>
              <w:sz w:val="28"/>
              <w:szCs w:val="28"/>
            </w:rPr>
            <w:fldChar w:fldCharType="end"/>
          </w:r>
        </w:p>
        <w:p w14:paraId="1E10B743">
          <w:pPr>
            <w:pStyle w:val="11"/>
            <w:tabs>
              <w:tab w:val="right" w:leader="dot" w:pos="8306"/>
            </w:tabs>
            <w:spacing w:line="360" w:lineRule="auto"/>
            <w:rPr>
              <w:sz w:val="28"/>
              <w:szCs w:val="28"/>
            </w:rPr>
          </w:pPr>
          <w:r>
            <w:fldChar w:fldCharType="begin"/>
          </w:r>
          <w:r>
            <w:instrText xml:space="preserve"> HYPERLINK \l "_Toc31262" </w:instrText>
          </w:r>
          <w:r>
            <w:fldChar w:fldCharType="separate"/>
          </w:r>
          <w:r>
            <w:rPr>
              <w:rFonts w:hint="eastAsia" w:ascii="黑体" w:eastAsia="黑体"/>
              <w:sz w:val="28"/>
              <w:szCs w:val="28"/>
            </w:rPr>
            <w:t>五、一般公共预算当年拨款情况说明</w:t>
          </w:r>
          <w:r>
            <w:rPr>
              <w:sz w:val="28"/>
              <w:szCs w:val="28"/>
            </w:rPr>
            <w:tab/>
          </w:r>
          <w:r>
            <w:rPr>
              <w:sz w:val="28"/>
              <w:szCs w:val="28"/>
            </w:rPr>
            <w:fldChar w:fldCharType="begin"/>
          </w:r>
          <w:r>
            <w:rPr>
              <w:sz w:val="28"/>
              <w:szCs w:val="28"/>
            </w:rPr>
            <w:instrText xml:space="preserve"> PAGEREF _Toc31262 \h </w:instrText>
          </w:r>
          <w:r>
            <w:rPr>
              <w:sz w:val="28"/>
              <w:szCs w:val="28"/>
            </w:rPr>
            <w:fldChar w:fldCharType="separate"/>
          </w:r>
          <w:r>
            <w:rPr>
              <w:sz w:val="28"/>
              <w:szCs w:val="28"/>
            </w:rPr>
            <w:t>4</w:t>
          </w:r>
          <w:r>
            <w:rPr>
              <w:sz w:val="28"/>
              <w:szCs w:val="28"/>
            </w:rPr>
            <w:fldChar w:fldCharType="end"/>
          </w:r>
          <w:r>
            <w:rPr>
              <w:sz w:val="28"/>
              <w:szCs w:val="28"/>
            </w:rPr>
            <w:fldChar w:fldCharType="end"/>
          </w:r>
        </w:p>
        <w:p w14:paraId="57BB8E28">
          <w:pPr>
            <w:pStyle w:val="12"/>
            <w:tabs>
              <w:tab w:val="right" w:leader="dot" w:pos="8306"/>
            </w:tabs>
            <w:spacing w:line="360" w:lineRule="auto"/>
            <w:rPr>
              <w:sz w:val="28"/>
              <w:szCs w:val="28"/>
            </w:rPr>
          </w:pPr>
          <w:r>
            <w:fldChar w:fldCharType="begin"/>
          </w:r>
          <w:r>
            <w:instrText xml:space="preserve"> HYPERLINK \l "_Toc4474" </w:instrText>
          </w:r>
          <w:r>
            <w:fldChar w:fldCharType="separate"/>
          </w:r>
          <w:r>
            <w:rPr>
              <w:rFonts w:hint="eastAsia" w:ascii="仿宋_GB2312" w:eastAsia="仿宋_GB2312"/>
              <w:sz w:val="28"/>
              <w:szCs w:val="28"/>
            </w:rPr>
            <w:t>（一）一般公共预算当年拨款规模变化情况</w:t>
          </w:r>
          <w:r>
            <w:rPr>
              <w:sz w:val="28"/>
              <w:szCs w:val="28"/>
            </w:rPr>
            <w:tab/>
          </w:r>
          <w:r>
            <w:rPr>
              <w:sz w:val="28"/>
              <w:szCs w:val="28"/>
            </w:rPr>
            <w:fldChar w:fldCharType="begin"/>
          </w:r>
          <w:r>
            <w:rPr>
              <w:sz w:val="28"/>
              <w:szCs w:val="28"/>
            </w:rPr>
            <w:instrText xml:space="preserve"> PAGEREF _Toc4474 \h </w:instrText>
          </w:r>
          <w:r>
            <w:rPr>
              <w:sz w:val="28"/>
              <w:szCs w:val="28"/>
            </w:rPr>
            <w:fldChar w:fldCharType="separate"/>
          </w:r>
          <w:r>
            <w:rPr>
              <w:sz w:val="28"/>
              <w:szCs w:val="28"/>
            </w:rPr>
            <w:t>4</w:t>
          </w:r>
          <w:r>
            <w:rPr>
              <w:sz w:val="28"/>
              <w:szCs w:val="28"/>
            </w:rPr>
            <w:fldChar w:fldCharType="end"/>
          </w:r>
          <w:r>
            <w:rPr>
              <w:sz w:val="28"/>
              <w:szCs w:val="28"/>
            </w:rPr>
            <w:fldChar w:fldCharType="end"/>
          </w:r>
        </w:p>
        <w:p w14:paraId="11C842E2">
          <w:pPr>
            <w:pStyle w:val="12"/>
            <w:tabs>
              <w:tab w:val="right" w:leader="dot" w:pos="8306"/>
            </w:tabs>
            <w:spacing w:line="360" w:lineRule="auto"/>
            <w:rPr>
              <w:sz w:val="28"/>
              <w:szCs w:val="28"/>
            </w:rPr>
          </w:pPr>
          <w:r>
            <w:fldChar w:fldCharType="begin"/>
          </w:r>
          <w:r>
            <w:instrText xml:space="preserve"> HYPERLINK \l "_Toc29743" </w:instrText>
          </w:r>
          <w:r>
            <w:fldChar w:fldCharType="separate"/>
          </w:r>
          <w:r>
            <w:rPr>
              <w:rFonts w:hint="eastAsia" w:ascii="仿宋_GB2312" w:eastAsia="仿宋_GB2312"/>
              <w:sz w:val="28"/>
              <w:szCs w:val="28"/>
            </w:rPr>
            <w:t>（二）一般公共预算当年拨款结构情况</w:t>
          </w:r>
          <w:r>
            <w:rPr>
              <w:sz w:val="28"/>
              <w:szCs w:val="28"/>
            </w:rPr>
            <w:tab/>
          </w:r>
          <w:r>
            <w:rPr>
              <w:sz w:val="28"/>
              <w:szCs w:val="28"/>
            </w:rPr>
            <w:fldChar w:fldCharType="begin"/>
          </w:r>
          <w:r>
            <w:rPr>
              <w:sz w:val="28"/>
              <w:szCs w:val="28"/>
            </w:rPr>
            <w:instrText xml:space="preserve"> PAGEREF _Toc29743 \h </w:instrText>
          </w:r>
          <w:r>
            <w:rPr>
              <w:sz w:val="28"/>
              <w:szCs w:val="28"/>
            </w:rPr>
            <w:fldChar w:fldCharType="separate"/>
          </w:r>
          <w:r>
            <w:rPr>
              <w:sz w:val="28"/>
              <w:szCs w:val="28"/>
            </w:rPr>
            <w:t>4</w:t>
          </w:r>
          <w:r>
            <w:rPr>
              <w:sz w:val="28"/>
              <w:szCs w:val="28"/>
            </w:rPr>
            <w:fldChar w:fldCharType="end"/>
          </w:r>
          <w:r>
            <w:rPr>
              <w:sz w:val="28"/>
              <w:szCs w:val="28"/>
            </w:rPr>
            <w:fldChar w:fldCharType="end"/>
          </w:r>
        </w:p>
        <w:p w14:paraId="0F28F724">
          <w:pPr>
            <w:pStyle w:val="12"/>
            <w:tabs>
              <w:tab w:val="right" w:leader="dot" w:pos="8306"/>
            </w:tabs>
            <w:spacing w:line="360" w:lineRule="auto"/>
            <w:rPr>
              <w:sz w:val="28"/>
              <w:szCs w:val="28"/>
            </w:rPr>
          </w:pPr>
          <w:r>
            <w:fldChar w:fldCharType="begin"/>
          </w:r>
          <w:r>
            <w:instrText xml:space="preserve"> HYPERLINK \l "_Toc22437" </w:instrText>
          </w:r>
          <w:r>
            <w:fldChar w:fldCharType="separate"/>
          </w:r>
          <w:r>
            <w:rPr>
              <w:rFonts w:hint="eastAsia" w:ascii="仿宋_GB2312" w:eastAsia="仿宋_GB2312"/>
              <w:sz w:val="28"/>
              <w:szCs w:val="28"/>
            </w:rPr>
            <w:t>（三）一般公共预算当年拨款具体使用情况</w:t>
          </w:r>
          <w:r>
            <w:rPr>
              <w:sz w:val="28"/>
              <w:szCs w:val="28"/>
            </w:rPr>
            <w:tab/>
          </w:r>
          <w:r>
            <w:rPr>
              <w:sz w:val="28"/>
              <w:szCs w:val="28"/>
            </w:rPr>
            <w:fldChar w:fldCharType="begin"/>
          </w:r>
          <w:r>
            <w:rPr>
              <w:sz w:val="28"/>
              <w:szCs w:val="28"/>
            </w:rPr>
            <w:instrText xml:space="preserve"> PAGEREF _Toc22437 \h </w:instrText>
          </w:r>
          <w:r>
            <w:rPr>
              <w:sz w:val="28"/>
              <w:szCs w:val="28"/>
            </w:rPr>
            <w:fldChar w:fldCharType="separate"/>
          </w:r>
          <w:r>
            <w:rPr>
              <w:sz w:val="28"/>
              <w:szCs w:val="28"/>
            </w:rPr>
            <w:t>4</w:t>
          </w:r>
          <w:r>
            <w:rPr>
              <w:sz w:val="28"/>
              <w:szCs w:val="28"/>
            </w:rPr>
            <w:fldChar w:fldCharType="end"/>
          </w:r>
          <w:r>
            <w:rPr>
              <w:sz w:val="28"/>
              <w:szCs w:val="28"/>
            </w:rPr>
            <w:fldChar w:fldCharType="end"/>
          </w:r>
        </w:p>
        <w:p w14:paraId="57376094">
          <w:pPr>
            <w:pStyle w:val="11"/>
            <w:tabs>
              <w:tab w:val="right" w:leader="dot" w:pos="8306"/>
            </w:tabs>
            <w:spacing w:line="360" w:lineRule="auto"/>
            <w:rPr>
              <w:sz w:val="28"/>
              <w:szCs w:val="28"/>
            </w:rPr>
          </w:pPr>
          <w:r>
            <w:fldChar w:fldCharType="begin"/>
          </w:r>
          <w:r>
            <w:instrText xml:space="preserve"> HYPERLINK \l "_Toc14515" </w:instrText>
          </w:r>
          <w:r>
            <w:fldChar w:fldCharType="separate"/>
          </w:r>
          <w:r>
            <w:rPr>
              <w:rFonts w:hint="eastAsia" w:ascii="黑体" w:eastAsia="黑体"/>
              <w:sz w:val="28"/>
              <w:szCs w:val="28"/>
            </w:rPr>
            <w:t>六、一般公共预算基本支出情况说明</w:t>
          </w:r>
          <w:r>
            <w:rPr>
              <w:sz w:val="28"/>
              <w:szCs w:val="28"/>
            </w:rPr>
            <w:tab/>
          </w:r>
          <w:r>
            <w:rPr>
              <w:sz w:val="28"/>
              <w:szCs w:val="28"/>
            </w:rPr>
            <w:fldChar w:fldCharType="begin"/>
          </w:r>
          <w:r>
            <w:rPr>
              <w:sz w:val="28"/>
              <w:szCs w:val="28"/>
            </w:rPr>
            <w:instrText xml:space="preserve"> PAGEREF _Toc14515 \h </w:instrText>
          </w:r>
          <w:r>
            <w:rPr>
              <w:sz w:val="28"/>
              <w:szCs w:val="28"/>
            </w:rPr>
            <w:fldChar w:fldCharType="separate"/>
          </w:r>
          <w:r>
            <w:rPr>
              <w:sz w:val="28"/>
              <w:szCs w:val="28"/>
            </w:rPr>
            <w:t>4</w:t>
          </w:r>
          <w:r>
            <w:rPr>
              <w:sz w:val="28"/>
              <w:szCs w:val="28"/>
            </w:rPr>
            <w:fldChar w:fldCharType="end"/>
          </w:r>
          <w:r>
            <w:rPr>
              <w:sz w:val="28"/>
              <w:szCs w:val="28"/>
            </w:rPr>
            <w:fldChar w:fldCharType="end"/>
          </w:r>
        </w:p>
        <w:p w14:paraId="65F90EA8">
          <w:pPr>
            <w:pStyle w:val="11"/>
            <w:tabs>
              <w:tab w:val="right" w:leader="dot" w:pos="8306"/>
            </w:tabs>
            <w:spacing w:line="360" w:lineRule="auto"/>
            <w:rPr>
              <w:sz w:val="28"/>
              <w:szCs w:val="28"/>
            </w:rPr>
          </w:pPr>
          <w:r>
            <w:fldChar w:fldCharType="begin"/>
          </w:r>
          <w:r>
            <w:instrText xml:space="preserve"> HYPERLINK \l "_Toc10412" </w:instrText>
          </w:r>
          <w:r>
            <w:fldChar w:fldCharType="separate"/>
          </w:r>
          <w:r>
            <w:rPr>
              <w:rFonts w:hint="eastAsia" w:ascii="黑体" w:eastAsia="黑体"/>
              <w:sz w:val="28"/>
              <w:szCs w:val="28"/>
            </w:rPr>
            <w:t>七、“三公”经费财政拨款预算安排情况说明</w:t>
          </w:r>
          <w:r>
            <w:rPr>
              <w:sz w:val="28"/>
              <w:szCs w:val="28"/>
            </w:rPr>
            <w:tab/>
          </w:r>
          <w:r>
            <w:rPr>
              <w:sz w:val="28"/>
              <w:szCs w:val="28"/>
            </w:rPr>
            <w:fldChar w:fldCharType="begin"/>
          </w:r>
          <w:r>
            <w:rPr>
              <w:sz w:val="28"/>
              <w:szCs w:val="28"/>
            </w:rPr>
            <w:instrText xml:space="preserve"> PAGEREF _Toc10412 \h </w:instrText>
          </w:r>
          <w:r>
            <w:rPr>
              <w:sz w:val="28"/>
              <w:szCs w:val="28"/>
            </w:rPr>
            <w:fldChar w:fldCharType="separate"/>
          </w:r>
          <w:r>
            <w:rPr>
              <w:sz w:val="28"/>
              <w:szCs w:val="28"/>
            </w:rPr>
            <w:t>7</w:t>
          </w:r>
          <w:r>
            <w:rPr>
              <w:sz w:val="28"/>
              <w:szCs w:val="28"/>
            </w:rPr>
            <w:fldChar w:fldCharType="end"/>
          </w:r>
          <w:r>
            <w:rPr>
              <w:sz w:val="28"/>
              <w:szCs w:val="28"/>
            </w:rPr>
            <w:fldChar w:fldCharType="end"/>
          </w:r>
        </w:p>
        <w:p w14:paraId="16B0D931">
          <w:pPr>
            <w:pStyle w:val="11"/>
            <w:tabs>
              <w:tab w:val="right" w:leader="dot" w:pos="8306"/>
            </w:tabs>
            <w:spacing w:line="360" w:lineRule="auto"/>
            <w:rPr>
              <w:sz w:val="28"/>
              <w:szCs w:val="28"/>
            </w:rPr>
          </w:pPr>
          <w:r>
            <w:fldChar w:fldCharType="begin"/>
          </w:r>
          <w:r>
            <w:instrText xml:space="preserve"> HYPERLINK \l "_Toc16132" </w:instrText>
          </w:r>
          <w:r>
            <w:fldChar w:fldCharType="separate"/>
          </w:r>
          <w:r>
            <w:rPr>
              <w:rFonts w:hint="eastAsia" w:ascii="黑体" w:eastAsia="黑体"/>
              <w:sz w:val="28"/>
              <w:szCs w:val="28"/>
            </w:rPr>
            <w:t>八、政府性基金预算支出情况说明</w:t>
          </w:r>
          <w:r>
            <w:rPr>
              <w:sz w:val="28"/>
              <w:szCs w:val="28"/>
            </w:rPr>
            <w:tab/>
          </w:r>
          <w:r>
            <w:rPr>
              <w:sz w:val="28"/>
              <w:szCs w:val="28"/>
            </w:rPr>
            <w:fldChar w:fldCharType="begin"/>
          </w:r>
          <w:r>
            <w:rPr>
              <w:sz w:val="28"/>
              <w:szCs w:val="28"/>
            </w:rPr>
            <w:instrText xml:space="preserve"> PAGEREF _Toc16132 \h </w:instrText>
          </w:r>
          <w:r>
            <w:rPr>
              <w:sz w:val="28"/>
              <w:szCs w:val="28"/>
            </w:rPr>
            <w:fldChar w:fldCharType="separate"/>
          </w:r>
          <w:r>
            <w:rPr>
              <w:sz w:val="28"/>
              <w:szCs w:val="28"/>
            </w:rPr>
            <w:t>8</w:t>
          </w:r>
          <w:r>
            <w:rPr>
              <w:sz w:val="28"/>
              <w:szCs w:val="28"/>
            </w:rPr>
            <w:fldChar w:fldCharType="end"/>
          </w:r>
          <w:r>
            <w:rPr>
              <w:sz w:val="28"/>
              <w:szCs w:val="28"/>
            </w:rPr>
            <w:fldChar w:fldCharType="end"/>
          </w:r>
        </w:p>
        <w:p w14:paraId="46D083C1">
          <w:pPr>
            <w:pStyle w:val="11"/>
            <w:tabs>
              <w:tab w:val="right" w:leader="dot" w:pos="8306"/>
            </w:tabs>
            <w:spacing w:line="360" w:lineRule="auto"/>
            <w:rPr>
              <w:sz w:val="28"/>
              <w:szCs w:val="28"/>
            </w:rPr>
          </w:pPr>
          <w:r>
            <w:fldChar w:fldCharType="begin"/>
          </w:r>
          <w:r>
            <w:instrText xml:space="preserve"> HYPERLINK \l "_Toc10787" </w:instrText>
          </w:r>
          <w:r>
            <w:fldChar w:fldCharType="separate"/>
          </w:r>
          <w:r>
            <w:rPr>
              <w:rFonts w:hint="eastAsia" w:ascii="黑体" w:eastAsia="黑体"/>
              <w:sz w:val="28"/>
              <w:szCs w:val="28"/>
            </w:rPr>
            <w:t>九、其他重要事项的情况说明</w:t>
          </w:r>
          <w:r>
            <w:rPr>
              <w:sz w:val="28"/>
              <w:szCs w:val="28"/>
            </w:rPr>
            <w:tab/>
          </w:r>
          <w:r>
            <w:rPr>
              <w:sz w:val="28"/>
              <w:szCs w:val="28"/>
            </w:rPr>
            <w:fldChar w:fldCharType="begin"/>
          </w:r>
          <w:r>
            <w:rPr>
              <w:sz w:val="28"/>
              <w:szCs w:val="28"/>
            </w:rPr>
            <w:instrText xml:space="preserve"> PAGEREF _Toc10787 \h </w:instrText>
          </w:r>
          <w:r>
            <w:rPr>
              <w:sz w:val="28"/>
              <w:szCs w:val="28"/>
            </w:rPr>
            <w:fldChar w:fldCharType="separate"/>
          </w:r>
          <w:r>
            <w:rPr>
              <w:sz w:val="28"/>
              <w:szCs w:val="28"/>
            </w:rPr>
            <w:t>8</w:t>
          </w:r>
          <w:r>
            <w:rPr>
              <w:sz w:val="28"/>
              <w:szCs w:val="28"/>
            </w:rPr>
            <w:fldChar w:fldCharType="end"/>
          </w:r>
          <w:r>
            <w:rPr>
              <w:sz w:val="28"/>
              <w:szCs w:val="28"/>
            </w:rPr>
            <w:fldChar w:fldCharType="end"/>
          </w:r>
        </w:p>
        <w:p w14:paraId="36C3FCCB">
          <w:pPr>
            <w:pStyle w:val="11"/>
            <w:tabs>
              <w:tab w:val="right" w:leader="dot" w:pos="8306"/>
            </w:tabs>
            <w:spacing w:line="360" w:lineRule="auto"/>
          </w:pPr>
          <w:r>
            <w:fldChar w:fldCharType="begin"/>
          </w:r>
          <w:r>
            <w:instrText xml:space="preserve"> HYPERLINK \l "_Toc31620" </w:instrText>
          </w:r>
          <w:r>
            <w:fldChar w:fldCharType="separate"/>
          </w:r>
          <w:r>
            <w:rPr>
              <w:rFonts w:hint="eastAsia" w:ascii="黑体" w:eastAsia="黑体"/>
              <w:sz w:val="28"/>
              <w:szCs w:val="28"/>
            </w:rPr>
            <w:t>十、名称解释</w:t>
          </w:r>
          <w:r>
            <w:rPr>
              <w:sz w:val="28"/>
              <w:szCs w:val="28"/>
            </w:rPr>
            <w:tab/>
          </w:r>
          <w:r>
            <w:rPr>
              <w:sz w:val="28"/>
              <w:szCs w:val="28"/>
            </w:rPr>
            <w:fldChar w:fldCharType="begin"/>
          </w:r>
          <w:r>
            <w:rPr>
              <w:sz w:val="28"/>
              <w:szCs w:val="28"/>
            </w:rPr>
            <w:instrText xml:space="preserve"> PAGEREF _Toc31620 \h </w:instrText>
          </w:r>
          <w:r>
            <w:rPr>
              <w:sz w:val="28"/>
              <w:szCs w:val="28"/>
            </w:rPr>
            <w:fldChar w:fldCharType="separate"/>
          </w:r>
          <w:r>
            <w:rPr>
              <w:sz w:val="28"/>
              <w:szCs w:val="28"/>
            </w:rPr>
            <w:t>12</w:t>
          </w:r>
          <w:r>
            <w:rPr>
              <w:sz w:val="28"/>
              <w:szCs w:val="28"/>
            </w:rPr>
            <w:fldChar w:fldCharType="end"/>
          </w:r>
          <w:r>
            <w:rPr>
              <w:sz w:val="28"/>
              <w:szCs w:val="28"/>
            </w:rPr>
            <w:fldChar w:fldCharType="end"/>
          </w:r>
        </w:p>
        <w:p w14:paraId="7F6AEDEB">
          <w:pPr>
            <w:widowControl/>
            <w:shd w:val="clear" w:color="auto" w:fill="FFFFFF"/>
            <w:spacing w:before="100" w:beforeAutospacing="1" w:after="100" w:afterAutospacing="1" w:line="290" w:lineRule="atLeast"/>
            <w:ind w:right="300"/>
            <w:jc w:val="left"/>
            <w:rPr>
              <w:rFonts w:asciiTheme="minorHAnsi" w:hAnsiTheme="minorHAnsi" w:eastAsiaTheme="minorEastAsia" w:cstheme="minorBidi"/>
              <w:lang w:val="zh-CN"/>
            </w:rPr>
          </w:pPr>
          <w:r>
            <w:rPr>
              <w:bCs/>
              <w:szCs w:val="28"/>
              <w:lang w:val="zh-CN"/>
            </w:rPr>
            <w:fldChar w:fldCharType="end"/>
          </w:r>
        </w:p>
      </w:sdtContent>
    </w:sdt>
    <w:p w14:paraId="3C278999">
      <w:pPr>
        <w:pStyle w:val="13"/>
        <w:sectPr>
          <w:footerReference r:id="rId4" w:type="default"/>
          <w:pgSz w:w="11906" w:h="16838"/>
          <w:pgMar w:top="1440" w:right="1800" w:bottom="1440" w:left="1800" w:header="851" w:footer="992" w:gutter="0"/>
          <w:pgNumType w:start="1"/>
          <w:cols w:space="720" w:num="1"/>
          <w:docGrid w:type="lines" w:linePitch="312" w:charSpace="0"/>
        </w:sectPr>
      </w:pPr>
    </w:p>
    <w:p w14:paraId="47035C5B">
      <w:pPr>
        <w:pStyle w:val="2"/>
        <w:spacing w:before="0" w:after="0" w:line="579" w:lineRule="auto"/>
        <w:rPr>
          <w:rFonts w:ascii="黑体" w:eastAsia="黑体"/>
          <w:b w:val="0"/>
          <w:bCs w:val="0"/>
          <w:kern w:val="2"/>
          <w:sz w:val="32"/>
          <w:szCs w:val="32"/>
        </w:rPr>
      </w:pPr>
      <w:bookmarkStart w:id="0" w:name="_Toc21542"/>
      <w:r>
        <w:rPr>
          <w:rFonts w:hint="eastAsia" w:ascii="黑体" w:eastAsia="黑体"/>
          <w:b w:val="0"/>
          <w:bCs w:val="0"/>
          <w:kern w:val="2"/>
          <w:sz w:val="32"/>
          <w:szCs w:val="32"/>
        </w:rPr>
        <w:t>一、基本职能及主要工作</w:t>
      </w:r>
      <w:bookmarkEnd w:id="0"/>
    </w:p>
    <w:p w14:paraId="70CBABC5">
      <w:pPr>
        <w:pStyle w:val="3"/>
        <w:spacing w:before="0" w:after="0" w:line="416" w:lineRule="auto"/>
        <w:ind w:firstLine="640" w:firstLineChars="200"/>
        <w:rPr>
          <w:rFonts w:ascii="仿宋_GB2312" w:hAnsi="Calibri" w:eastAsia="仿宋_GB2312"/>
          <w:b w:val="0"/>
          <w:szCs w:val="32"/>
        </w:rPr>
      </w:pPr>
      <w:bookmarkStart w:id="1" w:name="_Toc3195"/>
      <w:r>
        <w:rPr>
          <w:rFonts w:hint="eastAsia" w:ascii="仿宋_GB2312" w:hAnsi="Calibri" w:eastAsia="仿宋_GB2312"/>
          <w:b w:val="0"/>
          <w:szCs w:val="32"/>
        </w:rPr>
        <w:t>（一）部门职能简介</w:t>
      </w:r>
      <w:bookmarkEnd w:id="1"/>
    </w:p>
    <w:p w14:paraId="1C3F78FD">
      <w:pPr>
        <w:spacing w:line="576" w:lineRule="exact"/>
        <w:ind w:firstLine="640" w:firstLineChars="200"/>
        <w:rPr>
          <w:rFonts w:hint="eastAsia" w:ascii="方正仿宋_GBK" w:hAnsi="方正仿宋_GBK" w:eastAsia="方正仿宋_GBK" w:cs="方正仿宋_GBK"/>
          <w:color w:val="000000"/>
          <w:kern w:val="0"/>
          <w:sz w:val="32"/>
          <w:szCs w:val="32"/>
        </w:rPr>
      </w:pPr>
      <w:bookmarkStart w:id="2" w:name="_Toc354"/>
      <w:r>
        <w:rPr>
          <w:rFonts w:hint="eastAsia" w:ascii="方正仿宋_GBK" w:hAnsi="方正仿宋_GBK" w:eastAsia="方正仿宋_GBK" w:cs="方正仿宋_GBK"/>
          <w:kern w:val="0"/>
          <w:sz w:val="32"/>
          <w:szCs w:val="32"/>
        </w:rPr>
        <w:t>中共阿坝州委宣传部部门是州委主管意识形态方面工作的综合职能部门。</w:t>
      </w:r>
      <w:r>
        <w:rPr>
          <w:rFonts w:hint="eastAsia" w:ascii="方正仿宋_GBK" w:hAnsi="方正仿宋_GBK" w:eastAsia="方正仿宋_GBK" w:cs="方正仿宋_GBK"/>
          <w:color w:val="000000"/>
          <w:kern w:val="0"/>
          <w:sz w:val="32"/>
          <w:szCs w:val="32"/>
        </w:rPr>
        <w:t>主要职能: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负责马尔康地区中小学教材、教辅、幼儿教材、一般图书、藏文及相关的文体用品零售及全州教材、一般图书中转，全州教材教辅业务指导等业务；电影放映等工作。</w:t>
      </w:r>
    </w:p>
    <w:p w14:paraId="16157822">
      <w:pPr>
        <w:spacing w:line="576"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（二）2026年重点工作</w:t>
      </w:r>
      <w:bookmarkEnd w:id="2"/>
      <w:bookmarkStart w:id="3" w:name="_Toc26856"/>
    </w:p>
    <w:p w14:paraId="549A1E4C">
      <w:pPr>
        <w:spacing w:line="576" w:lineRule="exact"/>
        <w:ind w:firstLine="640" w:firstLineChars="200"/>
        <w:rPr>
          <w:rFonts w:hint="eastAsia" w:ascii="方正仿宋_GBK" w:hAnsi="方正仿宋_GBK" w:eastAsia="方正仿宋_GBK" w:cs="方正仿宋_GBK"/>
          <w:color w:val="000000"/>
          <w:kern w:val="0"/>
          <w:sz w:val="32"/>
          <w:szCs w:val="32"/>
          <w:lang w:eastAsia="zh-CN"/>
        </w:rPr>
      </w:pPr>
      <w:r>
        <w:rPr>
          <w:rFonts w:hint="eastAsia" w:ascii="方正仿宋_GBK" w:hAnsi="方正仿宋_GBK" w:eastAsia="方正仿宋_GBK" w:cs="方正仿宋_GBK"/>
          <w:color w:val="000000"/>
          <w:kern w:val="0"/>
          <w:sz w:val="32"/>
          <w:szCs w:val="32"/>
          <w:lang w:eastAsia="zh-CN"/>
        </w:rPr>
        <w:t>一是</w:t>
      </w:r>
      <w:r>
        <w:rPr>
          <w:rFonts w:hint="eastAsia" w:ascii="方正仿宋_GBK" w:hAnsi="方正仿宋_GBK" w:eastAsia="方正仿宋_GBK" w:cs="方正仿宋_GBK"/>
          <w:color w:val="000000"/>
          <w:kern w:val="0"/>
          <w:sz w:val="32"/>
          <w:szCs w:val="32"/>
        </w:rPr>
        <w:t>严格落实党委（党组）理论学习中心组学习制度，依托“微网实格”等载体，常态化开展党的二十届四中全会、省委十二届八次全会等精神宣讲，让党的声音传遍雪山草地。持续抓好理论研究，推出一批有分量、有价值的研究成果</w:t>
      </w:r>
      <w:r>
        <w:rPr>
          <w:rFonts w:hint="eastAsia" w:ascii="方正仿宋_GBK" w:hAnsi="方正仿宋_GBK" w:eastAsia="方正仿宋_GBK" w:cs="方正仿宋_GBK"/>
          <w:color w:val="000000"/>
          <w:kern w:val="0"/>
          <w:sz w:val="32"/>
          <w:szCs w:val="32"/>
          <w:lang w:eastAsia="zh-CN"/>
        </w:rPr>
        <w:t>。二是</w:t>
      </w:r>
      <w:r>
        <w:rPr>
          <w:rFonts w:hint="eastAsia" w:ascii="方正仿宋_GBK" w:hAnsi="方正仿宋_GBK" w:eastAsia="方正仿宋_GBK" w:cs="方正仿宋_GBK"/>
          <w:color w:val="000000"/>
          <w:kern w:val="0"/>
          <w:sz w:val="32"/>
          <w:szCs w:val="32"/>
        </w:rPr>
        <w:t>持续提升“德耀阿坝”品牌影响力，举办第六届“感动阿坝年度人物”评选，做好“中国好人”“四川好人”申报推荐</w:t>
      </w:r>
      <w:bookmarkStart w:id="17" w:name="_GoBack"/>
      <w:bookmarkEnd w:id="17"/>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kern w:val="0"/>
          <w:sz w:val="32"/>
          <w:szCs w:val="32"/>
          <w:lang w:eastAsia="zh-CN"/>
        </w:rPr>
        <w:t>三是</w:t>
      </w:r>
      <w:r>
        <w:rPr>
          <w:rFonts w:hint="eastAsia" w:ascii="方正仿宋_GBK" w:hAnsi="方正仿宋_GBK" w:eastAsia="方正仿宋_GBK" w:cs="方正仿宋_GBK"/>
          <w:color w:val="000000"/>
          <w:kern w:val="0"/>
          <w:sz w:val="32"/>
          <w:szCs w:val="32"/>
        </w:rPr>
        <w:t>加快编制《阿坝州“十五五”文化发展规划》《阿坝州国际生态文化旅游目的地规划》，出台《阿坝州文艺精品奖励和人才培育十条措施》，完善文化发展制度保障。加大长征国家文化公园（阿坝州段）建设力度，持续推进国家羌族文化生态保护区、营盘山国家考古遗址公园、阿坝非遗博览园及非遗工坊建设，推动非遗资源场景化、体验化、产品化、旅游化转化。</w:t>
      </w:r>
      <w:r>
        <w:rPr>
          <w:rFonts w:hint="eastAsia" w:ascii="方正仿宋_GBK" w:hAnsi="方正仿宋_GBK" w:eastAsia="方正仿宋_GBK" w:cs="方正仿宋_GBK"/>
          <w:color w:val="000000"/>
          <w:kern w:val="0"/>
          <w:sz w:val="32"/>
          <w:szCs w:val="32"/>
          <w:lang w:eastAsia="zh-CN"/>
        </w:rPr>
        <w:t>四是</w:t>
      </w:r>
      <w:r>
        <w:rPr>
          <w:rFonts w:hint="eastAsia" w:ascii="方正仿宋_GBK" w:hAnsi="方正仿宋_GBK" w:eastAsia="方正仿宋_GBK" w:cs="方正仿宋_GBK"/>
          <w:color w:val="000000"/>
          <w:kern w:val="0"/>
          <w:sz w:val="32"/>
          <w:szCs w:val="32"/>
        </w:rPr>
        <w:t>高质量完成省电影局下达的农村公益电影放映任务，充分运用数字监管平台，全面发挥平台在放映任务统筹、进度实时跟踪、质量动态把控等方面的关键作用，确保公益放映工作规范高效推进。</w:t>
      </w:r>
      <w:r>
        <w:rPr>
          <w:rFonts w:hint="eastAsia" w:ascii="方正仿宋_GBK" w:hAnsi="方正仿宋_GBK" w:eastAsia="方正仿宋_GBK" w:cs="方正仿宋_GBK"/>
          <w:color w:val="000000"/>
          <w:kern w:val="0"/>
          <w:sz w:val="32"/>
          <w:szCs w:val="32"/>
          <w:lang w:eastAsia="zh-CN"/>
        </w:rPr>
        <w:t>五是</w:t>
      </w:r>
      <w:r>
        <w:rPr>
          <w:rFonts w:hint="eastAsia" w:ascii="方正仿宋_GBK" w:hAnsi="方正仿宋_GBK" w:eastAsia="方正仿宋_GBK" w:cs="方正仿宋_GBK"/>
          <w:color w:val="000000"/>
          <w:kern w:val="0"/>
          <w:sz w:val="32"/>
          <w:szCs w:val="32"/>
        </w:rPr>
        <w:t>争取资金支持，推进设备更新。</w:t>
      </w:r>
      <w:r>
        <w:rPr>
          <w:rFonts w:hint="eastAsia" w:ascii="方正仿宋_GBK" w:hAnsi="方正仿宋_GBK" w:eastAsia="方正仿宋_GBK" w:cs="方正仿宋_GBK"/>
          <w:color w:val="000000"/>
          <w:kern w:val="0"/>
          <w:sz w:val="32"/>
          <w:szCs w:val="32"/>
          <w:lang w:eastAsia="zh-CN"/>
        </w:rPr>
        <w:t>六是</w:t>
      </w:r>
      <w:r>
        <w:rPr>
          <w:rFonts w:hint="eastAsia" w:ascii="方正仿宋_GBK" w:hAnsi="方正仿宋_GBK" w:eastAsia="方正仿宋_GBK" w:cs="方正仿宋_GBK"/>
          <w:color w:val="000000"/>
          <w:kern w:val="0"/>
          <w:sz w:val="32"/>
          <w:szCs w:val="32"/>
        </w:rPr>
        <w:t>推进全州电影数字监管平台新技术推广应用，通过线上视频培训、线下实操演练相结合的方式，组织全体放映员系统学习新技术、新设备操作规范，不断提升放映队伍专业能力，切实提高公益电影放映质效。</w:t>
      </w:r>
      <w:r>
        <w:rPr>
          <w:rFonts w:hint="eastAsia" w:ascii="方正仿宋_GBK" w:hAnsi="方正仿宋_GBK" w:eastAsia="方正仿宋_GBK" w:cs="方正仿宋_GBK"/>
          <w:color w:val="000000"/>
          <w:kern w:val="0"/>
          <w:sz w:val="32"/>
          <w:szCs w:val="32"/>
          <w:lang w:eastAsia="zh-CN"/>
        </w:rPr>
        <w:t>七是</w:t>
      </w:r>
      <w:r>
        <w:rPr>
          <w:rFonts w:hint="eastAsia" w:ascii="方正仿宋_GBK" w:hAnsi="方正仿宋_GBK" w:eastAsia="方正仿宋_GBK" w:cs="方正仿宋_GBK"/>
          <w:color w:val="000000"/>
          <w:kern w:val="0"/>
          <w:sz w:val="32"/>
          <w:szCs w:val="32"/>
        </w:rPr>
        <w:t>力争全年实现票房收入120万元、商品收入20万元。</w:t>
      </w:r>
      <w:r>
        <w:rPr>
          <w:rFonts w:hint="eastAsia" w:ascii="方正仿宋_GBK" w:hAnsi="方正仿宋_GBK" w:eastAsia="方正仿宋_GBK" w:cs="方正仿宋_GBK"/>
          <w:color w:val="000000"/>
          <w:kern w:val="0"/>
          <w:sz w:val="32"/>
          <w:szCs w:val="32"/>
          <w:lang w:eastAsia="zh-CN"/>
        </w:rPr>
        <w:t>八是保障教学用书发行。九是拓展一般图书业务。十是强化物流中转管理。</w:t>
      </w:r>
    </w:p>
    <w:p w14:paraId="424EF749">
      <w:pPr>
        <w:pStyle w:val="2"/>
        <w:spacing w:before="0" w:after="0" w:line="579" w:lineRule="auto"/>
        <w:rPr>
          <w:rFonts w:ascii="黑体" w:eastAsia="黑体"/>
          <w:b w:val="0"/>
          <w:bCs w:val="0"/>
          <w:kern w:val="2"/>
          <w:sz w:val="32"/>
          <w:szCs w:val="32"/>
        </w:rPr>
      </w:pPr>
      <w:r>
        <w:rPr>
          <w:rFonts w:hint="eastAsia" w:ascii="黑体" w:eastAsia="黑体"/>
          <w:b w:val="0"/>
          <w:bCs w:val="0"/>
          <w:kern w:val="2"/>
          <w:sz w:val="32"/>
          <w:szCs w:val="32"/>
        </w:rPr>
        <w:t>二、部门预算单位构成</w:t>
      </w:r>
      <w:bookmarkEnd w:id="3"/>
    </w:p>
    <w:p w14:paraId="030BE9D7">
      <w:pPr>
        <w:pStyle w:val="23"/>
        <w:shd w:val="clear" w:color="auto" w:fill="FFFFFF"/>
        <w:spacing w:before="0" w:beforeAutospacing="0" w:after="0" w:afterAutospacing="0" w:line="560" w:lineRule="exact"/>
        <w:ind w:firstLine="640" w:firstLineChars="200"/>
        <w:jc w:val="both"/>
        <w:rPr>
          <w:rStyle w:val="24"/>
          <w:rFonts w:hint="eastAsia" w:ascii="仿宋_GB2312" w:hAnsi="宋体" w:eastAsia="仿宋_GB2312" w:cs="仿宋_GB2312"/>
          <w:sz w:val="32"/>
          <w:szCs w:val="32"/>
          <w:shd w:val="clear" w:color="auto" w:fill="FFFFFF"/>
        </w:rPr>
      </w:pPr>
      <w:r>
        <w:rPr>
          <w:rFonts w:ascii="仿宋_GB2312" w:hAnsi="仿宋" w:eastAsia="仿宋_GB2312"/>
          <w:kern w:val="2"/>
          <w:sz w:val="32"/>
        </w:rPr>
        <w:t>中共阿坝州委宣传部部门下属阿坝州委讲师团</w:t>
      </w:r>
      <w:r>
        <w:rPr>
          <w:rFonts w:hint="eastAsia" w:ascii="仿宋_GB2312" w:hAnsi="仿宋" w:eastAsia="仿宋_GB2312"/>
          <w:kern w:val="2"/>
          <w:sz w:val="32"/>
          <w:lang w:eastAsia="zh-CN"/>
        </w:rPr>
        <w:t>、</w:t>
      </w:r>
      <w:r>
        <w:rPr>
          <w:rFonts w:ascii="仿宋_GB2312" w:hAnsi="仿宋" w:eastAsia="仿宋_GB2312"/>
          <w:kern w:val="2"/>
          <w:sz w:val="32"/>
        </w:rPr>
        <w:t>阿坝州媒体服务中心（阿坝州新时代文明实践中心、阿坝州国防教育中心），阿坝州电影公司、阿坝州新华书店。其中：行政单位1个：中共阿坝州委宣传部，其他事业单位4个：阿坝州委讲师团、阿坝州媒体服务中心（阿坝州新时代文明实践中心、阿坝州国防教育中心）、阿坝州电影服务中心、阿坝州新华书店。</w:t>
      </w:r>
      <w:r>
        <w:rPr>
          <w:rFonts w:ascii="仿宋_GB2312" w:eastAsia="仿宋_GB2312" w:cs="仿宋_GB2312"/>
          <w:sz w:val="32"/>
          <w:szCs w:val="32"/>
          <w:shd w:val="clear" w:color="auto" w:fill="FFFFFF"/>
        </w:rPr>
        <w:t>比上年增加0个；独立核算机构数共5个，比上年增加0个</w:t>
      </w:r>
      <w:r>
        <w:rPr>
          <w:rStyle w:val="24"/>
          <w:rFonts w:hint="eastAsia" w:ascii="仿宋_GB2312" w:hAnsi="宋体" w:eastAsia="仿宋_GB2312" w:cs="仿宋_GB2312"/>
          <w:sz w:val="32"/>
          <w:szCs w:val="32"/>
          <w:shd w:val="clear" w:color="auto" w:fill="FFFFFF"/>
        </w:rPr>
        <w:t>。</w:t>
      </w:r>
    </w:p>
    <w:p w14:paraId="0C205F77">
      <w:pPr>
        <w:pStyle w:val="23"/>
        <w:shd w:val="clear" w:color="auto" w:fill="FFFFFF"/>
        <w:spacing w:before="0" w:beforeAutospacing="0" w:after="0" w:afterAutospacing="0" w:line="560" w:lineRule="exact"/>
        <w:ind w:firstLine="640" w:firstLineChars="200"/>
        <w:jc w:val="both"/>
        <w:rPr>
          <w:rStyle w:val="24"/>
          <w:rFonts w:hint="eastAsia" w:ascii="仿宋_GB2312" w:eastAsia="仿宋_GB2312" w:cs="仿宋_GB2312"/>
          <w:b w:val="0"/>
          <w:bCs/>
          <w:sz w:val="32"/>
          <w:szCs w:val="32"/>
          <w:shd w:val="clear" w:color="auto" w:fill="FFFFFF"/>
        </w:rPr>
      </w:pPr>
      <w:r>
        <w:rPr>
          <w:rStyle w:val="24"/>
          <w:rFonts w:hint="eastAsia" w:ascii="仿宋_GB2312" w:eastAsia="仿宋_GB2312" w:cs="仿宋_GB2312"/>
          <w:b w:val="0"/>
          <w:bCs/>
          <w:sz w:val="32"/>
          <w:szCs w:val="32"/>
          <w:shd w:val="clear" w:color="auto" w:fill="FFFFFF"/>
        </w:rPr>
        <w:t>中共阿坝州委宣传部内设10个科室，即：办公室、研究室、理论科、宣传教育科、新闻科、对外宣传科、文艺科、出版版权科、精神文明建设工作科、公民思想道德建设工作科、机关党委。</w:t>
      </w:r>
    </w:p>
    <w:p w14:paraId="57F5DA61">
      <w:pPr>
        <w:pStyle w:val="23"/>
        <w:shd w:val="clear" w:color="auto" w:fill="FFFFFF"/>
        <w:spacing w:before="0" w:beforeAutospacing="0" w:after="0" w:afterAutospacing="0" w:line="560" w:lineRule="exact"/>
        <w:ind w:firstLine="640" w:firstLineChars="200"/>
        <w:jc w:val="both"/>
        <w:rPr>
          <w:rStyle w:val="24"/>
          <w:rFonts w:hint="eastAsia" w:ascii="仿宋_GB2312" w:eastAsia="仿宋_GB2312" w:cs="仿宋_GB2312"/>
          <w:b w:val="0"/>
          <w:bCs/>
          <w:sz w:val="32"/>
          <w:szCs w:val="32"/>
          <w:shd w:val="clear" w:color="auto" w:fill="FFFFFF"/>
        </w:rPr>
      </w:pPr>
      <w:r>
        <w:rPr>
          <w:rStyle w:val="24"/>
          <w:rFonts w:hint="eastAsia" w:ascii="仿宋_GB2312" w:eastAsia="仿宋_GB2312" w:cs="仿宋_GB2312"/>
          <w:b w:val="0"/>
          <w:bCs/>
          <w:sz w:val="32"/>
          <w:szCs w:val="32"/>
          <w:shd w:val="clear" w:color="auto" w:fill="FFFFFF"/>
        </w:rPr>
        <w:t>阿坝州媒体服务中心（阿坝州全民国防教育中心）</w:t>
      </w:r>
      <w:r>
        <w:rPr>
          <w:rStyle w:val="24"/>
          <w:rFonts w:hint="eastAsia" w:ascii="仿宋_GB2312" w:eastAsia="仿宋_GB2312" w:cs="仿宋_GB2312"/>
          <w:b w:val="0"/>
          <w:bCs/>
          <w:sz w:val="32"/>
          <w:szCs w:val="32"/>
          <w:shd w:val="clear" w:color="auto" w:fill="FFFFFF"/>
          <w:lang w:eastAsia="zh-CN"/>
        </w:rPr>
        <w:t>、阿坝州全民国防教育中心</w:t>
      </w:r>
      <w:r>
        <w:rPr>
          <w:rStyle w:val="24"/>
          <w:rFonts w:hint="eastAsia" w:ascii="仿宋_GB2312" w:eastAsia="仿宋_GB2312" w:cs="仿宋_GB2312"/>
          <w:b w:val="0"/>
          <w:bCs/>
          <w:sz w:val="32"/>
          <w:szCs w:val="32"/>
          <w:shd w:val="clear" w:color="auto" w:fill="FFFFFF"/>
        </w:rPr>
        <w:t>属宣传部</w:t>
      </w:r>
      <w:r>
        <w:rPr>
          <w:rStyle w:val="24"/>
          <w:rFonts w:hint="eastAsia" w:ascii="仿宋_GB2312" w:eastAsia="仿宋_GB2312" w:cs="仿宋_GB2312"/>
          <w:b w:val="0"/>
          <w:bCs/>
          <w:sz w:val="32"/>
          <w:szCs w:val="32"/>
          <w:shd w:val="clear" w:color="auto" w:fill="FFFFFF"/>
          <w:lang w:eastAsia="zh-CN"/>
        </w:rPr>
        <w:t>部门管理</w:t>
      </w:r>
      <w:r>
        <w:rPr>
          <w:rStyle w:val="24"/>
          <w:rFonts w:hint="eastAsia" w:ascii="仿宋_GB2312" w:eastAsia="仿宋_GB2312" w:cs="仿宋_GB2312"/>
          <w:b w:val="0"/>
          <w:bCs/>
          <w:sz w:val="32"/>
          <w:szCs w:val="32"/>
          <w:shd w:val="clear" w:color="auto" w:fill="FFFFFF"/>
        </w:rPr>
        <w:t>事业机构。</w:t>
      </w:r>
    </w:p>
    <w:p w14:paraId="09B17E52">
      <w:pPr>
        <w:pStyle w:val="23"/>
        <w:shd w:val="clear" w:color="auto" w:fill="FFFFFF"/>
        <w:spacing w:before="0" w:beforeAutospacing="0" w:after="0" w:afterAutospacing="0" w:line="560" w:lineRule="exact"/>
        <w:ind w:firstLine="640" w:firstLineChars="200"/>
        <w:jc w:val="both"/>
        <w:rPr>
          <w:rStyle w:val="24"/>
          <w:rFonts w:hint="eastAsia" w:ascii="仿宋_GB2312" w:eastAsia="仿宋_GB2312" w:cs="仿宋_GB2312"/>
          <w:b w:val="0"/>
          <w:bCs/>
          <w:sz w:val="32"/>
          <w:szCs w:val="32"/>
          <w:shd w:val="clear" w:color="auto" w:fill="FFFFFF"/>
        </w:rPr>
      </w:pPr>
      <w:r>
        <w:rPr>
          <w:rStyle w:val="24"/>
          <w:rFonts w:hint="eastAsia" w:ascii="仿宋_GB2312" w:eastAsia="仿宋_GB2312" w:cs="仿宋_GB2312"/>
          <w:b w:val="0"/>
          <w:bCs/>
          <w:sz w:val="32"/>
          <w:szCs w:val="32"/>
          <w:shd w:val="clear" w:color="auto" w:fill="FFFFFF"/>
        </w:rPr>
        <w:t>阿坝州新华书店内设科室。</w:t>
      </w:r>
    </w:p>
    <w:p w14:paraId="7A56A41F">
      <w:pPr>
        <w:pStyle w:val="23"/>
        <w:shd w:val="clear" w:color="auto" w:fill="FFFFFF"/>
        <w:spacing w:before="0" w:beforeAutospacing="0" w:after="0" w:afterAutospacing="0" w:line="560" w:lineRule="exact"/>
        <w:ind w:firstLine="640" w:firstLineChars="200"/>
        <w:jc w:val="both"/>
        <w:rPr>
          <w:rStyle w:val="24"/>
          <w:rFonts w:hint="eastAsia" w:ascii="仿宋_GB2312" w:eastAsia="仿宋_GB2312" w:cs="仿宋_GB2312"/>
          <w:b w:val="0"/>
          <w:bCs/>
          <w:sz w:val="32"/>
          <w:szCs w:val="32"/>
          <w:shd w:val="clear" w:color="auto" w:fill="FFFFFF"/>
        </w:rPr>
      </w:pPr>
      <w:r>
        <w:rPr>
          <w:rStyle w:val="24"/>
          <w:rFonts w:hint="eastAsia" w:ascii="仿宋_GB2312" w:eastAsia="仿宋_GB2312" w:cs="仿宋_GB2312"/>
          <w:b w:val="0"/>
          <w:bCs/>
          <w:sz w:val="32"/>
          <w:szCs w:val="32"/>
          <w:shd w:val="clear" w:color="auto" w:fill="FFFFFF"/>
        </w:rPr>
        <w:t>阿坝州电影服务中心内设2室1中心1院，即：办公室、财务室、农村数字电影中心、马尔康太平洋电影城两室一中心一院。</w:t>
      </w:r>
    </w:p>
    <w:p w14:paraId="7E1B0E14">
      <w:pPr>
        <w:pStyle w:val="23"/>
        <w:shd w:val="clear" w:color="auto" w:fill="FFFFFF"/>
        <w:spacing w:before="0" w:beforeAutospacing="0" w:after="0" w:afterAutospacing="0" w:line="560" w:lineRule="exact"/>
        <w:ind w:firstLine="640" w:firstLineChars="200"/>
        <w:jc w:val="both"/>
        <w:rPr>
          <w:rStyle w:val="24"/>
          <w:rFonts w:hint="eastAsia" w:ascii="仿宋_GB2312" w:eastAsia="仿宋_GB2312" w:cs="仿宋_GB2312"/>
          <w:b w:val="0"/>
          <w:bCs/>
          <w:sz w:val="32"/>
          <w:szCs w:val="32"/>
          <w:shd w:val="clear" w:color="auto" w:fill="FFFFFF"/>
        </w:rPr>
      </w:pPr>
      <w:r>
        <w:rPr>
          <w:rStyle w:val="24"/>
          <w:rFonts w:hint="eastAsia" w:ascii="仿宋_GB2312" w:eastAsia="仿宋_GB2312" w:cs="仿宋_GB2312"/>
          <w:b w:val="0"/>
          <w:bCs/>
          <w:sz w:val="32"/>
          <w:szCs w:val="32"/>
          <w:shd w:val="clear" w:color="auto" w:fill="FFFFFF"/>
        </w:rPr>
        <w:t>中共阿坝州委讲师团内设3个科室，即：综合科、理论宣讲科、理论调研科。</w:t>
      </w:r>
    </w:p>
    <w:p w14:paraId="02C7C4A9">
      <w:pPr>
        <w:pStyle w:val="2"/>
        <w:spacing w:before="0" w:after="0" w:line="579" w:lineRule="auto"/>
        <w:rPr>
          <w:rFonts w:ascii="黑体" w:eastAsia="黑体"/>
          <w:b w:val="0"/>
          <w:bCs w:val="0"/>
          <w:kern w:val="2"/>
          <w:sz w:val="32"/>
          <w:szCs w:val="32"/>
        </w:rPr>
      </w:pPr>
      <w:bookmarkStart w:id="4" w:name="_Toc16343"/>
      <w:r>
        <w:rPr>
          <w:rFonts w:hint="eastAsia" w:ascii="黑体" w:eastAsia="黑体"/>
          <w:b w:val="0"/>
          <w:bCs w:val="0"/>
          <w:kern w:val="2"/>
          <w:sz w:val="32"/>
          <w:szCs w:val="32"/>
        </w:rPr>
        <w:t>三、收支预算情况说明</w:t>
      </w:r>
      <w:bookmarkEnd w:id="4"/>
    </w:p>
    <w:p w14:paraId="1025E920">
      <w:pPr>
        <w:numPr>
          <w:ilvl w:val="0"/>
          <w:numId w:val="1"/>
        </w:num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按照综合预算的原则，中共阿坝州委宣传部部门所有收入和支出均纳入部门预算管理。收入包括：一般公共预算拨款收入3355.48万元，无事业收入，无其他收入；支出包括：一般公共服务支出</w:t>
      </w:r>
      <w:r>
        <w:rPr>
          <w:rFonts w:hint="eastAsia" w:hAnsi="仿宋" w:cs="黑体"/>
          <w:spacing w:val="-2"/>
          <w:sz w:val="32"/>
        </w:rPr>
        <w:t>1684.99</w:t>
      </w:r>
      <w:r>
        <w:rPr>
          <w:rFonts w:hint="eastAsia" w:ascii="仿宋_GB2312" w:hAnsi="仿宋" w:eastAsia="仿宋_GB2312" w:cs="黑体"/>
          <w:spacing w:val="-2"/>
          <w:sz w:val="32"/>
        </w:rPr>
        <w:t>万元，文化体育与传媒支出1198.27万元，社会保障和就业支出240.76万元，卫生健康支出98.75万元，住房保障支出132.71万元。中共阿坝州委宣传部部门2026年度收支总预算3355.48万元，比2025年收支预算总数2893万元增加462.48万元，增加15.98%。主要原因是：社保基数调增，新增调进人员。</w:t>
      </w:r>
    </w:p>
    <w:p w14:paraId="10826A1A">
      <w:pPr>
        <w:pStyle w:val="3"/>
        <w:spacing w:before="0" w:after="0" w:line="416" w:lineRule="auto"/>
        <w:ind w:firstLine="640" w:firstLineChars="200"/>
        <w:rPr>
          <w:rFonts w:ascii="仿宋_GB2312" w:hAnsi="Calibri" w:eastAsia="仿宋_GB2312"/>
          <w:b w:val="0"/>
          <w:szCs w:val="32"/>
        </w:rPr>
      </w:pPr>
      <w:bookmarkStart w:id="5" w:name="_Toc12789"/>
      <w:r>
        <w:rPr>
          <w:rFonts w:hint="eastAsia" w:ascii="仿宋_GB2312" w:hAnsi="Calibri" w:eastAsia="仿宋_GB2312"/>
          <w:b w:val="0"/>
          <w:szCs w:val="32"/>
        </w:rPr>
        <w:t>（一）收入预算情况</w:t>
      </w:r>
      <w:bookmarkEnd w:id="5"/>
    </w:p>
    <w:p w14:paraId="0F74AFF0">
      <w:pPr>
        <w:pStyle w:val="18"/>
        <w:ind w:firstLine="632" w:firstLineChars="200"/>
        <w:rPr>
          <w:rFonts w:ascii="仿宋_GB2312" w:hAnsi="仿宋" w:eastAsia="仿宋_GB2312" w:cs="黑体"/>
          <w:spacing w:val="-2"/>
          <w:kern w:val="2"/>
          <w:sz w:val="32"/>
        </w:rPr>
      </w:pPr>
      <w:r>
        <w:rPr>
          <w:rFonts w:hint="eastAsia" w:ascii="仿宋_GB2312" w:hAnsi="仿宋" w:eastAsia="仿宋_GB2312" w:cs="黑体"/>
          <w:spacing w:val="-2"/>
          <w:kern w:val="2"/>
          <w:sz w:val="32"/>
        </w:rPr>
        <w:t>中共阿坝州委宣传部部门2026年度收入预算3355.48万元，其中：一般公共预算拨款收入3355.48万元，占100%；无事业收入；无其他收入。</w:t>
      </w:r>
    </w:p>
    <w:p w14:paraId="7323E2B5">
      <w:pPr>
        <w:pStyle w:val="3"/>
        <w:spacing w:before="0" w:after="0" w:line="416" w:lineRule="auto"/>
        <w:ind w:firstLine="640" w:firstLineChars="200"/>
        <w:rPr>
          <w:rFonts w:ascii="仿宋_GB2312" w:hAnsi="Calibri" w:eastAsia="仿宋_GB2312"/>
          <w:b w:val="0"/>
          <w:szCs w:val="32"/>
        </w:rPr>
      </w:pPr>
      <w:bookmarkStart w:id="6" w:name="_Toc22662"/>
      <w:r>
        <w:rPr>
          <w:rFonts w:hint="eastAsia" w:ascii="仿宋_GB2312" w:hAnsi="Calibri" w:eastAsia="仿宋_GB2312"/>
          <w:b w:val="0"/>
          <w:szCs w:val="32"/>
        </w:rPr>
        <w:t>（二）支出预算情况</w:t>
      </w:r>
      <w:bookmarkEnd w:id="6"/>
    </w:p>
    <w:p w14:paraId="0FAF19E8">
      <w:pPr>
        <w:pStyle w:val="18"/>
        <w:ind w:firstLine="632" w:firstLineChars="200"/>
        <w:rPr>
          <w:rFonts w:ascii="仿宋_GB2312" w:hAnsi="仿宋" w:eastAsia="仿宋_GB2312" w:cs="黑体"/>
          <w:spacing w:val="-2"/>
          <w:kern w:val="2"/>
          <w:sz w:val="32"/>
        </w:rPr>
      </w:pPr>
      <w:r>
        <w:rPr>
          <w:rFonts w:hint="eastAsia" w:ascii="仿宋_GB2312" w:hAnsi="仿宋" w:eastAsia="仿宋_GB2312" w:cs="黑体"/>
          <w:spacing w:val="-2"/>
          <w:kern w:val="2"/>
          <w:sz w:val="32"/>
        </w:rPr>
        <w:t>中共阿坝州委宣传部部门2026年支出预算3355.48万元，其中：基本支出2226.52万元，占66.36%；项目支出1128.96万元，占33.64%。</w:t>
      </w:r>
    </w:p>
    <w:p w14:paraId="19CA125E">
      <w:pPr>
        <w:pStyle w:val="2"/>
        <w:numPr>
          <w:ilvl w:val="0"/>
          <w:numId w:val="2"/>
        </w:numPr>
        <w:spacing w:before="0" w:after="0" w:line="579" w:lineRule="auto"/>
        <w:rPr>
          <w:rFonts w:ascii="黑体" w:eastAsia="黑体"/>
          <w:b w:val="0"/>
          <w:bCs w:val="0"/>
          <w:kern w:val="2"/>
          <w:sz w:val="32"/>
          <w:szCs w:val="32"/>
        </w:rPr>
      </w:pPr>
      <w:bookmarkStart w:id="7" w:name="_Toc2310"/>
      <w:r>
        <w:rPr>
          <w:rFonts w:hint="eastAsia" w:ascii="黑体" w:eastAsia="黑体"/>
          <w:b w:val="0"/>
          <w:bCs w:val="0"/>
          <w:kern w:val="2"/>
          <w:sz w:val="32"/>
          <w:szCs w:val="32"/>
        </w:rPr>
        <w:t>财政拨款收支预算情况说明</w:t>
      </w:r>
      <w:bookmarkEnd w:id="7"/>
    </w:p>
    <w:p w14:paraId="193A30BE">
      <w:p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中共阿坝州委宣传部</w:t>
      </w:r>
      <w:r>
        <w:rPr>
          <w:rFonts w:hint="eastAsia" w:hAnsi="仿宋" w:cs="黑体"/>
          <w:spacing w:val="-2"/>
          <w:sz w:val="32"/>
        </w:rPr>
        <w:t>部门</w:t>
      </w:r>
      <w:r>
        <w:rPr>
          <w:rFonts w:hint="eastAsia" w:ascii="仿宋_GB2312" w:hAnsi="仿宋" w:eastAsia="仿宋_GB2312" w:cs="黑体"/>
          <w:spacing w:val="-2"/>
          <w:sz w:val="32"/>
        </w:rPr>
        <w:t>2026年度财政拨款收支总预算万3355.48元, 比2025年收支预算总数2893万元增加462.48万元，增加15.98%。主要原因是：社保基数调增，新增调进人员。</w:t>
      </w:r>
    </w:p>
    <w:p w14:paraId="5BD57C06">
      <w:p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收入包括：</w:t>
      </w:r>
      <w:r>
        <w:rPr>
          <w:rFonts w:hint="eastAsia" w:hAnsi="仿宋" w:cs="黑体"/>
          <w:spacing w:val="-2"/>
          <w:sz w:val="32"/>
        </w:rPr>
        <w:t>2026</w:t>
      </w:r>
      <w:r>
        <w:rPr>
          <w:rFonts w:hint="eastAsia" w:ascii="仿宋_GB2312" w:hAnsi="仿宋" w:eastAsia="仿宋_GB2312" w:cs="黑体"/>
          <w:spacing w:val="-2"/>
          <w:sz w:val="32"/>
        </w:rPr>
        <w:t>年</w:t>
      </w:r>
      <w:r>
        <w:rPr>
          <w:rFonts w:hint="eastAsia" w:hAnsi="仿宋" w:cs="黑体"/>
          <w:spacing w:val="-2"/>
          <w:sz w:val="32"/>
        </w:rPr>
        <w:t>度</w:t>
      </w:r>
      <w:r>
        <w:rPr>
          <w:rFonts w:hint="eastAsia" w:ascii="仿宋_GB2312" w:hAnsi="仿宋" w:eastAsia="仿宋_GB2312" w:cs="黑体"/>
          <w:spacing w:val="-2"/>
          <w:sz w:val="32"/>
        </w:rPr>
        <w:t>一般公共预算拨款收入</w:t>
      </w:r>
      <w:r>
        <w:rPr>
          <w:rFonts w:hint="eastAsia" w:hAnsi="仿宋" w:cs="黑体"/>
          <w:spacing w:val="-2"/>
          <w:sz w:val="32"/>
        </w:rPr>
        <w:t>3355.48</w:t>
      </w:r>
      <w:r>
        <w:rPr>
          <w:rFonts w:hint="eastAsia" w:ascii="仿宋_GB2312" w:hAnsi="仿宋" w:eastAsia="仿宋_GB2312" w:cs="黑体"/>
          <w:spacing w:val="-2"/>
          <w:sz w:val="32"/>
        </w:rPr>
        <w:t>万元。</w:t>
      </w:r>
      <w:r>
        <w:rPr>
          <w:rFonts w:hint="eastAsia" w:ascii="仿宋_GB2312" w:hAnsi="仿宋" w:eastAsia="仿宋_GB2312" w:cs="黑体"/>
          <w:spacing w:val="-2"/>
          <w:sz w:val="32"/>
        </w:rPr>
        <w:br w:type="textWrapping"/>
      </w:r>
      <w:r>
        <w:rPr>
          <w:rFonts w:hint="eastAsia" w:ascii="仿宋_GB2312" w:hAnsi="仿宋" w:eastAsia="仿宋_GB2312" w:cs="黑体"/>
          <w:spacing w:val="-2"/>
          <w:sz w:val="32"/>
        </w:rPr>
        <w:t>　　支出包括：一般公共服务支出</w:t>
      </w:r>
      <w:r>
        <w:rPr>
          <w:rFonts w:hint="eastAsia" w:hAnsi="仿宋" w:cs="黑体"/>
          <w:spacing w:val="-2"/>
          <w:sz w:val="32"/>
        </w:rPr>
        <w:t>1684.99</w:t>
      </w:r>
      <w:r>
        <w:rPr>
          <w:rFonts w:hint="eastAsia" w:ascii="仿宋_GB2312" w:hAnsi="仿宋" w:eastAsia="仿宋_GB2312" w:cs="黑体"/>
          <w:spacing w:val="-2"/>
          <w:sz w:val="32"/>
        </w:rPr>
        <w:t>万元，文化体育与传媒支出1198.27万元，社会保障和就业支出240.76万元，卫生健康支出98.75万元，住房保障支出132.71万元。</w:t>
      </w:r>
    </w:p>
    <w:p w14:paraId="621CC739">
      <w:pPr>
        <w:pStyle w:val="20"/>
        <w:spacing w:before="0" w:line="360" w:lineRule="auto"/>
        <w:rPr>
          <w:rFonts w:ascii="黑体" w:eastAsia="黑体"/>
          <w:kern w:val="2"/>
          <w:sz w:val="32"/>
          <w:szCs w:val="32"/>
        </w:rPr>
      </w:pPr>
      <w:bookmarkStart w:id="8" w:name="_Toc31262"/>
      <w:r>
        <w:rPr>
          <w:rFonts w:hint="eastAsia" w:ascii="黑体" w:eastAsia="黑体"/>
          <w:kern w:val="2"/>
          <w:sz w:val="32"/>
          <w:szCs w:val="32"/>
        </w:rPr>
        <w:t>五、一般公共预算当年拨款情况说明</w:t>
      </w:r>
      <w:bookmarkEnd w:id="8"/>
    </w:p>
    <w:p w14:paraId="478C9B26">
      <w:pPr>
        <w:pStyle w:val="3"/>
        <w:spacing w:before="0" w:after="0" w:line="416" w:lineRule="auto"/>
        <w:ind w:firstLine="640" w:firstLineChars="200"/>
        <w:rPr>
          <w:rFonts w:ascii="仿宋_GB2312" w:hAnsi="Calibri" w:eastAsia="仿宋_GB2312"/>
          <w:b w:val="0"/>
          <w:szCs w:val="32"/>
        </w:rPr>
      </w:pPr>
      <w:bookmarkStart w:id="9" w:name="_Toc4474"/>
      <w:r>
        <w:rPr>
          <w:rFonts w:hint="eastAsia" w:ascii="仿宋_GB2312" w:hAnsi="Calibri" w:eastAsia="仿宋_GB2312"/>
          <w:b w:val="0"/>
          <w:szCs w:val="32"/>
        </w:rPr>
        <w:t>（一）一般公共预算当年拨款规模变化情况</w:t>
      </w:r>
      <w:bookmarkEnd w:id="9"/>
    </w:p>
    <w:p w14:paraId="159353C4">
      <w:pPr>
        <w:ind w:firstLine="632" w:firstLineChars="200"/>
        <w:rPr>
          <w:rFonts w:ascii="仿宋_GB2312" w:hAnsi="仿宋" w:eastAsia="仿宋_GB2312" w:cs="黑体"/>
          <w:spacing w:val="-2"/>
          <w:sz w:val="32"/>
        </w:rPr>
      </w:pPr>
      <w:r>
        <w:rPr>
          <w:rFonts w:hint="eastAsia" w:ascii="仿宋_GB2312" w:hAnsi="仿宋_GB2312" w:eastAsia="仿宋_GB2312" w:cs="仿宋_GB2312"/>
          <w:spacing w:val="-2"/>
          <w:sz w:val="32"/>
        </w:rPr>
        <w:t>中共阿坝州委宣传部部门2026年度一般公共预算当年拨款3355.48万元，</w:t>
      </w:r>
      <w:bookmarkStart w:id="10" w:name="_Toc29743"/>
      <w:r>
        <w:rPr>
          <w:rFonts w:hint="eastAsia" w:ascii="仿宋_GB2312" w:hAnsi="仿宋" w:eastAsia="仿宋_GB2312" w:cs="黑体"/>
          <w:spacing w:val="-2"/>
          <w:sz w:val="32"/>
        </w:rPr>
        <w:t>比2025年收支预算总数2893万元增加462.48万元，增加15.98%。主要原因是：社保基数调增，新增调进人员。</w:t>
      </w:r>
    </w:p>
    <w:p w14:paraId="24BEEFC7">
      <w:pPr>
        <w:ind w:firstLine="640" w:firstLineChars="200"/>
        <w:rPr>
          <w:rFonts w:ascii="仿宋_GB2312" w:hAnsi="仿宋_GB2312" w:eastAsia="仿宋_GB2312" w:cs="仿宋_GB2312"/>
          <w:b/>
          <w:spacing w:val="-2"/>
        </w:rPr>
      </w:pPr>
      <w:r>
        <w:rPr>
          <w:rFonts w:hint="eastAsia" w:ascii="仿宋_GB2312" w:eastAsia="仿宋_GB2312"/>
          <w:sz w:val="32"/>
          <w:szCs w:val="32"/>
        </w:rPr>
        <w:t>（</w:t>
      </w:r>
      <w:r>
        <w:rPr>
          <w:rFonts w:hint="eastAsia" w:ascii="仿宋_GB2312" w:hAnsi="仿宋_GB2312" w:eastAsia="仿宋_GB2312" w:cs="仿宋_GB2312"/>
          <w:spacing w:val="-2"/>
          <w:sz w:val="32"/>
        </w:rPr>
        <w:t>二）一般公共预算当年拨款结构情况</w:t>
      </w:r>
      <w:bookmarkEnd w:id="10"/>
    </w:p>
    <w:p w14:paraId="12BC5FD9">
      <w:pPr>
        <w:ind w:firstLine="632" w:firstLineChars="200"/>
        <w:rPr>
          <w:rFonts w:ascii="仿宋_GB2312" w:hAnsi="仿宋" w:eastAsia="仿宋_GB2312" w:cs="黑体"/>
          <w:spacing w:val="-2"/>
          <w:sz w:val="32"/>
        </w:rPr>
      </w:pPr>
      <w:r>
        <w:rPr>
          <w:rFonts w:hint="eastAsia" w:ascii="仿宋_GB2312" w:hAnsi="仿宋_GB2312" w:eastAsia="仿宋_GB2312" w:cs="仿宋_GB2312"/>
          <w:spacing w:val="-2"/>
          <w:sz w:val="32"/>
        </w:rPr>
        <w:t>中共阿坝州委宣传部部门一般公共预算当年拨款收入3355.48万元。其中：</w:t>
      </w:r>
      <w:r>
        <w:rPr>
          <w:rFonts w:hint="eastAsia" w:ascii="仿宋_GB2312" w:hAnsi="仿宋" w:eastAsia="仿宋_GB2312" w:cs="黑体"/>
          <w:spacing w:val="-2"/>
          <w:sz w:val="32"/>
        </w:rPr>
        <w:t>一般公共服务支出</w:t>
      </w:r>
      <w:r>
        <w:rPr>
          <w:rFonts w:hint="eastAsia" w:hAnsi="仿宋" w:cs="黑体"/>
          <w:spacing w:val="-2"/>
          <w:sz w:val="32"/>
        </w:rPr>
        <w:t>1684.99</w:t>
      </w:r>
      <w:r>
        <w:rPr>
          <w:rFonts w:hint="eastAsia" w:ascii="仿宋_GB2312" w:hAnsi="仿宋" w:eastAsia="仿宋_GB2312" w:cs="黑体"/>
          <w:spacing w:val="-2"/>
          <w:sz w:val="32"/>
        </w:rPr>
        <w:t>万元，文化体育与传媒支出1198.27万元，社会保障和就业支出240.76万元，卫生健康支出98.75万元，住房保障支出132.71万元。</w:t>
      </w:r>
      <w:r>
        <w:rPr>
          <w:rFonts w:hint="eastAsia" w:ascii="仿宋_GB2312" w:hAnsi="仿宋_GB2312" w:eastAsia="仿宋_GB2312" w:cs="仿宋_GB2312"/>
          <w:spacing w:val="-2"/>
          <w:sz w:val="32"/>
        </w:rPr>
        <w:t>中共阿坝州委宣传部部门2026年度收支总预算3355.48万元，</w:t>
      </w:r>
      <w:r>
        <w:rPr>
          <w:rFonts w:hint="eastAsia" w:ascii="仿宋_GB2312" w:hAnsi="仿宋" w:eastAsia="仿宋_GB2312" w:cs="黑体"/>
          <w:spacing w:val="-2"/>
          <w:sz w:val="32"/>
        </w:rPr>
        <w:t>比2025年收支预算总数2893万元增加462.48万元，增加15.98%。主要原因是：社保基数调增，新增调进人员。</w:t>
      </w:r>
    </w:p>
    <w:p w14:paraId="04C08666">
      <w:pPr>
        <w:pStyle w:val="3"/>
        <w:spacing w:before="0" w:after="0" w:line="416" w:lineRule="auto"/>
        <w:ind w:firstLine="640" w:firstLineChars="200"/>
        <w:rPr>
          <w:rFonts w:ascii="仿宋_GB2312" w:hAnsi="Calibri" w:eastAsia="仿宋_GB2312"/>
          <w:b w:val="0"/>
          <w:szCs w:val="32"/>
        </w:rPr>
      </w:pPr>
      <w:bookmarkStart w:id="11" w:name="_Toc22437"/>
      <w:r>
        <w:rPr>
          <w:rFonts w:hint="eastAsia" w:ascii="仿宋_GB2312" w:hAnsi="Calibri" w:eastAsia="仿宋_GB2312"/>
          <w:b w:val="0"/>
          <w:szCs w:val="32"/>
        </w:rPr>
        <w:t>（三）一般公共预算当年拨款具体使用情况</w:t>
      </w:r>
      <w:bookmarkEnd w:id="11"/>
    </w:p>
    <w:p w14:paraId="798490A8">
      <w:pPr>
        <w:pStyle w:val="22"/>
        <w:spacing w:line="600" w:lineRule="exact"/>
        <w:ind w:firstLine="640" w:firstLineChars="200"/>
        <w:rPr>
          <w:rFonts w:ascii="仿宋_GB2312" w:eastAsia="仿宋_GB2312"/>
          <w:sz w:val="32"/>
          <w:szCs w:val="32"/>
        </w:rPr>
      </w:pPr>
      <w:bookmarkStart w:id="12" w:name="_Toc14515"/>
      <w:r>
        <w:rPr>
          <w:rFonts w:hint="eastAsia" w:ascii="仿宋_GB2312" w:eastAsia="仿宋_GB2312"/>
          <w:sz w:val="32"/>
          <w:szCs w:val="32"/>
        </w:rPr>
        <w:t>1.一般公共服务201（类）宣传事务33（款）行政运行01（项）支出708.02万元：主要用于行政单位（包括实行公务员管理的事业单位）的基本支出。</w:t>
      </w:r>
    </w:p>
    <w:p w14:paraId="18D8895F">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2.一般公共服务201（类）宣传事务33（款）一般行政管理事务02（项）支出675.24万元：主要用于行政单位（包括实行公务员管理的事业单位）未单独设置项级科目的其他项目支出。</w:t>
      </w:r>
    </w:p>
    <w:p w14:paraId="5FDC738E">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3.一般公共服务支出201（类）33宣传事务50（款）事业运行（项）支出232.44万元：主要用于事业单位的基本支出，不包括行政单位（包括实行公务员管理的事业单位）后勤服务中心、医务室等附属事业单位。</w:t>
      </w:r>
    </w:p>
    <w:p w14:paraId="38564106">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4.文化旅游体育与传媒207（类）新闻出版电影06（款）出版发行05（项）支出705.53万元：主要用于图书、报纸、期刊、音像、电子、网络出版物出版、印刷复印和发行等方面的支出。</w:t>
      </w:r>
    </w:p>
    <w:p w14:paraId="6C0468AB">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5.文化旅游体育与传媒207（类）新闻出版电影06（款）电影07（项）支出492.74万元：主要用于电影制片、发行、放映等方面的支出。</w:t>
      </w:r>
    </w:p>
    <w:p w14:paraId="3B6D9B6F">
      <w:pPr>
        <w:pStyle w:val="22"/>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6.宣传管理201（类）33（款）04（项）支出13万元，主要用于宣讲等方面的支出。</w:t>
      </w:r>
    </w:p>
    <w:p w14:paraId="5139CCC9">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7.社会保障和就业支出208（类）行政事业单位养老支出05（款）机关事业单位基本养老保险缴费指出05（项）支出193.72万元：主要用于机关事业单位实施养老保险制度由单位缴纳的基本养老保险费支出。</w:t>
      </w:r>
    </w:p>
    <w:p w14:paraId="18A1BD38">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8.社会保障和就业支出208（类）行政事业单位养老支出05（款）机关事业单位职业年金缴费指出06（项）支出96.86万元：主要用于机关事业单位实施养老保险制度由单位实际缴纳的职业年金支出。</w:t>
      </w:r>
    </w:p>
    <w:p w14:paraId="60CE60FB">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9.卫生健康支出210（类）行政事业单位医疗11（款）行政单位医疗01（项）支出36.41万元：主要用于财政部门集中安排的行政单位（包括实习公务员管理的事业单位）基本医疗保险缴费经费，未参加医疗保险的行政单位的公费医疗经费，按国家规定享受离休人员、红军老战士待遇人员的医疗经费。</w:t>
      </w:r>
    </w:p>
    <w:p w14:paraId="4D250528">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11.卫生健康支出210（类）行政事业单位医疗11（款）事业单位医疗02（项）支出58.73万元：主要用于</w:t>
      </w:r>
      <w:r>
        <w:rPr>
          <w:rFonts w:hint="eastAsia" w:ascii="仿宋_GB2312" w:eastAsia="仿宋_GB2312"/>
          <w:color w:val="000000"/>
          <w:sz w:val="32"/>
          <w:szCs w:val="32"/>
        </w:rPr>
        <w:t>事业单位缴纳的医疗保险费支出。</w:t>
      </w:r>
    </w:p>
    <w:p w14:paraId="31AD0C5F">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12.卫生健康支出210（类）行政事业单位医疗11（款）公务员医疗补助03（项）支出7.14万元：主要用于财政部门安排的公务员医疗补助经费。</w:t>
      </w:r>
    </w:p>
    <w:p w14:paraId="729D465A">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13.卫生健康支出210（类）行政事业单位医疗11（款）其他行政事业单位医疗支出99（项）支出24.28万元：主要用于事业单位缴纳的机关事业单位补充医保支出。</w:t>
      </w:r>
    </w:p>
    <w:p w14:paraId="077CC50F">
      <w:pPr>
        <w:pStyle w:val="22"/>
        <w:spacing w:line="600" w:lineRule="exact"/>
        <w:ind w:firstLine="640" w:firstLineChars="200"/>
        <w:rPr>
          <w:rFonts w:ascii="仿宋_GB2312" w:eastAsia="仿宋_GB2312"/>
          <w:sz w:val="32"/>
          <w:szCs w:val="32"/>
        </w:rPr>
      </w:pPr>
      <w:r>
        <w:rPr>
          <w:rFonts w:hint="eastAsia" w:ascii="仿宋_GB2312" w:eastAsia="仿宋_GB2312"/>
          <w:sz w:val="32"/>
          <w:szCs w:val="32"/>
        </w:rPr>
        <w:t>14.住房保障支出221（类）住房改革支出02（款）住房公积金01（项）支出162.75万元:主要用于行政事业单位按人力资源和社会保障部、财政部规定的基本工资和津贴补贴以及规定比例为职工缴纳的住房公积金。</w:t>
      </w:r>
    </w:p>
    <w:p w14:paraId="402EC43A">
      <w:pPr>
        <w:pStyle w:val="2"/>
        <w:spacing w:before="0" w:after="0" w:line="579" w:lineRule="auto"/>
        <w:rPr>
          <w:rFonts w:ascii="黑体" w:eastAsia="黑体"/>
          <w:b w:val="0"/>
          <w:bCs w:val="0"/>
          <w:kern w:val="2"/>
          <w:sz w:val="32"/>
          <w:szCs w:val="32"/>
        </w:rPr>
      </w:pPr>
      <w:r>
        <w:rPr>
          <w:rFonts w:hint="eastAsia" w:ascii="黑体" w:eastAsia="黑体"/>
          <w:b w:val="0"/>
          <w:bCs w:val="0"/>
          <w:kern w:val="2"/>
          <w:sz w:val="32"/>
          <w:szCs w:val="32"/>
        </w:rPr>
        <w:t>六、一般公共预算基本支出情况说明</w:t>
      </w:r>
      <w:bookmarkEnd w:id="12"/>
    </w:p>
    <w:p w14:paraId="505E2D62">
      <w:pPr>
        <w:pStyle w:val="20"/>
        <w:spacing w:before="0" w:line="360" w:lineRule="auto"/>
        <w:ind w:firstLine="640" w:firstLineChars="200"/>
        <w:rPr>
          <w:rFonts w:cs="仿宋_GB2312"/>
          <w:kern w:val="2"/>
          <w:sz w:val="32"/>
          <w:szCs w:val="32"/>
        </w:rPr>
      </w:pPr>
      <w:r>
        <w:rPr>
          <w:rFonts w:hint="eastAsia" w:cs="仿宋_GB2312"/>
          <w:kern w:val="2"/>
          <w:sz w:val="32"/>
          <w:szCs w:val="32"/>
        </w:rPr>
        <w:t>中共阿坝州委宣传部部门2026年度一般公共预算基本支出2226.52万元，其中：人员经费1953.69万元，公用经费272.84万元。</w:t>
      </w:r>
    </w:p>
    <w:p w14:paraId="16BA3FCE">
      <w:pPr>
        <w:pStyle w:val="20"/>
        <w:spacing w:before="0" w:line="360" w:lineRule="auto"/>
        <w:ind w:firstLine="640" w:firstLineChars="200"/>
        <w:rPr>
          <w:rFonts w:cs="仿宋_GB2312"/>
          <w:kern w:val="2"/>
          <w:sz w:val="32"/>
          <w:szCs w:val="32"/>
        </w:rPr>
      </w:pPr>
      <w:r>
        <w:rPr>
          <w:rFonts w:hint="eastAsia" w:cs="仿宋_GB2312"/>
          <w:kern w:val="2"/>
          <w:sz w:val="32"/>
          <w:szCs w:val="32"/>
        </w:rPr>
        <w:t>其中：人员经费1953.69万元，主要包括：基本工资172.32万元、津贴补贴162.97万元、奖金139.26万元、其他社会保障缴费20.99万元、绩效工资178.75万元、机关事业单位基本养老保险缴费297.85万元、职业年金缴费88.93万元、行政单位医疗缴费157.54万元、事业单位医疗188.18万元、公务员医疗补助缴费39.09万元、其他行政事业单位医疗支出缴费77.36万元、住房公积金3363.14万元、生活补助126.82万元、奖励金0.02万元、其他工资福利37.2万元。</w:t>
      </w:r>
    </w:p>
    <w:p w14:paraId="588B04E3">
      <w:pPr>
        <w:pStyle w:val="20"/>
        <w:spacing w:before="0" w:line="360" w:lineRule="auto"/>
        <w:ind w:firstLine="640" w:firstLineChars="200"/>
        <w:rPr>
          <w:rFonts w:cs="仿宋_GB2312"/>
          <w:color w:val="auto"/>
          <w:kern w:val="2"/>
          <w:sz w:val="32"/>
          <w:szCs w:val="32"/>
        </w:rPr>
      </w:pPr>
      <w:r>
        <w:rPr>
          <w:rFonts w:hint="eastAsia" w:cs="仿宋_GB2312"/>
          <w:color w:val="auto"/>
          <w:kern w:val="2"/>
          <w:sz w:val="32"/>
          <w:szCs w:val="32"/>
        </w:rPr>
        <w:t>公用经费272.84万元，主要包括：办公费</w:t>
      </w:r>
      <w:r>
        <w:rPr>
          <w:rFonts w:hint="eastAsia" w:cs="仿宋_GB2312"/>
          <w:color w:val="auto"/>
          <w:kern w:val="2"/>
          <w:sz w:val="32"/>
          <w:szCs w:val="32"/>
          <w:lang w:val="en-US" w:eastAsia="zh-CN"/>
        </w:rPr>
        <w:t>7.49</w:t>
      </w:r>
      <w:r>
        <w:rPr>
          <w:rFonts w:hint="eastAsia" w:cs="仿宋_GB2312"/>
          <w:color w:val="auto"/>
          <w:kern w:val="2"/>
          <w:sz w:val="32"/>
          <w:szCs w:val="32"/>
        </w:rPr>
        <w:t>万元、水费</w:t>
      </w:r>
      <w:r>
        <w:rPr>
          <w:rFonts w:hint="eastAsia" w:cs="仿宋_GB2312"/>
          <w:color w:val="auto"/>
          <w:kern w:val="2"/>
          <w:sz w:val="32"/>
          <w:szCs w:val="32"/>
          <w:lang w:val="en-US" w:eastAsia="zh-CN"/>
        </w:rPr>
        <w:t>2.43</w:t>
      </w:r>
      <w:r>
        <w:rPr>
          <w:rFonts w:hint="eastAsia" w:cs="仿宋_GB2312"/>
          <w:color w:val="auto"/>
          <w:kern w:val="2"/>
          <w:sz w:val="32"/>
          <w:szCs w:val="32"/>
        </w:rPr>
        <w:t>万元、邮电费</w:t>
      </w:r>
      <w:r>
        <w:rPr>
          <w:rFonts w:hint="eastAsia" w:cs="仿宋_GB2312"/>
          <w:color w:val="auto"/>
          <w:kern w:val="2"/>
          <w:sz w:val="32"/>
          <w:szCs w:val="32"/>
          <w:lang w:val="en-US" w:eastAsia="zh-CN"/>
        </w:rPr>
        <w:t>18.83</w:t>
      </w:r>
      <w:r>
        <w:rPr>
          <w:rFonts w:hint="eastAsia" w:cs="仿宋_GB2312"/>
          <w:color w:val="auto"/>
          <w:kern w:val="2"/>
          <w:sz w:val="32"/>
          <w:szCs w:val="32"/>
        </w:rPr>
        <w:t>万元、取暖费</w:t>
      </w:r>
      <w:r>
        <w:rPr>
          <w:rFonts w:hint="eastAsia" w:cs="仿宋_GB2312"/>
          <w:color w:val="auto"/>
          <w:kern w:val="2"/>
          <w:sz w:val="32"/>
          <w:szCs w:val="32"/>
          <w:lang w:val="en-US" w:eastAsia="zh-CN"/>
        </w:rPr>
        <w:t>3.24</w:t>
      </w:r>
      <w:r>
        <w:rPr>
          <w:rFonts w:hint="eastAsia" w:cs="仿宋_GB2312"/>
          <w:color w:val="auto"/>
          <w:kern w:val="2"/>
          <w:sz w:val="32"/>
          <w:szCs w:val="32"/>
        </w:rPr>
        <w:t>万元、差旅费</w:t>
      </w:r>
      <w:r>
        <w:rPr>
          <w:rFonts w:hint="eastAsia" w:cs="仿宋_GB2312"/>
          <w:color w:val="auto"/>
          <w:kern w:val="2"/>
          <w:sz w:val="32"/>
          <w:szCs w:val="32"/>
          <w:lang w:val="en-US" w:eastAsia="zh-CN"/>
        </w:rPr>
        <w:t>53.54</w:t>
      </w:r>
      <w:r>
        <w:rPr>
          <w:rFonts w:hint="eastAsia" w:cs="仿宋_GB2312"/>
          <w:color w:val="auto"/>
          <w:kern w:val="2"/>
          <w:sz w:val="32"/>
          <w:szCs w:val="32"/>
        </w:rPr>
        <w:t>万元、维修（护）费</w:t>
      </w:r>
      <w:r>
        <w:rPr>
          <w:rFonts w:hint="eastAsia" w:cs="仿宋_GB2312"/>
          <w:color w:val="auto"/>
          <w:kern w:val="2"/>
          <w:sz w:val="32"/>
          <w:szCs w:val="32"/>
          <w:lang w:val="en-US" w:eastAsia="zh-CN"/>
        </w:rPr>
        <w:t>3.56</w:t>
      </w:r>
      <w:r>
        <w:rPr>
          <w:rFonts w:hint="eastAsia" w:cs="仿宋_GB2312"/>
          <w:color w:val="auto"/>
          <w:kern w:val="2"/>
          <w:sz w:val="32"/>
          <w:szCs w:val="32"/>
        </w:rPr>
        <w:t>万元、培训费</w:t>
      </w:r>
      <w:r>
        <w:rPr>
          <w:rFonts w:hint="eastAsia" w:cs="仿宋_GB2312"/>
          <w:color w:val="auto"/>
          <w:kern w:val="2"/>
          <w:sz w:val="32"/>
          <w:szCs w:val="32"/>
          <w:lang w:val="en-US" w:eastAsia="zh-CN"/>
        </w:rPr>
        <w:t>10.91</w:t>
      </w:r>
      <w:r>
        <w:rPr>
          <w:rFonts w:hint="eastAsia" w:cs="仿宋_GB2312"/>
          <w:color w:val="auto"/>
          <w:kern w:val="2"/>
          <w:sz w:val="32"/>
          <w:szCs w:val="32"/>
        </w:rPr>
        <w:t>万元、公务接待费</w:t>
      </w:r>
      <w:r>
        <w:rPr>
          <w:rFonts w:hint="eastAsia" w:cs="仿宋_GB2312"/>
          <w:color w:val="auto"/>
          <w:kern w:val="2"/>
          <w:sz w:val="32"/>
          <w:szCs w:val="32"/>
          <w:lang w:val="en-US" w:eastAsia="zh-CN"/>
        </w:rPr>
        <w:t>4.13</w:t>
      </w:r>
      <w:r>
        <w:rPr>
          <w:rFonts w:hint="eastAsia" w:cs="仿宋_GB2312"/>
          <w:color w:val="auto"/>
          <w:kern w:val="2"/>
          <w:sz w:val="32"/>
          <w:szCs w:val="32"/>
        </w:rPr>
        <w:t>万元、公务用车运行费</w:t>
      </w:r>
      <w:r>
        <w:rPr>
          <w:rFonts w:hint="eastAsia" w:cs="仿宋_GB2312"/>
          <w:color w:val="auto"/>
          <w:kern w:val="2"/>
          <w:sz w:val="32"/>
          <w:szCs w:val="32"/>
          <w:lang w:val="en-US" w:eastAsia="zh-CN"/>
        </w:rPr>
        <w:t>151.7</w:t>
      </w:r>
      <w:r>
        <w:rPr>
          <w:rFonts w:hint="eastAsia" w:cs="仿宋_GB2312"/>
          <w:color w:val="auto"/>
          <w:kern w:val="2"/>
          <w:sz w:val="32"/>
          <w:szCs w:val="32"/>
        </w:rPr>
        <w:t>万元、其他商品和服务支出</w:t>
      </w:r>
      <w:r>
        <w:rPr>
          <w:rFonts w:hint="eastAsia" w:cs="仿宋_GB2312"/>
          <w:color w:val="auto"/>
          <w:kern w:val="2"/>
          <w:sz w:val="32"/>
          <w:szCs w:val="32"/>
          <w:lang w:val="en-US" w:eastAsia="zh-CN"/>
        </w:rPr>
        <w:t>17.01</w:t>
      </w:r>
      <w:r>
        <w:rPr>
          <w:rFonts w:hint="eastAsia" w:cs="仿宋_GB2312"/>
          <w:color w:val="auto"/>
          <w:kern w:val="2"/>
          <w:sz w:val="32"/>
          <w:szCs w:val="32"/>
        </w:rPr>
        <w:t>万元。</w:t>
      </w:r>
    </w:p>
    <w:p w14:paraId="76C771BF">
      <w:pPr>
        <w:pStyle w:val="2"/>
        <w:spacing w:before="0" w:after="0" w:line="579" w:lineRule="auto"/>
        <w:rPr>
          <w:rFonts w:ascii="黑体" w:eastAsia="黑体"/>
          <w:b w:val="0"/>
          <w:bCs w:val="0"/>
          <w:kern w:val="2"/>
          <w:sz w:val="32"/>
          <w:szCs w:val="32"/>
        </w:rPr>
      </w:pPr>
      <w:bookmarkStart w:id="13" w:name="_Toc10412"/>
      <w:r>
        <w:rPr>
          <w:rFonts w:hint="eastAsia" w:ascii="黑体" w:eastAsia="黑体"/>
          <w:b w:val="0"/>
          <w:bCs w:val="0"/>
          <w:kern w:val="2"/>
          <w:sz w:val="32"/>
          <w:szCs w:val="32"/>
        </w:rPr>
        <w:t>七、“三公”经费财政拨款预算安排情况说明</w:t>
      </w:r>
      <w:bookmarkEnd w:id="13"/>
    </w:p>
    <w:p w14:paraId="580F0662">
      <w:pPr>
        <w:pStyle w:val="20"/>
        <w:spacing w:before="0" w:line="360" w:lineRule="auto"/>
        <w:ind w:firstLine="640" w:firstLineChars="200"/>
        <w:rPr>
          <w:rFonts w:cs="仿宋_GB2312"/>
          <w:kern w:val="2"/>
          <w:sz w:val="32"/>
          <w:szCs w:val="32"/>
        </w:rPr>
      </w:pPr>
      <w:r>
        <w:rPr>
          <w:rFonts w:hint="eastAsia" w:cs="仿宋_GB2312"/>
          <w:kern w:val="2"/>
          <w:sz w:val="32"/>
          <w:szCs w:val="32"/>
        </w:rPr>
        <w:t>中共阿坝州委宣传部部门2026年度“三公”经费财政拨款预算数155.83万元，其中：因公出国（境）经费0万元，公务接待费4.13万元，公务用车购置费0万元，公务用车运行维护费151.70万元。</w:t>
      </w:r>
    </w:p>
    <w:p w14:paraId="63BFEFCC">
      <w:pPr>
        <w:pStyle w:val="20"/>
        <w:spacing w:before="0" w:line="360" w:lineRule="auto"/>
        <w:ind w:firstLine="640" w:firstLineChars="200"/>
        <w:rPr>
          <w:rFonts w:cs="仿宋_GB2312"/>
          <w:color w:val="000000"/>
          <w:kern w:val="2"/>
          <w:sz w:val="32"/>
          <w:szCs w:val="32"/>
        </w:rPr>
      </w:pPr>
      <w:r>
        <w:rPr>
          <w:rFonts w:hint="eastAsia" w:cs="仿宋_GB2312"/>
          <w:kern w:val="2"/>
          <w:sz w:val="32"/>
          <w:szCs w:val="32"/>
        </w:rPr>
        <w:t>（一）2026年度因公出国（境）经费0万元。与2025年预算经费0万元持平，主要原因是州委宣传部部门无因公出国（境）事由和需求。</w:t>
      </w:r>
      <w:r>
        <w:rPr>
          <w:rFonts w:hint="eastAsia" w:cs="仿宋_GB2312"/>
          <w:kern w:val="2"/>
          <w:sz w:val="32"/>
          <w:szCs w:val="32"/>
        </w:rPr>
        <w:br w:type="textWrapping"/>
      </w:r>
      <w:r>
        <w:rPr>
          <w:rFonts w:hint="eastAsia" w:cs="仿宋_GB2312"/>
          <w:kern w:val="2"/>
          <w:sz w:val="32"/>
          <w:szCs w:val="32"/>
        </w:rPr>
        <w:t xml:space="preserve">    （二）</w:t>
      </w:r>
      <w:r>
        <w:rPr>
          <w:rFonts w:hint="eastAsia" w:cs="仿宋_GB2312"/>
          <w:color w:val="000000"/>
          <w:kern w:val="2"/>
          <w:sz w:val="32"/>
          <w:szCs w:val="32"/>
        </w:rPr>
        <w:t>2026年度公务接待经费4.13万元。较2025年度预算经费增长0.33万元，增加8.68%，主要原因是州委宣传部部门增加新调进人员。</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（三）2026年度公务用车购置费0万元，公务用车运行维护费151.70万元。其中：</w:t>
      </w:r>
      <w:r>
        <w:rPr>
          <w:rFonts w:hint="eastAsia" w:cs="仿宋_GB2312"/>
          <w:kern w:val="2"/>
          <w:sz w:val="32"/>
          <w:szCs w:val="32"/>
        </w:rPr>
        <w:t>公务用车购置费0万元，较2025年度持平；公务用车运行维护费151.70万元，</w:t>
      </w:r>
      <w:r>
        <w:rPr>
          <w:rFonts w:hint="eastAsia" w:cs="仿宋_GB2312"/>
          <w:color w:val="000000"/>
          <w:kern w:val="2"/>
          <w:sz w:val="32"/>
          <w:szCs w:val="32"/>
        </w:rPr>
        <w:t>较2025年预算增长3.5万元，增长3.3%。</w:t>
      </w:r>
    </w:p>
    <w:p w14:paraId="1A07C3AB">
      <w:pPr>
        <w:pStyle w:val="2"/>
        <w:spacing w:before="0" w:after="0" w:line="579" w:lineRule="auto"/>
        <w:rPr>
          <w:rFonts w:ascii="黑体" w:eastAsia="黑体"/>
          <w:b w:val="0"/>
          <w:bCs w:val="0"/>
          <w:kern w:val="2"/>
          <w:sz w:val="32"/>
          <w:szCs w:val="32"/>
        </w:rPr>
      </w:pPr>
      <w:bookmarkStart w:id="14" w:name="_Toc16132"/>
      <w:r>
        <w:rPr>
          <w:rFonts w:hint="eastAsia" w:ascii="黑体" w:eastAsia="黑体"/>
          <w:b w:val="0"/>
          <w:bCs w:val="0"/>
          <w:kern w:val="2"/>
          <w:sz w:val="32"/>
          <w:szCs w:val="32"/>
        </w:rPr>
        <w:t>八、政府性基金预算支出情况说明</w:t>
      </w:r>
      <w:bookmarkEnd w:id="14"/>
    </w:p>
    <w:p w14:paraId="5D492246">
      <w:pPr>
        <w:pStyle w:val="20"/>
        <w:spacing w:before="0" w:line="360" w:lineRule="auto"/>
        <w:ind w:firstLine="640" w:firstLineChars="200"/>
        <w:rPr>
          <w:rFonts w:cs="仿宋_GB2312"/>
          <w:kern w:val="2"/>
          <w:sz w:val="32"/>
          <w:szCs w:val="32"/>
        </w:rPr>
      </w:pPr>
      <w:r>
        <w:rPr>
          <w:rFonts w:hint="eastAsia" w:cs="仿宋_GB2312"/>
          <w:kern w:val="2"/>
          <w:sz w:val="32"/>
          <w:szCs w:val="32"/>
        </w:rPr>
        <w:t>中共阿坝州委宣传部部门2026年度政府性基金预算拨款安排的支出0万元。较2025年预算经费</w:t>
      </w:r>
      <w:r>
        <w:rPr>
          <w:rFonts w:hint="eastAsia" w:cs="宋体"/>
          <w:sz w:val="32"/>
          <w:szCs w:val="32"/>
        </w:rPr>
        <w:t>0</w:t>
      </w:r>
      <w:r>
        <w:rPr>
          <w:rFonts w:hint="eastAsia" w:cs="仿宋_GB2312"/>
          <w:kern w:val="2"/>
          <w:sz w:val="32"/>
          <w:szCs w:val="32"/>
        </w:rPr>
        <w:t>万元持平。</w:t>
      </w:r>
    </w:p>
    <w:p w14:paraId="1096E859">
      <w:pPr>
        <w:pStyle w:val="2"/>
        <w:spacing w:before="0" w:after="0" w:line="579" w:lineRule="auto"/>
        <w:rPr>
          <w:rFonts w:ascii="黑体" w:eastAsia="黑体"/>
          <w:b w:val="0"/>
          <w:bCs w:val="0"/>
          <w:kern w:val="2"/>
          <w:sz w:val="32"/>
          <w:szCs w:val="32"/>
        </w:rPr>
      </w:pPr>
      <w:bookmarkStart w:id="15" w:name="_Toc10787"/>
      <w:r>
        <w:rPr>
          <w:rFonts w:hint="eastAsia" w:ascii="黑体" w:eastAsia="黑体"/>
          <w:b w:val="0"/>
          <w:bCs w:val="0"/>
          <w:kern w:val="2"/>
          <w:sz w:val="32"/>
          <w:szCs w:val="32"/>
        </w:rPr>
        <w:t>九、其他重要事项的情况说明</w:t>
      </w:r>
      <w:bookmarkEnd w:id="15"/>
    </w:p>
    <w:p w14:paraId="515ABF18">
      <w:pPr>
        <w:pStyle w:val="20"/>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中共阿坝州委宣传部部门2026年度机关运行经费财政拨款预算为132.93万元，与2025年预算持平</w:t>
      </w:r>
      <w:r>
        <w:rPr>
          <w:rFonts w:hint="eastAsia" w:cs="仿宋_GB2312"/>
          <w:color w:val="000000"/>
          <w:kern w:val="2"/>
          <w:sz w:val="32"/>
          <w:szCs w:val="32"/>
        </w:rPr>
        <w:t>。主要原因是励行节约。</w:t>
      </w:r>
    </w:p>
    <w:p w14:paraId="11AC279C">
      <w:pPr>
        <w:pStyle w:val="20"/>
        <w:spacing w:before="0" w:line="360" w:lineRule="auto"/>
        <w:ind w:firstLine="640" w:firstLineChars="200"/>
        <w:rPr>
          <w:rFonts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中共阿坝州委宣传部部门</w:t>
      </w:r>
      <w:r>
        <w:rPr>
          <w:rFonts w:hint="eastAsia" w:cs="仿宋_GB2312"/>
          <w:color w:val="000000"/>
          <w:kern w:val="2"/>
          <w:sz w:val="32"/>
          <w:szCs w:val="32"/>
        </w:rPr>
        <w:t>安排政府采购预算132.23万元，主要是办公设备及食堂餐厨设备采购，办公用房及食堂维修改造，车辆大修等</w:t>
      </w:r>
      <w:r>
        <w:rPr>
          <w:rFonts w:hint="eastAsia" w:cs="仿宋_GB2312"/>
          <w:kern w:val="2"/>
          <w:sz w:val="32"/>
          <w:szCs w:val="32"/>
        </w:rPr>
        <w:t>。</w:t>
      </w:r>
    </w:p>
    <w:p w14:paraId="52E0AC06">
      <w:pPr>
        <w:pStyle w:val="20"/>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0BCAA0C0">
      <w:pPr>
        <w:pStyle w:val="20"/>
        <w:spacing w:before="0" w:line="360" w:lineRule="auto"/>
        <w:ind w:firstLine="640" w:firstLineChars="200"/>
        <w:rPr>
          <w:rFonts w:cs="仿宋_GB2312"/>
          <w:kern w:val="2"/>
          <w:sz w:val="32"/>
          <w:szCs w:val="32"/>
        </w:rPr>
      </w:pPr>
      <w:r>
        <w:rPr>
          <w:rFonts w:hint="eastAsia" w:cs="仿宋_GB2312"/>
          <w:kern w:val="2"/>
          <w:sz w:val="32"/>
          <w:szCs w:val="32"/>
        </w:rPr>
        <w:t>截至2025年12月31日，中共阿坝州委宣传部部门固定资产36</w:t>
      </w:r>
      <w:r>
        <w:rPr>
          <w:rFonts w:hint="default" w:cs="仿宋_GB2312"/>
          <w:kern w:val="2"/>
          <w:sz w:val="32"/>
          <w:szCs w:val="32"/>
          <w:lang w:val="en-US"/>
        </w:rPr>
        <w:t>89.2</w:t>
      </w:r>
      <w:r>
        <w:rPr>
          <w:rFonts w:hint="eastAsia" w:cs="仿宋_GB2312"/>
          <w:kern w:val="2"/>
          <w:sz w:val="32"/>
          <w:szCs w:val="32"/>
        </w:rPr>
        <w:t>5万元；无形资产</w:t>
      </w:r>
      <w:r>
        <w:rPr>
          <w:rFonts w:hint="default" w:cs="仿宋_GB2312"/>
          <w:kern w:val="2"/>
          <w:sz w:val="32"/>
          <w:szCs w:val="32"/>
          <w:lang w:val="en-US"/>
        </w:rPr>
        <w:t xml:space="preserve"> 290.85</w:t>
      </w:r>
      <w:r>
        <w:rPr>
          <w:rFonts w:hint="eastAsia" w:cs="仿宋_GB2312"/>
          <w:kern w:val="2"/>
          <w:sz w:val="32"/>
          <w:szCs w:val="32"/>
        </w:rPr>
        <w:t>万元。</w:t>
      </w:r>
    </w:p>
    <w:p w14:paraId="69975331">
      <w:pPr>
        <w:pStyle w:val="20"/>
        <w:numPr>
          <w:ilvl w:val="0"/>
          <w:numId w:val="3"/>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2026年中共阿坝州委宣传部部门通用项目和专用项目均按要求实行绩效目标管理，涉及一般公共预算当年拨款3355.48万元。</w:t>
      </w:r>
    </w:p>
    <w:p w14:paraId="20C18DB8">
      <w:pPr>
        <w:pStyle w:val="13"/>
        <w:spacing w:after="0" w:line="360" w:lineRule="auto"/>
        <w:ind w:left="0" w:leftChars="0" w:firstLine="640"/>
        <w:rPr>
          <w:rFonts w:ascii="仿宋_GB2312" w:hAnsi="Calibri" w:eastAsia="仿宋_GB2312" w:cs="仿宋_GB2312"/>
          <w:sz w:val="32"/>
          <w:szCs w:val="32"/>
        </w:rPr>
      </w:pPr>
      <w:r>
        <w:rPr>
          <w:rFonts w:hint="eastAsia" w:ascii="仿宋_GB2312" w:hAnsi="Calibri" w:eastAsia="仿宋_GB2312" w:cs="仿宋_GB2312"/>
          <w:sz w:val="32"/>
          <w:szCs w:val="32"/>
        </w:rPr>
        <w:t>工资性支出通用项目绩效目标是严格执行相关政策，保障工资及时发放、足额发放，预算编制科学合理，减少结余资金，涉及一般公共预算当年拨款1194.79万元。</w:t>
      </w:r>
    </w:p>
    <w:p w14:paraId="12F641BD">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单位缴费通用项目绩效目标是严格执行相关政策，保障工资及时发放、足额发放，预算编制科学合理，减少结余资金，涉及一般公共预算当年拨款587.18万元。</w:t>
      </w:r>
    </w:p>
    <w:p w14:paraId="363E475F">
      <w:pPr>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聘用人员经费通用项目绩效目标是严格执行相关政策，保障工资及时发放、足额发放，预算编制科学合理，减少结余资金，涉及一般公共预算当年拨款37.2万元。</w:t>
      </w:r>
    </w:p>
    <w:p w14:paraId="1B3B120E">
      <w:pPr>
        <w:pStyle w:val="13"/>
        <w:spacing w:after="0" w:line="360" w:lineRule="auto"/>
        <w:ind w:left="0" w:leftChars="0" w:firstLine="640"/>
        <w:rPr>
          <w:rFonts w:ascii="仿宋_GB2312" w:hAnsi="Calibri" w:eastAsia="仿宋_GB2312" w:cs="仿宋_GB2312"/>
          <w:sz w:val="32"/>
          <w:szCs w:val="32"/>
        </w:rPr>
      </w:pPr>
      <w:r>
        <w:rPr>
          <w:rFonts w:hint="eastAsia" w:ascii="仿宋_GB2312" w:hAnsi="Calibri" w:eastAsia="仿宋_GB2312" w:cs="仿宋_GB2312"/>
          <w:sz w:val="32"/>
          <w:szCs w:val="32"/>
        </w:rPr>
        <w:t>对个人和家庭的补助支出通用项目绩效目标是严格执行相关政策，保障工资及时发放、足额发放，预算编制科学合理，减少结余资金，涉及一般公共预算当年拨款134.26万元。</w:t>
      </w:r>
    </w:p>
    <w:p w14:paraId="1E7AF245">
      <w:pPr>
        <w:pStyle w:val="13"/>
        <w:spacing w:after="0" w:line="360" w:lineRule="auto"/>
        <w:ind w:left="0" w:leftChars="0" w:firstLine="640"/>
        <w:rPr>
          <w:rFonts w:ascii="仿宋_GB2312" w:hAnsi="Calibri" w:eastAsia="仿宋_GB2312" w:cs="仿宋_GB2312"/>
          <w:sz w:val="32"/>
          <w:szCs w:val="32"/>
        </w:rPr>
      </w:pPr>
      <w:r>
        <w:rPr>
          <w:rFonts w:hint="eastAsia" w:ascii="仿宋_GB2312" w:hAnsi="Calibri" w:eastAsia="仿宋_GB2312" w:cs="仿宋_GB2312"/>
          <w:sz w:val="32"/>
          <w:szCs w:val="32"/>
        </w:rPr>
        <w:t>定额公用经费通用项目绩效目标是保障单位日常运转，提高预算编制质量，严格执行预算，涉及一般公共预算当年拨款272.84万元。</w:t>
      </w:r>
    </w:p>
    <w:p w14:paraId="6A8F58B3">
      <w:pPr>
        <w:ind w:firstLine="640" w:firstLineChars="200"/>
        <w:rPr>
          <w:rFonts w:ascii="仿宋_GB2312" w:eastAsia="仿宋_GB2312" w:cs="仿宋_GB2312"/>
          <w:sz w:val="32"/>
          <w:szCs w:val="32"/>
        </w:rPr>
      </w:pPr>
      <w:r>
        <w:rPr>
          <w:rFonts w:hint="eastAsia" w:ascii="仿宋_GB2312" w:eastAsia="仿宋_GB2312" w:cs="仿宋_GB2312"/>
          <w:sz w:val="32"/>
          <w:szCs w:val="32"/>
        </w:rPr>
        <w:t>阿坝州全民国防教育工作领导小组办公室工作经费通用项目绩效目标根据《中共中央、国务院、中央军委关于加强和改进新时代全民国防教育工作的意见》(中发【2022】18号)、《中共四川省委办公厅关于成立省委全民国防教育工作领导小组的通知》(川委厅字【2022】10号)、《中共阿坝州委办公室关于成立州委全民国防教育工作领导小组的通知》（阿委办【2022】67号），中共阿坝州委机构编制委员会办公室关于设立议事协调机构的审核意见》（阿编办函【2022】20号）。阿坝州全民国防教育工作领导小组办公室设在州委宣传部，具体承担国防教育研究谋划、协调衔接、推进落实等工作。涉及一般公共预算当年拨款30万元。</w:t>
      </w:r>
    </w:p>
    <w:p w14:paraId="0FEA0EDD">
      <w:pPr>
        <w:ind w:firstLine="640" w:firstLineChars="200"/>
        <w:rPr>
          <w:rFonts w:ascii="仿宋_GB2312" w:eastAsia="仿宋_GB2312" w:cs="仿宋_GB2312"/>
          <w:sz w:val="32"/>
          <w:szCs w:val="32"/>
        </w:rPr>
      </w:pPr>
      <w:r>
        <w:rPr>
          <w:rFonts w:hint="eastAsia" w:ascii="仿宋_GB2312" w:eastAsia="仿宋_GB2312" w:cs="仿宋_GB2312"/>
          <w:sz w:val="32"/>
          <w:szCs w:val="32"/>
        </w:rPr>
        <w:t>阿坝州长征国家文化公园建设工作领导小组办公室办公经费用项目绩效目标根据</w:t>
      </w:r>
      <w:r>
        <w:rPr>
          <w:rFonts w:ascii="方正仿宋_GBK" w:hAnsi="方正仿宋_GBK" w:eastAsia="方正仿宋_GBK" w:cs="方正仿宋_GBK"/>
          <w:sz w:val="32"/>
          <w:szCs w:val="32"/>
        </w:rPr>
        <w:t>中共阿坝州委办公室阿坝州人民政府办公室《关于调整阿坝州长征国家文化公园建设工作领导小组的通知》为保障阿坝州长征国家文化公园建设工作领导小组办公室工作的正常推进</w:t>
      </w:r>
      <w:r>
        <w:rPr>
          <w:rFonts w:hint="eastAsia" w:ascii="方正仿宋_GBK" w:hAnsi="方正仿宋_GBK" w:eastAsia="方正仿宋_GBK" w:cs="方正仿宋_GBK"/>
          <w:sz w:val="32"/>
          <w:szCs w:val="32"/>
        </w:rPr>
        <w:t>。</w:t>
      </w:r>
      <w:r>
        <w:rPr>
          <w:rFonts w:hint="eastAsia" w:ascii="仿宋_GB2312" w:eastAsia="仿宋_GB2312" w:cs="仿宋_GB2312"/>
          <w:sz w:val="32"/>
          <w:szCs w:val="32"/>
        </w:rPr>
        <w:t>涉及一般公共预算当年拨款30万元。</w:t>
      </w:r>
    </w:p>
    <w:p w14:paraId="503D4439">
      <w:pPr>
        <w:ind w:firstLine="640" w:firstLineChars="200"/>
        <w:rPr>
          <w:rFonts w:ascii="仿宋_GB2312" w:eastAsia="仿宋_GB2312" w:cs="仿宋_GB2312"/>
          <w:sz w:val="32"/>
          <w:szCs w:val="32"/>
        </w:rPr>
      </w:pPr>
      <w:r>
        <w:rPr>
          <w:rFonts w:hint="eastAsia" w:ascii="仿宋_GB2312" w:eastAsia="仿宋_GB2312" w:cs="仿宋_GB2312"/>
          <w:sz w:val="32"/>
          <w:szCs w:val="32"/>
        </w:rPr>
        <w:t>博览会、五个一工程评选及乡村文化振兴魅力乡镇竞演项目绩效目标是由党中央倡导、中宣部具体组织实施的的评选活动。涉及一般公共预算当年拨款15万元。</w:t>
      </w:r>
    </w:p>
    <w:p w14:paraId="0AC02462">
      <w:pPr>
        <w:ind w:firstLine="640" w:firstLineChars="200"/>
        <w:rPr>
          <w:rFonts w:ascii="仿宋_GB2312" w:eastAsia="仿宋_GB2312" w:cs="仿宋_GB2312"/>
          <w:sz w:val="32"/>
          <w:szCs w:val="32"/>
        </w:rPr>
      </w:pPr>
      <w:r>
        <w:rPr>
          <w:rFonts w:hint="eastAsia" w:ascii="仿宋_GB2312" w:eastAsia="仿宋_GB2312" w:cs="仿宋_GB2312"/>
          <w:sz w:val="32"/>
          <w:szCs w:val="32"/>
        </w:rPr>
        <w:t>“三下乡”及宣传教育活动项目绩效目标为保障“三下乡”活动的开展，围绕森林草原防灭火、安全生产、重大节庆等时间节点，开展社会宣传，凝聚全州各族党员干部群众思想，夯实各族人民唯心共同体意识。涉及一般公共预算当年拨款10万元。</w:t>
      </w:r>
    </w:p>
    <w:p w14:paraId="452A9D22">
      <w:pPr>
        <w:ind w:firstLine="640" w:firstLineChars="200"/>
        <w:rPr>
          <w:rFonts w:ascii="仿宋_GB2312" w:eastAsia="仿宋_GB2312" w:cs="仿宋_GB2312"/>
          <w:sz w:val="32"/>
          <w:szCs w:val="32"/>
        </w:rPr>
      </w:pPr>
      <w:r>
        <w:rPr>
          <w:rFonts w:hint="eastAsia" w:ascii="仿宋_GB2312" w:eastAsia="仿宋_GB2312" w:cs="仿宋_GB2312"/>
          <w:sz w:val="32"/>
          <w:szCs w:val="32"/>
        </w:rPr>
        <w:t>对外宣传项目绩效目标是保障对接体、开展外宣活动。涉及一般公共预算当年拨款200万元。</w:t>
      </w:r>
    </w:p>
    <w:p w14:paraId="66D6E11C">
      <w:pPr>
        <w:ind w:firstLine="640" w:firstLineChars="200"/>
        <w:rPr>
          <w:rFonts w:ascii="仿宋_GB2312" w:eastAsia="仿宋_GB2312" w:cs="仿宋_GB2312"/>
          <w:sz w:val="32"/>
          <w:szCs w:val="32"/>
        </w:rPr>
      </w:pPr>
      <w:r>
        <w:rPr>
          <w:rFonts w:hint="eastAsia" w:ascii="仿宋_GB2312" w:eastAsia="仿宋_GB2312" w:cs="仿宋_GB2312"/>
          <w:sz w:val="32"/>
          <w:szCs w:val="32"/>
        </w:rPr>
        <w:t>文明办工作经费</w:t>
      </w:r>
      <w:r>
        <w:rPr>
          <w:rFonts w:hint="eastAsia" w:eastAsia="方正仿宋_GBK"/>
          <w:kern w:val="0"/>
          <w:sz w:val="32"/>
          <w:szCs w:val="32"/>
        </w:rPr>
        <w:t>项目绩效目标</w:t>
      </w:r>
      <w:r>
        <w:rPr>
          <w:rFonts w:hint="eastAsia" w:ascii="仿宋_GB2312" w:hAnsi="仿宋_GB2312" w:eastAsia="仿宋_GB2312" w:cs="仿宋_GB2312"/>
          <w:sz w:val="32"/>
          <w:szCs w:val="32"/>
        </w:rPr>
        <w:t>以“举旗帜、聚民心、育新人、兴文化、展形象”为出发点和落脚点，广泛开展理想信念教育，深入实施公民思想道德建设工程，深化群众性精神文明创建活动，不断开创全州精神文明建设工作新局面。</w:t>
      </w:r>
      <w:r>
        <w:rPr>
          <w:rFonts w:hint="eastAsia" w:ascii="仿宋_GB2312" w:eastAsia="仿宋_GB2312" w:cs="仿宋_GB2312"/>
          <w:sz w:val="32"/>
          <w:szCs w:val="32"/>
        </w:rPr>
        <w:t>涉及一般公共预算当年拨款57万元。</w:t>
      </w:r>
    </w:p>
    <w:p w14:paraId="2B571E5A">
      <w:pPr>
        <w:pStyle w:val="13"/>
        <w:ind w:left="0" w:leftChars="0" w:firstLine="640"/>
        <w:rPr>
          <w:rFonts w:ascii="仿宋_GB2312" w:hAnsi="Calibri" w:eastAsia="仿宋_GB2312" w:cs="仿宋_GB2312"/>
          <w:sz w:val="32"/>
          <w:szCs w:val="32"/>
        </w:rPr>
      </w:pPr>
      <w:r>
        <w:rPr>
          <w:rFonts w:hint="eastAsia" w:ascii="仿宋_GB2312" w:eastAsia="仿宋_GB2312" w:cs="仿宋_GB2312"/>
          <w:sz w:val="32"/>
          <w:szCs w:val="32"/>
        </w:rPr>
        <w:t>宣讲工作经费通用项目绩效目标是保障围绕州委州政府的工作重心，做好思想政治工作宣讲。</w:t>
      </w:r>
      <w:r>
        <w:rPr>
          <w:rFonts w:hint="eastAsia" w:ascii="仿宋_GB2312" w:hAnsi="Calibri" w:eastAsia="仿宋_GB2312" w:cs="仿宋_GB2312"/>
          <w:sz w:val="32"/>
          <w:szCs w:val="32"/>
        </w:rPr>
        <w:t>涉及一般公共预算当年拨款11万元。</w:t>
      </w:r>
    </w:p>
    <w:p w14:paraId="4008D459">
      <w:pPr>
        <w:pStyle w:val="13"/>
        <w:ind w:left="0" w:leftChars="0" w:firstLine="640"/>
        <w:rPr>
          <w:rFonts w:ascii="仿宋_GB2312" w:hAnsi="Calibri" w:eastAsia="仿宋_GB2312" w:cs="仿宋_GB2312"/>
          <w:sz w:val="32"/>
          <w:szCs w:val="32"/>
        </w:rPr>
      </w:pPr>
      <w:r>
        <w:rPr>
          <w:rFonts w:hint="eastAsia" w:ascii="仿宋_GB2312" w:hAnsi="Calibri" w:eastAsia="仿宋_GB2312" w:cs="仿宋_GB2312"/>
          <w:sz w:val="32"/>
          <w:szCs w:val="32"/>
        </w:rPr>
        <w:t>图书资料通用项目绩效目标是保障为宣传工作正常开展购买各种书籍，为理论调研提供参考依据，提供资料手册。涉及一般公共预算当年拨款2万元。</w:t>
      </w:r>
    </w:p>
    <w:p w14:paraId="6D6ABEC0">
      <w:pPr>
        <w:ind w:firstLine="640"/>
        <w:rPr>
          <w:rFonts w:ascii="仿宋_GB2312" w:eastAsia="仿宋_GB2312" w:cs="仿宋_GB2312"/>
          <w:sz w:val="32"/>
          <w:szCs w:val="32"/>
        </w:rPr>
      </w:pPr>
      <w:r>
        <w:rPr>
          <w:rFonts w:hint="eastAsia" w:ascii="仿宋_GB2312" w:eastAsia="仿宋_GB2312" w:cs="仿宋_GB2312"/>
          <w:sz w:val="32"/>
          <w:szCs w:val="32"/>
        </w:rPr>
        <w:t>农村数字电影监管平台运行维护为规范监管农村公益电影放映,提升农村公共文化服务水平，涉及一般公共预算当年拨款4万元。</w:t>
      </w:r>
    </w:p>
    <w:p w14:paraId="6D0895FB">
      <w:pPr>
        <w:ind w:firstLine="640"/>
        <w:rPr>
          <w:rFonts w:ascii="仿宋_GB2312" w:eastAsia="仿宋_GB2312" w:cs="仿宋_GB2312"/>
          <w:sz w:val="32"/>
          <w:szCs w:val="32"/>
        </w:rPr>
      </w:pPr>
      <w:r>
        <w:rPr>
          <w:rFonts w:ascii="仿宋_GB2312" w:eastAsia="仿宋_GB2312" w:cs="仿宋_GB2312"/>
          <w:sz w:val="32"/>
          <w:szCs w:val="32"/>
        </w:rPr>
        <w:t>影城运行费</w:t>
      </w:r>
      <w:r>
        <w:rPr>
          <w:rFonts w:hint="eastAsia" w:ascii="仿宋_GB2312" w:eastAsia="仿宋_GB2312" w:cs="仿宋_GB2312"/>
          <w:sz w:val="32"/>
          <w:szCs w:val="32"/>
        </w:rPr>
        <w:t>为推进民族文化特色、艺术创新影片和放映、促进国产影片票房稳步增长、推动电影事业产业发展，涉及一般公共预算当年拨款76.10万元。</w:t>
      </w:r>
    </w:p>
    <w:p w14:paraId="5B3CD3B2">
      <w:pPr>
        <w:ind w:firstLine="640"/>
        <w:rPr>
          <w:rFonts w:ascii="仿宋_GB2312" w:eastAsia="仿宋_GB2312" w:cs="仿宋_GB2312"/>
          <w:sz w:val="32"/>
          <w:szCs w:val="32"/>
        </w:rPr>
      </w:pPr>
      <w:r>
        <w:rPr>
          <w:rFonts w:hint="eastAsia" w:ascii="仿宋_GB2312" w:eastAsia="仿宋_GB2312" w:cs="仿宋_GB2312"/>
          <w:sz w:val="32"/>
          <w:szCs w:val="32"/>
        </w:rPr>
        <w:t>农村公益性电影放映运行费为督促全州13县的放映情况,通过全州农村公益放映任务13080场次,督导培训等措施规范放映质量,丰富农村群众文化生活，涉及一般公共预算当年拨款10万元。</w:t>
      </w:r>
    </w:p>
    <w:p w14:paraId="4C96B06F">
      <w:pPr>
        <w:ind w:firstLine="640"/>
        <w:rPr>
          <w:rFonts w:ascii="仿宋_GB2312" w:eastAsia="仿宋_GB2312" w:cs="仿宋_GB2312"/>
          <w:sz w:val="32"/>
          <w:szCs w:val="32"/>
        </w:rPr>
      </w:pPr>
      <w:r>
        <w:rPr>
          <w:rFonts w:hint="eastAsia" w:ascii="仿宋_GB2312" w:eastAsia="仿宋_GB2312" w:cs="仿宋_GB2312"/>
          <w:sz w:val="32"/>
          <w:szCs w:val="32"/>
        </w:rPr>
        <w:t>图书货款、中转站教材教辅及一般图书运费为全年教材教辅、一般图书货款，上下车费、拆分、送书到校等运行费用；全州教材教辅、一般图书运费、上下车费等；保障马尔康地区教材教辅及图书供应，为学校和社会人员提供优质的图书资源和学习场地；年度转运图书3万件以上，涉及一般公共预算当年拨款350.62万元。</w:t>
      </w:r>
    </w:p>
    <w:p w14:paraId="70664E5B">
      <w:pPr>
        <w:pStyle w:val="2"/>
        <w:spacing w:before="0" w:after="0" w:line="579" w:lineRule="auto"/>
        <w:rPr>
          <w:rFonts w:ascii="黑体" w:eastAsia="黑体"/>
          <w:b w:val="0"/>
          <w:bCs w:val="0"/>
          <w:kern w:val="2"/>
          <w:sz w:val="32"/>
          <w:szCs w:val="32"/>
        </w:rPr>
      </w:pPr>
      <w:bookmarkStart w:id="16" w:name="_Toc31620"/>
      <w:r>
        <w:rPr>
          <w:rFonts w:hint="eastAsia" w:ascii="黑体" w:eastAsia="黑体"/>
          <w:b w:val="0"/>
          <w:bCs w:val="0"/>
          <w:kern w:val="2"/>
          <w:sz w:val="32"/>
          <w:szCs w:val="32"/>
        </w:rPr>
        <w:t>十、名称解释</w:t>
      </w:r>
      <w:bookmarkEnd w:id="16"/>
    </w:p>
    <w:p w14:paraId="579E827A">
      <w:pPr>
        <w:pStyle w:val="20"/>
        <w:spacing w:before="0" w:line="360" w:lineRule="auto"/>
        <w:ind w:firstLine="640" w:firstLineChars="200"/>
        <w:rPr>
          <w:rFonts w:cs="仿宋_GB2312"/>
          <w:sz w:val="32"/>
          <w:szCs w:val="32"/>
        </w:rPr>
      </w:pP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
    <w:altName w:val="方正仿宋_GBK"/>
    <w:panose1 w:val="02010609060101010101"/>
    <w:charset w:val="86"/>
    <w:family w:val="modern"/>
    <w:pitch w:val="default"/>
    <w:sig w:usb0="00000000" w:usb1="00000000" w:usb2="00000016" w:usb3="00000000" w:csb0="00040001" w:csb1="00000000"/>
  </w:font>
  <w:font w:name="GWZT-EN">
    <w:panose1 w:val="02020400000000000000"/>
    <w:charset w:val="86"/>
    <w:family w:val="auto"/>
    <w:pitch w:val="default"/>
    <w:sig w:usb0="A00002BF" w:usb1="38CF7CFA" w:usb2="00082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4EA1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28BE">
    <w:pPr>
      <w:pStyle w:val="9"/>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6B16C5D0">
                <w:pPr>
                  <w:pStyle w:val="9"/>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24A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abstractNum w:abstractNumId="2">
    <w:nsid w:val="727549B9"/>
    <w:multiLevelType w:val="multilevel"/>
    <w:tmpl w:val="727549B9"/>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Zjc3MzgyZGU5NDBmZDdlNDY2ZjkyNjM3OTBhZTMxZGEifQ=="/>
  </w:docVars>
  <w:rsids>
    <w:rsidRoot w:val="00E467A6"/>
    <w:rsid w:val="000B36D8"/>
    <w:rsid w:val="000C29F0"/>
    <w:rsid w:val="000D0EE7"/>
    <w:rsid w:val="001636D8"/>
    <w:rsid w:val="0016447F"/>
    <w:rsid w:val="00166C70"/>
    <w:rsid w:val="00174A73"/>
    <w:rsid w:val="001D47CE"/>
    <w:rsid w:val="00224D8E"/>
    <w:rsid w:val="00271006"/>
    <w:rsid w:val="002D16A4"/>
    <w:rsid w:val="00367F61"/>
    <w:rsid w:val="003A3511"/>
    <w:rsid w:val="003B086B"/>
    <w:rsid w:val="00496312"/>
    <w:rsid w:val="00496435"/>
    <w:rsid w:val="004B3DB6"/>
    <w:rsid w:val="004E425A"/>
    <w:rsid w:val="005267CB"/>
    <w:rsid w:val="00574881"/>
    <w:rsid w:val="0059075A"/>
    <w:rsid w:val="00596B64"/>
    <w:rsid w:val="005E524C"/>
    <w:rsid w:val="006251EB"/>
    <w:rsid w:val="0063680F"/>
    <w:rsid w:val="00660866"/>
    <w:rsid w:val="006A601E"/>
    <w:rsid w:val="007200AE"/>
    <w:rsid w:val="00742730"/>
    <w:rsid w:val="00790CAA"/>
    <w:rsid w:val="00963E21"/>
    <w:rsid w:val="009A02C7"/>
    <w:rsid w:val="009B4509"/>
    <w:rsid w:val="00A21DF5"/>
    <w:rsid w:val="00B63665"/>
    <w:rsid w:val="00BA1A55"/>
    <w:rsid w:val="00C17812"/>
    <w:rsid w:val="00C71D03"/>
    <w:rsid w:val="00D150F8"/>
    <w:rsid w:val="00D26736"/>
    <w:rsid w:val="00D35401"/>
    <w:rsid w:val="00D935CA"/>
    <w:rsid w:val="00DD7AFF"/>
    <w:rsid w:val="00E21809"/>
    <w:rsid w:val="00E467A6"/>
    <w:rsid w:val="00EE0BF4"/>
    <w:rsid w:val="00EE2CCF"/>
    <w:rsid w:val="00F619C4"/>
    <w:rsid w:val="00FC02BF"/>
    <w:rsid w:val="01F01BD2"/>
    <w:rsid w:val="02054F52"/>
    <w:rsid w:val="020C008E"/>
    <w:rsid w:val="02443CCC"/>
    <w:rsid w:val="02862A01"/>
    <w:rsid w:val="02BA3AFD"/>
    <w:rsid w:val="037E320E"/>
    <w:rsid w:val="0506170D"/>
    <w:rsid w:val="053C0C8A"/>
    <w:rsid w:val="053C31DA"/>
    <w:rsid w:val="05883ED0"/>
    <w:rsid w:val="05B534B7"/>
    <w:rsid w:val="061E65E2"/>
    <w:rsid w:val="06B31420"/>
    <w:rsid w:val="06F55595"/>
    <w:rsid w:val="07373DFF"/>
    <w:rsid w:val="073B129C"/>
    <w:rsid w:val="07EF46DA"/>
    <w:rsid w:val="09024A32"/>
    <w:rsid w:val="098826F0"/>
    <w:rsid w:val="0A984BB5"/>
    <w:rsid w:val="0AF142C5"/>
    <w:rsid w:val="0B124E21"/>
    <w:rsid w:val="0B330D82"/>
    <w:rsid w:val="0B6251C3"/>
    <w:rsid w:val="0BAB4DBC"/>
    <w:rsid w:val="0BF40511"/>
    <w:rsid w:val="0C517711"/>
    <w:rsid w:val="0DB96584"/>
    <w:rsid w:val="0DFC36AD"/>
    <w:rsid w:val="0EB0506B"/>
    <w:rsid w:val="0ECE329B"/>
    <w:rsid w:val="0F1467D4"/>
    <w:rsid w:val="0F234C69"/>
    <w:rsid w:val="0F4B669A"/>
    <w:rsid w:val="0F8B2194"/>
    <w:rsid w:val="0FBA55CD"/>
    <w:rsid w:val="0FF7F10C"/>
    <w:rsid w:val="10C81F6C"/>
    <w:rsid w:val="116F23E8"/>
    <w:rsid w:val="11F1049F"/>
    <w:rsid w:val="14FB45C5"/>
    <w:rsid w:val="15282FD9"/>
    <w:rsid w:val="153E0A4F"/>
    <w:rsid w:val="15D13671"/>
    <w:rsid w:val="1606156C"/>
    <w:rsid w:val="16236D50"/>
    <w:rsid w:val="16AE07B1"/>
    <w:rsid w:val="16CD3E38"/>
    <w:rsid w:val="16F13FCB"/>
    <w:rsid w:val="1721319C"/>
    <w:rsid w:val="17367C2F"/>
    <w:rsid w:val="17C76AD9"/>
    <w:rsid w:val="17FD074D"/>
    <w:rsid w:val="189C5F94"/>
    <w:rsid w:val="19800B96"/>
    <w:rsid w:val="1A166D8F"/>
    <w:rsid w:val="1A2C531A"/>
    <w:rsid w:val="1A693E78"/>
    <w:rsid w:val="1A91517D"/>
    <w:rsid w:val="1B146ED7"/>
    <w:rsid w:val="1BF754B3"/>
    <w:rsid w:val="1CDB6B83"/>
    <w:rsid w:val="1CDC7CB8"/>
    <w:rsid w:val="1D061E52"/>
    <w:rsid w:val="1EF06916"/>
    <w:rsid w:val="1F354C71"/>
    <w:rsid w:val="21022930"/>
    <w:rsid w:val="211A411E"/>
    <w:rsid w:val="219914E7"/>
    <w:rsid w:val="22987E08"/>
    <w:rsid w:val="22DB78DD"/>
    <w:rsid w:val="22DD3655"/>
    <w:rsid w:val="23201794"/>
    <w:rsid w:val="232776E2"/>
    <w:rsid w:val="23316FEE"/>
    <w:rsid w:val="24030E99"/>
    <w:rsid w:val="24062738"/>
    <w:rsid w:val="2483022C"/>
    <w:rsid w:val="252C3644"/>
    <w:rsid w:val="26306192"/>
    <w:rsid w:val="26663961"/>
    <w:rsid w:val="26B02E2F"/>
    <w:rsid w:val="26B11081"/>
    <w:rsid w:val="280451E0"/>
    <w:rsid w:val="28A16ED3"/>
    <w:rsid w:val="28A30E9D"/>
    <w:rsid w:val="29553353"/>
    <w:rsid w:val="29D357B2"/>
    <w:rsid w:val="29EE12D9"/>
    <w:rsid w:val="2A954892"/>
    <w:rsid w:val="2B253DEB"/>
    <w:rsid w:val="2B3B360F"/>
    <w:rsid w:val="2C26290B"/>
    <w:rsid w:val="2C7072E8"/>
    <w:rsid w:val="2C8B5379"/>
    <w:rsid w:val="2CEB696E"/>
    <w:rsid w:val="2D297497"/>
    <w:rsid w:val="2D947006"/>
    <w:rsid w:val="2DF45CF7"/>
    <w:rsid w:val="2E075A2A"/>
    <w:rsid w:val="2EDA313F"/>
    <w:rsid w:val="2F032695"/>
    <w:rsid w:val="2FF43D8C"/>
    <w:rsid w:val="3025663B"/>
    <w:rsid w:val="304F5466"/>
    <w:rsid w:val="32D3412D"/>
    <w:rsid w:val="332E1CAB"/>
    <w:rsid w:val="33727DEA"/>
    <w:rsid w:val="33BB353F"/>
    <w:rsid w:val="342323F8"/>
    <w:rsid w:val="346534AA"/>
    <w:rsid w:val="353C245D"/>
    <w:rsid w:val="359E6C74"/>
    <w:rsid w:val="365C268B"/>
    <w:rsid w:val="37500442"/>
    <w:rsid w:val="376E6B1A"/>
    <w:rsid w:val="37BF9D10"/>
    <w:rsid w:val="38DE1A7D"/>
    <w:rsid w:val="38F17A02"/>
    <w:rsid w:val="38F44DFD"/>
    <w:rsid w:val="3A43493D"/>
    <w:rsid w:val="3A655FB2"/>
    <w:rsid w:val="3BBC60A6"/>
    <w:rsid w:val="3C362F39"/>
    <w:rsid w:val="3CF8135F"/>
    <w:rsid w:val="3CFA3AE8"/>
    <w:rsid w:val="3D7529B0"/>
    <w:rsid w:val="3DF07218"/>
    <w:rsid w:val="3E8B1D5F"/>
    <w:rsid w:val="3F4445A2"/>
    <w:rsid w:val="401A339B"/>
    <w:rsid w:val="4057065C"/>
    <w:rsid w:val="4093139F"/>
    <w:rsid w:val="41272213"/>
    <w:rsid w:val="4157061F"/>
    <w:rsid w:val="42D633EC"/>
    <w:rsid w:val="43B92ECB"/>
    <w:rsid w:val="44D83825"/>
    <w:rsid w:val="44F22B38"/>
    <w:rsid w:val="44F93EC7"/>
    <w:rsid w:val="452B1BA6"/>
    <w:rsid w:val="4577128F"/>
    <w:rsid w:val="45D1274E"/>
    <w:rsid w:val="4607616F"/>
    <w:rsid w:val="46092E64"/>
    <w:rsid w:val="46CE4EDF"/>
    <w:rsid w:val="46E42955"/>
    <w:rsid w:val="46EF9A18"/>
    <w:rsid w:val="482117B1"/>
    <w:rsid w:val="484D0086"/>
    <w:rsid w:val="492D2E8B"/>
    <w:rsid w:val="495F2766"/>
    <w:rsid w:val="49861AA1"/>
    <w:rsid w:val="49926698"/>
    <w:rsid w:val="49ED7D72"/>
    <w:rsid w:val="4ADB406F"/>
    <w:rsid w:val="4B773D97"/>
    <w:rsid w:val="4BB94F3A"/>
    <w:rsid w:val="4BE534CE"/>
    <w:rsid w:val="4C001FDF"/>
    <w:rsid w:val="4C12586E"/>
    <w:rsid w:val="4C8C5620"/>
    <w:rsid w:val="4CBB5F06"/>
    <w:rsid w:val="4D1D02BF"/>
    <w:rsid w:val="4DA44405"/>
    <w:rsid w:val="4DC214CF"/>
    <w:rsid w:val="4E031912"/>
    <w:rsid w:val="4E141D71"/>
    <w:rsid w:val="4EA07161"/>
    <w:rsid w:val="4F073684"/>
    <w:rsid w:val="4F712890"/>
    <w:rsid w:val="4F9D706A"/>
    <w:rsid w:val="4FEB6B02"/>
    <w:rsid w:val="50025BF9"/>
    <w:rsid w:val="51086514"/>
    <w:rsid w:val="51CE66DB"/>
    <w:rsid w:val="51D05FAF"/>
    <w:rsid w:val="535844AE"/>
    <w:rsid w:val="53755060"/>
    <w:rsid w:val="538434F5"/>
    <w:rsid w:val="54321BDA"/>
    <w:rsid w:val="54707886"/>
    <w:rsid w:val="559B4B26"/>
    <w:rsid w:val="56102E1E"/>
    <w:rsid w:val="56495108"/>
    <w:rsid w:val="56D502D7"/>
    <w:rsid w:val="57BF2D4E"/>
    <w:rsid w:val="57CE2F91"/>
    <w:rsid w:val="57EA58F1"/>
    <w:rsid w:val="58873140"/>
    <w:rsid w:val="58CB5722"/>
    <w:rsid w:val="58D30568"/>
    <w:rsid w:val="593B6C5D"/>
    <w:rsid w:val="59CE54CA"/>
    <w:rsid w:val="59F42A57"/>
    <w:rsid w:val="5A364E1D"/>
    <w:rsid w:val="5A8C0EE1"/>
    <w:rsid w:val="5AFC2825"/>
    <w:rsid w:val="5B3A0AF1"/>
    <w:rsid w:val="5C89392A"/>
    <w:rsid w:val="5D2FF718"/>
    <w:rsid w:val="5D8D11F8"/>
    <w:rsid w:val="5E6F4DA2"/>
    <w:rsid w:val="5F1C283A"/>
    <w:rsid w:val="5F685A79"/>
    <w:rsid w:val="5FA97E40"/>
    <w:rsid w:val="5FC66C44"/>
    <w:rsid w:val="5FDB6179"/>
    <w:rsid w:val="612B47A9"/>
    <w:rsid w:val="61B551C2"/>
    <w:rsid w:val="62350B41"/>
    <w:rsid w:val="63771CF3"/>
    <w:rsid w:val="64712012"/>
    <w:rsid w:val="647B624F"/>
    <w:rsid w:val="65150451"/>
    <w:rsid w:val="65E87914"/>
    <w:rsid w:val="65ED4F2A"/>
    <w:rsid w:val="66080F1E"/>
    <w:rsid w:val="66815672"/>
    <w:rsid w:val="67CB3049"/>
    <w:rsid w:val="684E77D6"/>
    <w:rsid w:val="691C793A"/>
    <w:rsid w:val="69AE677E"/>
    <w:rsid w:val="69E71E74"/>
    <w:rsid w:val="69F21D41"/>
    <w:rsid w:val="6A184540"/>
    <w:rsid w:val="6A417D21"/>
    <w:rsid w:val="6A4763F3"/>
    <w:rsid w:val="6A9A4F55"/>
    <w:rsid w:val="6AB75B07"/>
    <w:rsid w:val="6B6A0DCB"/>
    <w:rsid w:val="6B947BF6"/>
    <w:rsid w:val="6BBD539F"/>
    <w:rsid w:val="6BDC192A"/>
    <w:rsid w:val="6C335661"/>
    <w:rsid w:val="6C44161C"/>
    <w:rsid w:val="6C77379F"/>
    <w:rsid w:val="6D5D6CA1"/>
    <w:rsid w:val="6D600C3F"/>
    <w:rsid w:val="6DE704B1"/>
    <w:rsid w:val="6DF57072"/>
    <w:rsid w:val="6DFE5460"/>
    <w:rsid w:val="6F6E001D"/>
    <w:rsid w:val="705C33D8"/>
    <w:rsid w:val="707029DF"/>
    <w:rsid w:val="70C26FB3"/>
    <w:rsid w:val="71D62D16"/>
    <w:rsid w:val="720535FB"/>
    <w:rsid w:val="7258197D"/>
    <w:rsid w:val="727B05E0"/>
    <w:rsid w:val="72BD3ED6"/>
    <w:rsid w:val="7348106F"/>
    <w:rsid w:val="7349576A"/>
    <w:rsid w:val="73AF381F"/>
    <w:rsid w:val="74AF784E"/>
    <w:rsid w:val="74B84955"/>
    <w:rsid w:val="74E7334C"/>
    <w:rsid w:val="74EE0377"/>
    <w:rsid w:val="74F040EF"/>
    <w:rsid w:val="75434366"/>
    <w:rsid w:val="756B404C"/>
    <w:rsid w:val="75D27C98"/>
    <w:rsid w:val="768A2321"/>
    <w:rsid w:val="76FDAFAB"/>
    <w:rsid w:val="77071BC4"/>
    <w:rsid w:val="770B3462"/>
    <w:rsid w:val="77493F8A"/>
    <w:rsid w:val="774B7D02"/>
    <w:rsid w:val="7778661E"/>
    <w:rsid w:val="77BF303B"/>
    <w:rsid w:val="77ED3B67"/>
    <w:rsid w:val="79882D39"/>
    <w:rsid w:val="79FFF03C"/>
    <w:rsid w:val="7A09169E"/>
    <w:rsid w:val="7A124B07"/>
    <w:rsid w:val="7A807CC3"/>
    <w:rsid w:val="7AD26045"/>
    <w:rsid w:val="7AD81B0D"/>
    <w:rsid w:val="7B351D56"/>
    <w:rsid w:val="7BF52341"/>
    <w:rsid w:val="7C013085"/>
    <w:rsid w:val="7CB7C2F6"/>
    <w:rsid w:val="7D1F3A60"/>
    <w:rsid w:val="7D261D01"/>
    <w:rsid w:val="7D8349FD"/>
    <w:rsid w:val="7DFC1D56"/>
    <w:rsid w:val="7E867872"/>
    <w:rsid w:val="7E927FC5"/>
    <w:rsid w:val="7F21759B"/>
    <w:rsid w:val="7F3F5CEB"/>
    <w:rsid w:val="7F8E00D4"/>
    <w:rsid w:val="7FB76708"/>
    <w:rsid w:val="A7E591F0"/>
    <w:rsid w:val="DFFF2124"/>
    <w:rsid w:val="EFEE6E08"/>
    <w:rsid w:val="FAEFA70C"/>
    <w:rsid w:val="FD9F82DA"/>
    <w:rsid w:val="FEEFF13B"/>
    <w:rsid w:val="FFE852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Body Text Indent"/>
    <w:basedOn w:val="1"/>
    <w:next w:val="7"/>
    <w:qFormat/>
    <w:uiPriority w:val="0"/>
    <w:pPr>
      <w:spacing w:after="120"/>
      <w:ind w:left="420" w:leftChars="200"/>
    </w:pPr>
    <w:rPr>
      <w:rFonts w:ascii="Times New Roman" w:hAnsi="Times New Roman"/>
      <w:szCs w:val="21"/>
    </w:rPr>
  </w:style>
  <w:style w:type="paragraph" w:styleId="7">
    <w:name w:val="Title"/>
    <w:basedOn w:val="1"/>
    <w:next w:val="1"/>
    <w:qFormat/>
    <w:uiPriority w:val="0"/>
    <w:pPr>
      <w:jc w:val="center"/>
      <w:outlineLvl w:val="0"/>
    </w:pPr>
    <w:rPr>
      <w:rFonts w:ascii="Calibri Light" w:hAnsi="Calibri Light" w:eastAsia="黑体"/>
      <w:b/>
      <w:bCs/>
      <w:sz w:val="44"/>
      <w:szCs w:val="32"/>
      <w:lang w:val="zh-CN"/>
    </w:rPr>
  </w:style>
  <w:style w:type="paragraph" w:styleId="8">
    <w:name w:val="Balloon Text"/>
    <w:basedOn w:val="1"/>
    <w:link w:val="25"/>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First Indent 2"/>
    <w:basedOn w:val="6"/>
    <w:next w:val="1"/>
    <w:qFormat/>
    <w:uiPriority w:val="0"/>
    <w:pPr>
      <w:ind w:firstLine="420" w:firstLineChars="200"/>
    </w:pPr>
  </w:style>
  <w:style w:type="character" w:styleId="16">
    <w:name w:val="Strong"/>
    <w:basedOn w:val="15"/>
    <w:qFormat/>
    <w:uiPriority w:val="99"/>
    <w:rPr>
      <w:rFonts w:cs="Times New Roman"/>
      <w:b/>
      <w:bCs/>
    </w:rPr>
  </w:style>
  <w:style w:type="character" w:styleId="17">
    <w:name w:val="Hyperlink"/>
    <w:basedOn w:val="15"/>
    <w:unhideWhenUsed/>
    <w:qFormat/>
    <w:uiPriority w:val="99"/>
    <w:rPr>
      <w:color w:val="0000FF" w:themeColor="hyperlink"/>
      <w:u w:val="single"/>
    </w:rPr>
  </w:style>
  <w:style w:type="paragraph" w:customStyle="1" w:styleId="18">
    <w:name w:val="文档正文"/>
    <w:basedOn w:val="1"/>
    <w:next w:val="5"/>
    <w:qFormat/>
    <w:uiPriority w:val="0"/>
    <w:pPr>
      <w:adjustRightInd w:val="0"/>
      <w:spacing w:line="480" w:lineRule="atLeast"/>
      <w:textAlignment w:val="baseline"/>
    </w:pPr>
    <w:rPr>
      <w:rFonts w:ascii="Arial" w:hAnsi="Arial"/>
      <w:kern w:val="0"/>
    </w:rPr>
  </w:style>
  <w:style w:type="paragraph" w:styleId="19">
    <w:name w:val="List Paragraph"/>
    <w:basedOn w:val="1"/>
    <w:qFormat/>
    <w:uiPriority w:val="0"/>
    <w:pPr>
      <w:ind w:firstLine="200" w:firstLineChars="200"/>
    </w:pPr>
  </w:style>
  <w:style w:type="paragraph" w:customStyle="1" w:styleId="20">
    <w:name w:val="正文文本1"/>
    <w:basedOn w:val="1"/>
    <w:qFormat/>
    <w:uiPriority w:val="0"/>
    <w:pPr>
      <w:spacing w:before="93"/>
    </w:pPr>
    <w:rPr>
      <w:rFonts w:ascii="仿宋_GB2312" w:eastAsia="仿宋_GB2312"/>
      <w:kern w:val="0"/>
      <w:sz w:val="30"/>
      <w:szCs w:val="20"/>
    </w:rPr>
  </w:style>
  <w:style w:type="paragraph" w:customStyle="1" w:styleId="2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普通(网站) Char"/>
    <w:basedOn w:val="1"/>
    <w:qFormat/>
    <w:uiPriority w:val="0"/>
    <w:pPr>
      <w:widowControl/>
      <w:spacing w:before="100" w:beforeAutospacing="1" w:after="100" w:afterAutospacing="1"/>
      <w:jc w:val="left"/>
    </w:pPr>
    <w:rPr>
      <w:rFonts w:hint="eastAsia" w:ascii="宋体" w:hAnsi="宋体"/>
      <w:kern w:val="0"/>
      <w:sz w:val="24"/>
      <w:szCs w:val="24"/>
    </w:rPr>
  </w:style>
  <w:style w:type="character" w:customStyle="1" w:styleId="24">
    <w:name w:val="20"/>
    <w:basedOn w:val="15"/>
    <w:qFormat/>
    <w:uiPriority w:val="0"/>
    <w:rPr>
      <w:rFonts w:hint="default" w:ascii="Times New Roman" w:hAnsi="Times New Roman" w:cs="Times New Roman"/>
      <w:b/>
    </w:rPr>
  </w:style>
  <w:style w:type="character" w:customStyle="1" w:styleId="25">
    <w:name w:val="批注框文本 Char"/>
    <w:basedOn w:val="15"/>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1138</Words>
  <Characters>6491</Characters>
  <Lines>54</Lines>
  <Paragraphs>15</Paragraphs>
  <TotalTime>38</TotalTime>
  <ScaleCrop>false</ScaleCrop>
  <LinksUpToDate>false</LinksUpToDate>
  <CharactersWithSpaces>7614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huawei</cp:lastModifiedBy>
  <cp:lastPrinted>2018-01-31T01:39:00Z</cp:lastPrinted>
  <dcterms:modified xsi:type="dcterms:W3CDTF">2026-01-21T13:50:01Z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1131EF75B9DF4F52B9F93232F4BE6B56_13</vt:lpwstr>
  </property>
</Properties>
</file>