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lang w:val="en-US" w:eastAsia="zh-CN"/>
        </w:rPr>
        <w:t>阿坝藏族羌族自治州人民政府驻北京</w:t>
      </w:r>
    </w:p>
    <w:p>
      <w:pPr>
        <w:jc w:val="center"/>
        <w:rPr>
          <w:rFonts w:ascii="黑体" w:eastAsia="黑体"/>
          <w:sz w:val="44"/>
          <w:szCs w:val="44"/>
        </w:rPr>
      </w:pPr>
      <w:r>
        <w:rPr>
          <w:rFonts w:hint="eastAsia" w:ascii="黑体" w:eastAsia="黑体"/>
          <w:sz w:val="44"/>
          <w:szCs w:val="44"/>
          <w:lang w:val="en-US" w:eastAsia="zh-CN"/>
        </w:rPr>
        <w:t>联络处</w:t>
      </w:r>
      <w:r>
        <w:rPr>
          <w:rFonts w:ascii="黑体" w:eastAsia="黑体"/>
          <w:sz w:val="44"/>
          <w:szCs w:val="44"/>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hint="eastAsia" w:ascii="楷体" w:eastAsia="楷体"/>
          <w:sz w:val="32"/>
          <w:szCs w:val="32"/>
        </w:rPr>
      </w:pPr>
      <w:r>
        <w:rPr>
          <w:rFonts w:hint="eastAsia" w:ascii="楷体" w:eastAsia="楷体"/>
          <w:sz w:val="32"/>
          <w:szCs w:val="32"/>
        </w:rPr>
        <w:t>（一）部门职能简介</w:t>
      </w:r>
    </w:p>
    <w:p>
      <w:pPr>
        <w:spacing w:line="540" w:lineRule="exact"/>
        <w:ind w:firstLine="640" w:firstLineChars="200"/>
        <w:rPr>
          <w:rFonts w:hint="eastAsia" w:ascii="楷体" w:eastAsia="楷体"/>
          <w:sz w:val="32"/>
          <w:szCs w:val="32"/>
        </w:rPr>
      </w:pPr>
      <w:r>
        <w:rPr>
          <w:rFonts w:hint="eastAsia" w:ascii="楷体" w:eastAsia="楷体" w:cs="Times New Roman"/>
          <w:sz w:val="32"/>
          <w:szCs w:val="32"/>
          <w:lang w:val="en-US" w:eastAsia="zh-CN"/>
        </w:rPr>
        <w:t>在州委、州政府的领导下积极做好在驻地及其周边地区的政务联络、商会指导服务、机要电报、政务服务，党建等工作，协助各相关部门做好社会管理、区域合作、招商引资、宣传推介、信访维稳、政务接待、农民工服务等工作。</w:t>
      </w:r>
    </w:p>
    <w:p>
      <w:pPr>
        <w:rPr>
          <w:rFonts w:hint="default" w:ascii="楷体" w:eastAsia="楷体"/>
          <w:sz w:val="32"/>
          <w:szCs w:val="32"/>
          <w:lang w:val="en-US" w:eastAsia="zh-CN"/>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keepNext w:val="0"/>
        <w:keepLines w:val="0"/>
        <w:pageBreakBefore w:val="0"/>
        <w:widowControl w:val="0"/>
        <w:numPr>
          <w:ilvl w:val="0"/>
          <w:numId w:val="0"/>
        </w:numPr>
        <w:kinsoku/>
        <w:wordWrap/>
        <w:overflowPunct/>
        <w:topLinePunct w:val="0"/>
        <w:autoSpaceDE w:val="0"/>
        <w:autoSpaceDN w:val="0"/>
        <w:bidi w:val="0"/>
        <w:adjustRightInd/>
        <w:snapToGrid/>
        <w:spacing w:line="536" w:lineRule="exact"/>
        <w:ind w:firstLine="643" w:firstLineChars="200"/>
        <w:jc w:val="both"/>
        <w:textAlignment w:val="auto"/>
        <w:rPr>
          <w:rFonts w:hint="default" w:ascii="楷体" w:eastAsia="楷体" w:cs="Times New Roman"/>
          <w:sz w:val="32"/>
          <w:szCs w:val="32"/>
          <w:lang w:val="en-US" w:eastAsia="zh-CN"/>
        </w:rPr>
      </w:pPr>
      <w:r>
        <w:rPr>
          <w:rFonts w:hint="eastAsia" w:ascii="Times New Roman" w:hAnsi="Times New Roman" w:eastAsia="楷体" w:cs="Times New Roman"/>
          <w:b/>
          <w:bCs/>
          <w:color w:val="auto"/>
          <w:kern w:val="0"/>
          <w:sz w:val="32"/>
          <w:szCs w:val="32"/>
          <w:lang w:val="en-US" w:eastAsia="zh-CN"/>
        </w:rPr>
        <w:t>1.</w:t>
      </w:r>
      <w:r>
        <w:rPr>
          <w:rFonts w:hint="default" w:ascii="Times New Roman" w:hAnsi="Times New Roman" w:eastAsia="楷体" w:cs="Times New Roman"/>
          <w:b/>
          <w:bCs/>
          <w:color w:val="auto"/>
          <w:kern w:val="0"/>
          <w:sz w:val="32"/>
          <w:szCs w:val="32"/>
          <w:lang w:val="en-US" w:eastAsia="zh-CN"/>
        </w:rPr>
        <w:t>以精准招商为主线，全力服务产业发展。</w:t>
      </w:r>
      <w:r>
        <w:rPr>
          <w:rFonts w:hint="default" w:ascii="楷体" w:eastAsia="楷体" w:cs="Times New Roman"/>
          <w:sz w:val="32"/>
          <w:szCs w:val="32"/>
          <w:lang w:val="en-US" w:eastAsia="zh-CN"/>
        </w:rPr>
        <w:t>突出招商引客核心使命，建立“信息快速响应”机制，加强与高端智库、行业协会、前沿科技企业的常态化联系，广泛收集筛选高质量投资信息。发挥驻点优势，锁定重点目标企业，扮演好区域招商“小分队”角色，主动上门推介，精准对接需求</w:t>
      </w:r>
      <w:r>
        <w:rPr>
          <w:rFonts w:hint="eastAsia" w:ascii="楷体" w:eastAsia="楷体" w:cs="Times New Roman"/>
          <w:sz w:val="32"/>
          <w:szCs w:val="32"/>
          <w:lang w:val="en-US" w:eastAsia="zh-CN"/>
        </w:rPr>
        <w:t>，</w:t>
      </w:r>
      <w:r>
        <w:rPr>
          <w:rFonts w:hint="default" w:ascii="楷体" w:eastAsia="楷体" w:cs="Times New Roman"/>
          <w:sz w:val="32"/>
          <w:szCs w:val="32"/>
          <w:lang w:val="en-US" w:eastAsia="zh-CN"/>
        </w:rPr>
        <w:t>全</w:t>
      </w:r>
      <w:r>
        <w:rPr>
          <w:rFonts w:hint="default" w:ascii="Times New Roman" w:hAnsi="Times New Roman" w:eastAsia="仿宋" w:cs="Times New Roman"/>
          <w:color w:val="auto"/>
          <w:kern w:val="0"/>
          <w:sz w:val="32"/>
          <w:szCs w:val="32"/>
          <w:lang w:val="en-US" w:eastAsia="zh-CN"/>
        </w:rPr>
        <w:t>力</w:t>
      </w:r>
      <w:r>
        <w:rPr>
          <w:rFonts w:hint="default" w:ascii="楷体" w:eastAsia="楷体" w:cs="Times New Roman"/>
          <w:sz w:val="32"/>
          <w:szCs w:val="32"/>
          <w:lang w:val="en-US" w:eastAsia="zh-CN"/>
        </w:rPr>
        <w:t>做好</w:t>
      </w:r>
      <w:r>
        <w:rPr>
          <w:rFonts w:hint="eastAsia" w:ascii="楷体" w:eastAsia="楷体" w:cs="Times New Roman"/>
          <w:sz w:val="32"/>
          <w:szCs w:val="32"/>
          <w:lang w:val="en-US" w:eastAsia="zh-CN"/>
        </w:rPr>
        <w:t>驻地优质企业拜访推介、优势资源宣传、</w:t>
      </w:r>
      <w:r>
        <w:rPr>
          <w:rFonts w:hint="default" w:ascii="楷体" w:eastAsia="楷体" w:cs="Times New Roman"/>
          <w:sz w:val="32"/>
          <w:szCs w:val="32"/>
          <w:lang w:val="en-US" w:eastAsia="zh-CN"/>
        </w:rPr>
        <w:t>项目洽谈、考察协调与落地衔接服务，形成“前端捕捉信息、对接资源，后端政策配套、落地服务”的项目攻坚合力，切实提升招商引资质效。</w:t>
      </w:r>
      <w:r>
        <w:rPr>
          <w:rFonts w:hint="eastAsia" w:ascii="楷体" w:eastAsia="楷体" w:cs="Times New Roman"/>
          <w:sz w:val="32"/>
          <w:szCs w:val="32"/>
          <w:lang w:val="en-US" w:eastAsia="zh-CN"/>
        </w:rPr>
        <w:t>全年对接企业不少于100家次，促成企业进州考察5家以上，促成州级领导对接项目2个以上，力争落地我州项目1个以上</w:t>
      </w:r>
      <w:r>
        <w:rPr>
          <w:rFonts w:hint="default" w:ascii="楷体" w:eastAsia="楷体" w:cs="Times New Roman"/>
          <w:sz w:val="32"/>
          <w:szCs w:val="32"/>
          <w:lang w:val="en-US" w:eastAsia="zh-CN"/>
        </w:rPr>
        <w:t>。</w:t>
      </w:r>
    </w:p>
    <w:p>
      <w:pPr>
        <w:keepNext w:val="0"/>
        <w:keepLines w:val="0"/>
        <w:pageBreakBefore w:val="0"/>
        <w:widowControl w:val="0"/>
        <w:kinsoku/>
        <w:wordWrap/>
        <w:overflowPunct/>
        <w:topLinePunct w:val="0"/>
        <w:autoSpaceDE w:val="0"/>
        <w:autoSpaceDN w:val="0"/>
        <w:bidi w:val="0"/>
        <w:adjustRightInd/>
        <w:snapToGrid/>
        <w:spacing w:line="536" w:lineRule="exact"/>
        <w:ind w:firstLine="643" w:firstLineChars="200"/>
        <w:jc w:val="both"/>
        <w:textAlignment w:val="auto"/>
        <w:rPr>
          <w:rFonts w:hint="default" w:ascii="楷体" w:eastAsia="楷体" w:cs="Times New Roman"/>
          <w:sz w:val="32"/>
          <w:szCs w:val="32"/>
          <w:lang w:val="en-US" w:eastAsia="zh-CN"/>
        </w:rPr>
      </w:pPr>
      <w:r>
        <w:rPr>
          <w:rFonts w:hint="eastAsia" w:ascii="Times New Roman" w:hAnsi="Times New Roman" w:eastAsia="楷体" w:cs="Times New Roman"/>
          <w:b/>
          <w:bCs/>
          <w:color w:val="auto"/>
          <w:kern w:val="0"/>
          <w:sz w:val="32"/>
          <w:szCs w:val="32"/>
          <w:lang w:val="en-US" w:eastAsia="zh-CN"/>
        </w:rPr>
        <w:t>2.</w:t>
      </w:r>
      <w:r>
        <w:rPr>
          <w:rFonts w:hint="default" w:ascii="Times New Roman" w:hAnsi="Times New Roman" w:eastAsia="楷体" w:cs="Times New Roman"/>
          <w:b/>
          <w:bCs/>
          <w:color w:val="auto"/>
          <w:kern w:val="0"/>
          <w:sz w:val="32"/>
          <w:szCs w:val="32"/>
          <w:lang w:val="en-US" w:eastAsia="zh-CN"/>
        </w:rPr>
        <w:t>以高效规范为标准，全面提升政务保障水平。</w:t>
      </w:r>
      <w:r>
        <w:rPr>
          <w:rFonts w:hint="default" w:ascii="楷体" w:eastAsia="楷体" w:cs="Times New Roman"/>
          <w:sz w:val="32"/>
          <w:szCs w:val="32"/>
          <w:lang w:val="en-US" w:eastAsia="zh-CN"/>
        </w:rPr>
        <w:t>坚守主责主业，持续优化赴京、赴蓉公务活动的服务保障体系。进一步规范政务接待、会议承办、机要文件流转、公务订票用车等各项工作流程，着力提升服务的专业化、精细化水平</w:t>
      </w:r>
      <w:r>
        <w:rPr>
          <w:rFonts w:hint="eastAsia" w:ascii="楷体" w:eastAsia="楷体" w:cs="Times New Roman"/>
          <w:sz w:val="32"/>
          <w:szCs w:val="32"/>
          <w:lang w:val="en-US" w:eastAsia="zh-CN"/>
        </w:rPr>
        <w:t>，确保实现“高标准、高效率、零失误”</w:t>
      </w:r>
      <w:r>
        <w:rPr>
          <w:rFonts w:hint="default" w:ascii="楷体" w:eastAsia="楷体" w:cs="Times New Roman"/>
          <w:sz w:val="32"/>
          <w:szCs w:val="32"/>
          <w:lang w:val="en-US" w:eastAsia="zh-CN"/>
        </w:rPr>
        <w:t>。</w:t>
      </w:r>
    </w:p>
    <w:p>
      <w:pPr>
        <w:keepNext w:val="0"/>
        <w:keepLines w:val="0"/>
        <w:pageBreakBefore w:val="0"/>
        <w:widowControl w:val="0"/>
        <w:kinsoku/>
        <w:wordWrap/>
        <w:overflowPunct/>
        <w:topLinePunct w:val="0"/>
        <w:autoSpaceDE w:val="0"/>
        <w:autoSpaceDN w:val="0"/>
        <w:bidi w:val="0"/>
        <w:adjustRightInd/>
        <w:snapToGrid/>
        <w:spacing w:line="536" w:lineRule="exact"/>
        <w:ind w:firstLine="643" w:firstLineChars="200"/>
        <w:jc w:val="both"/>
        <w:textAlignment w:val="auto"/>
        <w:rPr>
          <w:rFonts w:hint="default" w:ascii="楷体" w:eastAsia="楷体" w:cs="Times New Roman"/>
          <w:sz w:val="32"/>
          <w:szCs w:val="32"/>
          <w:lang w:val="en-US" w:eastAsia="zh-CN"/>
        </w:rPr>
      </w:pPr>
      <w:r>
        <w:rPr>
          <w:rFonts w:hint="eastAsia" w:ascii="Times New Roman" w:hAnsi="Times New Roman" w:eastAsia="楷体" w:cs="Times New Roman"/>
          <w:b/>
          <w:bCs/>
          <w:color w:val="auto"/>
          <w:kern w:val="0"/>
          <w:sz w:val="32"/>
          <w:szCs w:val="32"/>
          <w:lang w:val="en-US" w:eastAsia="zh-CN"/>
        </w:rPr>
        <w:t>3.</w:t>
      </w:r>
      <w:r>
        <w:rPr>
          <w:rFonts w:hint="default" w:ascii="Times New Roman" w:hAnsi="Times New Roman" w:eastAsia="楷体" w:cs="Times New Roman"/>
          <w:b/>
          <w:bCs/>
          <w:color w:val="auto"/>
          <w:kern w:val="0"/>
          <w:sz w:val="32"/>
          <w:szCs w:val="32"/>
          <w:lang w:val="en-US" w:eastAsia="zh-CN"/>
        </w:rPr>
        <w:t>以拓宽渠道为重点，积极构筑人才招引</w:t>
      </w:r>
      <w:r>
        <w:rPr>
          <w:rFonts w:hint="eastAsia" w:ascii="Times New Roman" w:hAnsi="Times New Roman" w:eastAsia="楷体" w:cs="Times New Roman"/>
          <w:b/>
          <w:bCs/>
          <w:color w:val="auto"/>
          <w:kern w:val="0"/>
          <w:sz w:val="32"/>
          <w:szCs w:val="32"/>
          <w:lang w:val="en-US" w:eastAsia="zh-CN"/>
        </w:rPr>
        <w:t>高</w:t>
      </w:r>
      <w:r>
        <w:rPr>
          <w:rFonts w:hint="default" w:ascii="Times New Roman" w:hAnsi="Times New Roman" w:eastAsia="楷体" w:cs="Times New Roman"/>
          <w:b/>
          <w:bCs/>
          <w:color w:val="auto"/>
          <w:kern w:val="0"/>
          <w:sz w:val="32"/>
          <w:szCs w:val="32"/>
          <w:lang w:val="en-US" w:eastAsia="zh-CN"/>
        </w:rPr>
        <w:t>地。</w:t>
      </w:r>
      <w:r>
        <w:rPr>
          <w:rFonts w:hint="default" w:ascii="楷体" w:eastAsia="楷体" w:cs="Times New Roman"/>
          <w:sz w:val="32"/>
          <w:szCs w:val="32"/>
          <w:lang w:val="en-US" w:eastAsia="zh-CN"/>
        </w:rPr>
        <w:t>紧扣产业发展，实施精准化招才引智</w:t>
      </w:r>
      <w:r>
        <w:rPr>
          <w:rFonts w:hint="eastAsia" w:ascii="楷体" w:eastAsia="楷体" w:cs="Times New Roman"/>
          <w:sz w:val="32"/>
          <w:szCs w:val="32"/>
          <w:lang w:val="en-US" w:eastAsia="zh-CN"/>
        </w:rPr>
        <w:t>，</w:t>
      </w:r>
      <w:r>
        <w:rPr>
          <w:rFonts w:hint="default" w:ascii="楷体" w:eastAsia="楷体" w:cs="Times New Roman"/>
          <w:sz w:val="32"/>
          <w:szCs w:val="32"/>
          <w:lang w:val="en-US" w:eastAsia="zh-CN"/>
        </w:rPr>
        <w:t>推动人才供需精准对接，为定向引才提供数据支撑。</w:t>
      </w:r>
      <w:r>
        <w:rPr>
          <w:rFonts w:hint="eastAsia" w:ascii="楷体" w:eastAsia="楷体" w:cs="Times New Roman"/>
          <w:sz w:val="32"/>
          <w:szCs w:val="32"/>
          <w:lang w:val="en-US" w:eastAsia="zh-CN"/>
        </w:rPr>
        <w:t>持续</w:t>
      </w:r>
      <w:r>
        <w:rPr>
          <w:rFonts w:hint="default" w:ascii="楷体" w:eastAsia="楷体" w:cs="Times New Roman"/>
          <w:sz w:val="32"/>
          <w:szCs w:val="32"/>
          <w:lang w:val="en-US" w:eastAsia="zh-CN"/>
        </w:rPr>
        <w:t>深化品牌活动内涵实效。优化“四季有主题”品牌活动体系，</w:t>
      </w:r>
      <w:r>
        <w:rPr>
          <w:rFonts w:hint="eastAsia" w:ascii="楷体" w:eastAsia="楷体" w:cs="Times New Roman"/>
          <w:sz w:val="32"/>
          <w:szCs w:val="32"/>
          <w:lang w:val="en-US" w:eastAsia="zh-CN"/>
        </w:rPr>
        <w:t>分季度开展4次“</w:t>
      </w:r>
      <w:r>
        <w:rPr>
          <w:rFonts w:hint="default" w:ascii="楷体" w:eastAsia="楷体" w:cs="Times New Roman"/>
          <w:sz w:val="32"/>
          <w:szCs w:val="32"/>
          <w:lang w:val="en-US" w:eastAsia="zh-CN"/>
        </w:rPr>
        <w:t>启航·春晖引智</w:t>
      </w:r>
      <w:r>
        <w:rPr>
          <w:rFonts w:hint="eastAsia" w:ascii="楷体" w:eastAsia="楷体" w:cs="Times New Roman"/>
          <w:sz w:val="32"/>
          <w:szCs w:val="32"/>
          <w:lang w:val="en-US" w:eastAsia="zh-CN"/>
        </w:rPr>
        <w:t>”“</w:t>
      </w:r>
      <w:r>
        <w:rPr>
          <w:rFonts w:hint="default" w:ascii="楷体" w:eastAsia="楷体" w:cs="Times New Roman"/>
          <w:sz w:val="32"/>
          <w:szCs w:val="32"/>
          <w:lang w:val="en-US" w:eastAsia="zh-CN"/>
        </w:rPr>
        <w:t>蓄力·仲夏筑梦</w:t>
      </w:r>
      <w:r>
        <w:rPr>
          <w:rFonts w:hint="eastAsia" w:ascii="楷体" w:eastAsia="楷体" w:cs="Times New Roman"/>
          <w:sz w:val="32"/>
          <w:szCs w:val="32"/>
          <w:lang w:val="en-US" w:eastAsia="zh-CN"/>
        </w:rPr>
        <w:t>”“</w:t>
      </w:r>
      <w:r>
        <w:rPr>
          <w:rFonts w:hint="default" w:ascii="楷体" w:eastAsia="楷体" w:cs="Times New Roman"/>
          <w:sz w:val="32"/>
          <w:szCs w:val="32"/>
          <w:lang w:val="en-US" w:eastAsia="zh-CN"/>
        </w:rPr>
        <w:t>归巢·金秋纳贤</w:t>
      </w:r>
      <w:r>
        <w:rPr>
          <w:rFonts w:hint="eastAsia" w:ascii="楷体" w:eastAsia="楷体" w:cs="Times New Roman"/>
          <w:sz w:val="32"/>
          <w:szCs w:val="32"/>
          <w:lang w:val="en-US" w:eastAsia="zh-CN"/>
        </w:rPr>
        <w:t>”“</w:t>
      </w:r>
      <w:r>
        <w:rPr>
          <w:rFonts w:hint="default" w:ascii="楷体" w:eastAsia="楷体" w:cs="Times New Roman"/>
          <w:sz w:val="32"/>
          <w:szCs w:val="32"/>
          <w:lang w:val="en-US" w:eastAsia="zh-CN"/>
        </w:rPr>
        <w:t>积淀·谋篇未来</w:t>
      </w:r>
      <w:r>
        <w:rPr>
          <w:rFonts w:hint="eastAsia" w:ascii="楷体" w:eastAsia="楷体" w:cs="Times New Roman"/>
          <w:sz w:val="32"/>
          <w:szCs w:val="32"/>
          <w:lang w:val="en-US" w:eastAsia="zh-CN"/>
        </w:rPr>
        <w:t>”人才招引活动</w:t>
      </w:r>
      <w:r>
        <w:rPr>
          <w:rFonts w:hint="default" w:ascii="楷体" w:eastAsia="楷体" w:cs="Times New Roman"/>
          <w:sz w:val="32"/>
          <w:szCs w:val="32"/>
          <w:lang w:val="en-US" w:eastAsia="zh-CN"/>
        </w:rPr>
        <w:t>。</w:t>
      </w:r>
      <w:r>
        <w:rPr>
          <w:rFonts w:hint="eastAsia" w:ascii="楷体" w:eastAsia="楷体" w:cs="Times New Roman"/>
          <w:sz w:val="32"/>
          <w:szCs w:val="32"/>
          <w:lang w:val="en-US" w:eastAsia="zh-CN"/>
        </w:rPr>
        <w:t>积极</w:t>
      </w:r>
      <w:r>
        <w:rPr>
          <w:rFonts w:hint="default" w:ascii="楷体" w:eastAsia="楷体" w:cs="Times New Roman"/>
          <w:sz w:val="32"/>
          <w:szCs w:val="32"/>
          <w:lang w:val="en-US" w:eastAsia="zh-CN"/>
        </w:rPr>
        <w:t>拓展文化引才多元路径</w:t>
      </w:r>
      <w:r>
        <w:rPr>
          <w:rFonts w:hint="eastAsia" w:ascii="楷体" w:eastAsia="楷体" w:cs="Times New Roman"/>
          <w:sz w:val="32"/>
          <w:szCs w:val="32"/>
          <w:lang w:val="en-US" w:eastAsia="zh-CN"/>
        </w:rPr>
        <w:t>，在京</w:t>
      </w:r>
      <w:r>
        <w:rPr>
          <w:rFonts w:hint="default" w:ascii="楷体" w:eastAsia="楷体" w:cs="Times New Roman"/>
          <w:sz w:val="32"/>
          <w:szCs w:val="32"/>
          <w:lang w:val="en-US" w:eastAsia="zh-CN"/>
        </w:rPr>
        <w:t>举办1</w:t>
      </w:r>
      <w:r>
        <w:rPr>
          <w:rFonts w:hint="eastAsia" w:ascii="楷体" w:eastAsia="楷体" w:cs="Times New Roman"/>
          <w:sz w:val="32"/>
          <w:szCs w:val="32"/>
          <w:lang w:val="en-US" w:eastAsia="zh-CN"/>
        </w:rPr>
        <w:t>～</w:t>
      </w:r>
      <w:r>
        <w:rPr>
          <w:rFonts w:hint="default" w:ascii="楷体" w:eastAsia="楷体" w:cs="Times New Roman"/>
          <w:sz w:val="32"/>
          <w:szCs w:val="32"/>
          <w:lang w:val="en-US" w:eastAsia="zh-CN"/>
        </w:rPr>
        <w:t>2期“匠心传承·才聚家乡”非遗体验活动。高标准做好“魅力阿坝·走进部委”活动</w:t>
      </w:r>
      <w:r>
        <w:rPr>
          <w:rFonts w:hint="eastAsia" w:ascii="楷体" w:eastAsia="楷体" w:cs="Times New Roman"/>
          <w:sz w:val="32"/>
          <w:szCs w:val="32"/>
          <w:lang w:val="en-US" w:eastAsia="zh-CN"/>
        </w:rPr>
        <w:t>，组织</w:t>
      </w:r>
      <w:r>
        <w:rPr>
          <w:rFonts w:hint="default" w:ascii="楷体" w:eastAsia="楷体" w:cs="Times New Roman"/>
          <w:sz w:val="32"/>
          <w:szCs w:val="32"/>
          <w:lang w:val="en-US" w:eastAsia="zh-CN"/>
        </w:rPr>
        <w:t>开展1</w:t>
      </w:r>
      <w:r>
        <w:rPr>
          <w:rFonts w:hint="eastAsia" w:ascii="楷体" w:eastAsia="楷体" w:cs="Times New Roman"/>
          <w:sz w:val="32"/>
          <w:szCs w:val="32"/>
          <w:lang w:val="en-US" w:eastAsia="zh-CN"/>
        </w:rPr>
        <w:t>～</w:t>
      </w:r>
      <w:r>
        <w:rPr>
          <w:rFonts w:hint="default" w:ascii="楷体" w:eastAsia="楷体" w:cs="Times New Roman"/>
          <w:sz w:val="32"/>
          <w:szCs w:val="32"/>
          <w:lang w:val="en-US" w:eastAsia="zh-CN"/>
        </w:rPr>
        <w:t>2</w:t>
      </w:r>
      <w:r>
        <w:rPr>
          <w:rFonts w:hint="eastAsia" w:ascii="楷体" w:eastAsia="楷体" w:cs="Times New Roman"/>
          <w:sz w:val="32"/>
          <w:szCs w:val="32"/>
          <w:lang w:val="en-US" w:eastAsia="zh-CN"/>
        </w:rPr>
        <w:t>次</w:t>
      </w:r>
      <w:r>
        <w:rPr>
          <w:rFonts w:hint="default" w:ascii="楷体" w:eastAsia="楷体" w:cs="Times New Roman"/>
          <w:sz w:val="32"/>
          <w:szCs w:val="32"/>
          <w:lang w:val="en-US" w:eastAsia="zh-CN"/>
        </w:rPr>
        <w:t>高校实地调研。</w:t>
      </w:r>
      <w:r>
        <w:rPr>
          <w:rFonts w:hint="eastAsia" w:ascii="楷体" w:eastAsia="楷体" w:cs="Times New Roman"/>
          <w:sz w:val="32"/>
          <w:szCs w:val="32"/>
          <w:lang w:val="en-US" w:eastAsia="zh-CN"/>
        </w:rPr>
        <w:t>充分</w:t>
      </w:r>
      <w:r>
        <w:rPr>
          <w:rFonts w:hint="default" w:ascii="楷体" w:eastAsia="楷体" w:cs="Times New Roman"/>
          <w:sz w:val="32"/>
          <w:szCs w:val="32"/>
          <w:lang w:val="en-US" w:eastAsia="zh-CN"/>
        </w:rPr>
        <w:t>发挥</w:t>
      </w:r>
      <w:r>
        <w:rPr>
          <w:rFonts w:hint="eastAsia" w:ascii="楷体" w:eastAsia="楷体" w:cs="Times New Roman"/>
          <w:sz w:val="32"/>
          <w:szCs w:val="32"/>
          <w:lang w:val="en-US" w:eastAsia="zh-CN"/>
        </w:rPr>
        <w:t>4名</w:t>
      </w:r>
      <w:r>
        <w:rPr>
          <w:rFonts w:hint="default" w:ascii="楷体" w:eastAsia="楷体" w:cs="Times New Roman"/>
          <w:sz w:val="32"/>
          <w:szCs w:val="32"/>
          <w:lang w:val="en-US" w:eastAsia="zh-CN"/>
        </w:rPr>
        <w:t>招才招商</w:t>
      </w:r>
      <w:r>
        <w:rPr>
          <w:rFonts w:hint="eastAsia" w:ascii="楷体" w:eastAsia="楷体" w:cs="Times New Roman"/>
          <w:sz w:val="32"/>
          <w:szCs w:val="32"/>
          <w:lang w:val="en-US" w:eastAsia="zh-CN"/>
        </w:rPr>
        <w:t>推介</w:t>
      </w:r>
      <w:r>
        <w:rPr>
          <w:rFonts w:hint="default" w:ascii="楷体" w:eastAsia="楷体" w:cs="Times New Roman"/>
          <w:sz w:val="32"/>
          <w:szCs w:val="32"/>
          <w:lang w:val="en-US" w:eastAsia="zh-CN"/>
        </w:rPr>
        <w:t>大使作用</w:t>
      </w:r>
      <w:r>
        <w:rPr>
          <w:rFonts w:hint="eastAsia" w:ascii="楷体" w:eastAsia="楷体" w:cs="Times New Roman"/>
          <w:sz w:val="32"/>
          <w:szCs w:val="32"/>
          <w:lang w:val="en-US" w:eastAsia="zh-CN"/>
        </w:rPr>
        <w:t>。</w:t>
      </w:r>
      <w:r>
        <w:rPr>
          <w:rFonts w:hint="default" w:ascii="楷体" w:eastAsia="楷体" w:cs="Times New Roman"/>
          <w:sz w:val="32"/>
          <w:szCs w:val="32"/>
          <w:lang w:val="en-US" w:eastAsia="zh-CN"/>
        </w:rPr>
        <w:t>建立常态化部委联络图谱，</w:t>
      </w:r>
      <w:r>
        <w:rPr>
          <w:rFonts w:hint="eastAsia" w:ascii="楷体" w:eastAsia="楷体" w:cs="Times New Roman"/>
          <w:sz w:val="32"/>
          <w:szCs w:val="32"/>
          <w:lang w:val="en-US" w:eastAsia="zh-CN"/>
        </w:rPr>
        <w:t>开展5个以上重点部委拜访对接</w:t>
      </w:r>
      <w:r>
        <w:rPr>
          <w:rFonts w:hint="default" w:ascii="楷体" w:eastAsia="楷体" w:cs="Times New Roman"/>
          <w:sz w:val="32"/>
          <w:szCs w:val="32"/>
          <w:lang w:val="en-US" w:eastAsia="zh-CN"/>
        </w:rPr>
        <w:t>。组织在京人</w:t>
      </w:r>
      <w:r>
        <w:rPr>
          <w:rFonts w:hint="eastAsia" w:ascii="楷体" w:eastAsia="楷体" w:cs="Times New Roman"/>
          <w:sz w:val="32"/>
          <w:szCs w:val="32"/>
          <w:lang w:val="en-US" w:eastAsia="zh-CN"/>
        </w:rPr>
        <w:t>员开展各类主题活动不少于5场次，</w:t>
      </w:r>
      <w:r>
        <w:rPr>
          <w:rFonts w:hint="default" w:ascii="楷体" w:eastAsia="楷体" w:cs="Times New Roman"/>
          <w:sz w:val="32"/>
          <w:szCs w:val="32"/>
          <w:lang w:val="en-US" w:eastAsia="zh-CN"/>
        </w:rPr>
        <w:t>积极组织在京在蓉学生参与</w:t>
      </w:r>
      <w:r>
        <w:rPr>
          <w:rFonts w:hint="eastAsia" w:ascii="楷体" w:eastAsia="楷体" w:cs="Times New Roman"/>
          <w:sz w:val="32"/>
          <w:szCs w:val="32"/>
          <w:lang w:val="en-US" w:eastAsia="zh-CN"/>
        </w:rPr>
        <w:t>省、州</w:t>
      </w:r>
      <w:r>
        <w:rPr>
          <w:rFonts w:hint="default" w:ascii="楷体" w:eastAsia="楷体" w:cs="Times New Roman"/>
          <w:sz w:val="32"/>
          <w:szCs w:val="32"/>
          <w:lang w:val="en-US" w:eastAsia="zh-CN"/>
        </w:rPr>
        <w:t>“双走进”专场招聘会</w:t>
      </w:r>
      <w:r>
        <w:rPr>
          <w:rFonts w:hint="eastAsia" w:ascii="楷体" w:eastAsia="楷体" w:cs="Times New Roman"/>
          <w:sz w:val="32"/>
          <w:szCs w:val="32"/>
          <w:lang w:val="en-US" w:eastAsia="zh-CN"/>
        </w:rPr>
        <w:t>等</w:t>
      </w:r>
      <w:r>
        <w:rPr>
          <w:rFonts w:hint="default" w:ascii="楷体" w:eastAsia="楷体" w:cs="Times New Roman"/>
          <w:sz w:val="32"/>
          <w:szCs w:val="32"/>
          <w:lang w:val="en-US" w:eastAsia="zh-CN"/>
        </w:rPr>
        <w:t>专场活动，定向覆盖目标学子</w:t>
      </w:r>
      <w:r>
        <w:rPr>
          <w:rFonts w:hint="eastAsia" w:ascii="楷体" w:eastAsia="楷体" w:cs="Times New Roman"/>
          <w:sz w:val="32"/>
          <w:szCs w:val="32"/>
          <w:lang w:val="en-US" w:eastAsia="zh-CN"/>
        </w:rPr>
        <w:t>300名以上</w:t>
      </w:r>
      <w:r>
        <w:rPr>
          <w:rFonts w:hint="default" w:ascii="楷体" w:eastAsia="楷体" w:cs="Times New Roman"/>
          <w:sz w:val="32"/>
          <w:szCs w:val="32"/>
          <w:lang w:val="en-US" w:eastAsia="zh-CN"/>
        </w:rPr>
        <w:t>。</w:t>
      </w:r>
      <w:r>
        <w:rPr>
          <w:rFonts w:hint="eastAsia" w:ascii="楷体" w:eastAsia="楷体" w:cs="Times New Roman"/>
          <w:sz w:val="32"/>
          <w:szCs w:val="32"/>
          <w:lang w:val="en-US" w:eastAsia="zh-CN"/>
        </w:rPr>
        <w:t>充分发挥</w:t>
      </w:r>
      <w:r>
        <w:rPr>
          <w:rFonts w:hint="default" w:ascii="楷体" w:eastAsia="楷体" w:cs="Times New Roman"/>
          <w:sz w:val="32"/>
          <w:szCs w:val="32"/>
          <w:lang w:val="en-US" w:eastAsia="zh-CN"/>
        </w:rPr>
        <w:t>人才服务热线</w:t>
      </w:r>
      <w:r>
        <w:rPr>
          <w:rFonts w:hint="eastAsia" w:ascii="楷体" w:eastAsia="楷体" w:cs="Times New Roman"/>
          <w:sz w:val="32"/>
          <w:szCs w:val="32"/>
          <w:lang w:val="en-US" w:eastAsia="zh-CN"/>
        </w:rPr>
        <w:t>作用，</w:t>
      </w:r>
      <w:r>
        <w:rPr>
          <w:rFonts w:hint="default" w:ascii="楷体" w:eastAsia="楷体" w:cs="Times New Roman"/>
          <w:sz w:val="32"/>
          <w:szCs w:val="32"/>
          <w:lang w:val="en-US" w:eastAsia="zh-CN"/>
        </w:rPr>
        <w:t>各类咨询办结率</w:t>
      </w:r>
      <w:r>
        <w:rPr>
          <w:rFonts w:hint="eastAsia" w:ascii="楷体" w:eastAsia="楷体" w:cs="Times New Roman"/>
          <w:sz w:val="32"/>
          <w:szCs w:val="32"/>
          <w:lang w:val="en-US" w:eastAsia="zh-CN"/>
        </w:rPr>
        <w:t>达</w:t>
      </w:r>
      <w:r>
        <w:rPr>
          <w:rFonts w:hint="default" w:ascii="楷体" w:eastAsia="楷体" w:cs="Times New Roman"/>
          <w:sz w:val="32"/>
          <w:szCs w:val="32"/>
          <w:lang w:val="en-US" w:eastAsia="zh-CN"/>
        </w:rPr>
        <w:t>100%。妥善协调处理州籍在京学子“急难愁盼”事项</w:t>
      </w:r>
      <w:r>
        <w:rPr>
          <w:rFonts w:hint="eastAsia" w:ascii="楷体" w:eastAsia="楷体" w:cs="Times New Roman"/>
          <w:sz w:val="32"/>
          <w:szCs w:val="32"/>
          <w:lang w:val="en-US" w:eastAsia="zh-CN"/>
        </w:rPr>
        <w:t>10</w:t>
      </w:r>
      <w:r>
        <w:rPr>
          <w:rFonts w:hint="default" w:ascii="楷体" w:eastAsia="楷体" w:cs="Times New Roman"/>
          <w:sz w:val="32"/>
          <w:szCs w:val="32"/>
          <w:lang w:val="en-US" w:eastAsia="zh-CN"/>
        </w:rPr>
        <w:t>件</w:t>
      </w:r>
      <w:r>
        <w:rPr>
          <w:rFonts w:hint="eastAsia" w:ascii="楷体" w:eastAsia="楷体" w:cs="Times New Roman"/>
          <w:sz w:val="32"/>
          <w:szCs w:val="32"/>
          <w:lang w:val="en-US" w:eastAsia="zh-CN"/>
        </w:rPr>
        <w:t>以上</w:t>
      </w:r>
      <w:r>
        <w:rPr>
          <w:rFonts w:hint="default" w:ascii="楷体" w:eastAsia="楷体" w:cs="Times New Roman"/>
          <w:sz w:val="32"/>
          <w:szCs w:val="32"/>
          <w:lang w:val="en-US" w:eastAsia="zh-CN"/>
        </w:rPr>
        <w:t>。</w:t>
      </w:r>
      <w:r>
        <w:rPr>
          <w:rFonts w:hint="eastAsia" w:ascii="楷体" w:eastAsia="楷体" w:cs="Times New Roman"/>
          <w:sz w:val="32"/>
          <w:szCs w:val="32"/>
          <w:lang w:val="en-US" w:eastAsia="zh-CN"/>
        </w:rPr>
        <w:t>高质量</w:t>
      </w:r>
      <w:r>
        <w:rPr>
          <w:rFonts w:hint="default" w:ascii="楷体" w:eastAsia="楷体" w:cs="Times New Roman"/>
          <w:sz w:val="32"/>
          <w:szCs w:val="32"/>
          <w:lang w:val="en-US" w:eastAsia="zh-CN"/>
        </w:rPr>
        <w:t>完成全国“两会”、省“两会”期间我州参会代表的联络、服务与后勤保障工作。</w:t>
      </w:r>
    </w:p>
    <w:p>
      <w:pPr>
        <w:keepNext w:val="0"/>
        <w:keepLines w:val="0"/>
        <w:pageBreakBefore w:val="0"/>
        <w:widowControl w:val="0"/>
        <w:kinsoku/>
        <w:wordWrap/>
        <w:overflowPunct/>
        <w:topLinePunct w:val="0"/>
        <w:autoSpaceDE/>
        <w:autoSpaceDN/>
        <w:bidi w:val="0"/>
        <w:adjustRightInd/>
        <w:snapToGrid/>
        <w:spacing w:line="536" w:lineRule="exact"/>
        <w:ind w:left="0" w:firstLine="640" w:firstLineChars="200"/>
        <w:jc w:val="both"/>
        <w:textAlignment w:val="auto"/>
        <w:rPr>
          <w:rFonts w:hint="default" w:ascii="楷体" w:eastAsia="楷体" w:cs="Times New Roman"/>
          <w:sz w:val="32"/>
          <w:szCs w:val="32"/>
          <w:lang w:val="en-US" w:eastAsia="zh-CN"/>
        </w:rPr>
      </w:pPr>
      <w:r>
        <w:rPr>
          <w:rFonts w:hint="eastAsia" w:ascii="Times New Roman" w:hAnsi="Times New Roman" w:eastAsia="仿宋" w:cs="Times New Roman"/>
          <w:color w:val="auto"/>
          <w:kern w:val="0"/>
          <w:sz w:val="32"/>
          <w:szCs w:val="32"/>
          <w:lang w:val="en-US" w:eastAsia="zh-CN"/>
        </w:rPr>
        <w:t>4.</w:t>
      </w:r>
      <w:r>
        <w:rPr>
          <w:rFonts w:hint="eastAsia" w:ascii="Times New Roman" w:hAnsi="Times New Roman" w:eastAsia="楷体" w:cs="Times New Roman"/>
          <w:b/>
          <w:bCs/>
          <w:color w:val="auto"/>
          <w:kern w:val="0"/>
          <w:sz w:val="32"/>
          <w:szCs w:val="32"/>
          <w:lang w:val="en-US" w:eastAsia="zh-CN"/>
        </w:rPr>
        <w:t>以安全稳定为根本，协助做好信访维稳。协助州、县（市）信访部门</w:t>
      </w:r>
      <w:r>
        <w:rPr>
          <w:rFonts w:hint="eastAsia" w:ascii="楷体" w:eastAsia="楷体" w:cs="Times New Roman"/>
          <w:sz w:val="32"/>
          <w:szCs w:val="32"/>
          <w:lang w:val="en-US" w:eastAsia="zh-CN"/>
        </w:rPr>
        <w:t>做好北京、成都两地涉及我州群众信访稳控和矛盾纠纷排查化解，疏导劝返等日常工作，协助做好重大节会和敏感时段值班值守、稳控劝返等工作。协助做好预警信息收集、推送、舆情分析研判等工作，确保守住“三个不发生”底线。</w:t>
      </w:r>
    </w:p>
    <w:p>
      <w:pPr>
        <w:keepNext w:val="0"/>
        <w:keepLines w:val="0"/>
        <w:pageBreakBefore w:val="0"/>
        <w:widowControl w:val="0"/>
        <w:kinsoku/>
        <w:wordWrap/>
        <w:overflowPunct/>
        <w:topLinePunct w:val="0"/>
        <w:autoSpaceDE/>
        <w:autoSpaceDN/>
        <w:bidi w:val="0"/>
        <w:adjustRightInd/>
        <w:snapToGrid/>
        <w:spacing w:line="536" w:lineRule="exact"/>
        <w:ind w:left="0" w:firstLine="643" w:firstLineChars="200"/>
        <w:jc w:val="both"/>
        <w:textAlignment w:val="auto"/>
        <w:rPr>
          <w:rFonts w:hint="default" w:ascii="Times New Roman" w:hAnsi="Times New Roman" w:eastAsia="仿宋" w:cs="Times New Roman"/>
          <w:color w:val="auto"/>
          <w:kern w:val="0"/>
          <w:sz w:val="32"/>
          <w:szCs w:val="32"/>
          <w:lang w:val="en-US" w:eastAsia="zh-CN"/>
        </w:rPr>
      </w:pPr>
      <w:r>
        <w:rPr>
          <w:rFonts w:hint="eastAsia" w:ascii="Times New Roman" w:hAnsi="Times New Roman" w:eastAsia="楷体" w:cs="Times New Roman"/>
          <w:b/>
          <w:bCs/>
          <w:color w:val="auto"/>
          <w:kern w:val="0"/>
          <w:sz w:val="32"/>
          <w:szCs w:val="32"/>
          <w:lang w:val="en-US" w:eastAsia="zh-CN"/>
        </w:rPr>
        <w:t>5.</w:t>
      </w:r>
      <w:r>
        <w:rPr>
          <w:rFonts w:hint="default" w:ascii="Times New Roman" w:hAnsi="Times New Roman" w:eastAsia="楷体" w:cs="Times New Roman"/>
          <w:b/>
          <w:bCs/>
          <w:color w:val="auto"/>
          <w:kern w:val="0"/>
          <w:sz w:val="32"/>
          <w:szCs w:val="32"/>
          <w:lang w:val="en-US" w:eastAsia="zh-CN"/>
        </w:rPr>
        <w:t>以固本强基为支撑，持续加强自身能力建设。</w:t>
      </w:r>
      <w:r>
        <w:rPr>
          <w:rFonts w:hint="default" w:ascii="楷体" w:eastAsia="楷体" w:cs="Times New Roman"/>
          <w:sz w:val="32"/>
          <w:szCs w:val="32"/>
          <w:lang w:val="en-US" w:eastAsia="zh-CN"/>
        </w:rPr>
        <w:t>围绕招商引资、政务礼仪、信息化应用等重点领域，开展“开放创新讲堂”专项培训</w:t>
      </w:r>
      <w:r>
        <w:rPr>
          <w:rFonts w:hint="eastAsia" w:ascii="楷体" w:eastAsia="楷体" w:cs="Times New Roman"/>
          <w:sz w:val="32"/>
          <w:szCs w:val="32"/>
          <w:lang w:val="en-US" w:eastAsia="zh-CN"/>
        </w:rPr>
        <w:t>5期以上</w:t>
      </w:r>
      <w:r>
        <w:rPr>
          <w:rFonts w:hint="default" w:ascii="楷体" w:eastAsia="楷体" w:cs="Times New Roman"/>
          <w:sz w:val="32"/>
          <w:szCs w:val="32"/>
          <w:lang w:val="en-US" w:eastAsia="zh-CN"/>
        </w:rPr>
        <w:t>，</w:t>
      </w:r>
      <w:r>
        <w:rPr>
          <w:rFonts w:hint="eastAsia" w:ascii="楷体" w:eastAsia="楷体" w:cs="Times New Roman"/>
          <w:sz w:val="32"/>
          <w:szCs w:val="32"/>
          <w:lang w:val="en-US" w:eastAsia="zh-CN"/>
        </w:rPr>
        <w:t>干部职工培训面达100%</w:t>
      </w:r>
      <w:r>
        <w:rPr>
          <w:rFonts w:hint="default" w:ascii="楷体" w:eastAsia="楷体" w:cs="Times New Roman"/>
          <w:sz w:val="32"/>
          <w:szCs w:val="32"/>
          <w:lang w:val="en-US" w:eastAsia="zh-CN"/>
        </w:rPr>
        <w:t>，着力打造一支“懂经济、通规则、善招商”的专业化驻外招商团队。持续转变工作观念，破除路径依赖，强化纪律作风建设，打造一支政治坚定、业务精通、作风过硬的驻外</w:t>
      </w:r>
      <w:r>
        <w:rPr>
          <w:rFonts w:hint="eastAsia" w:ascii="楷体" w:eastAsia="楷体" w:cs="Times New Roman"/>
          <w:sz w:val="32"/>
          <w:szCs w:val="32"/>
          <w:lang w:val="en-US" w:eastAsia="zh-CN"/>
        </w:rPr>
        <w:t>队伍</w:t>
      </w:r>
      <w:r>
        <w:rPr>
          <w:rFonts w:hint="default" w:ascii="楷体" w:eastAsia="楷体" w:cs="Times New Roman"/>
          <w:sz w:val="32"/>
          <w:szCs w:val="32"/>
          <w:lang w:val="en-US" w:eastAsia="zh-CN"/>
        </w:rPr>
        <w:t>，为圆满完成各项任务提供坚实保障</w:t>
      </w:r>
      <w:r>
        <w:rPr>
          <w:rFonts w:hint="default" w:ascii="Times New Roman" w:hAnsi="Times New Roman" w:eastAsia="仿宋" w:cs="Times New Roman"/>
          <w:color w:val="auto"/>
          <w:kern w:val="0"/>
          <w:sz w:val="32"/>
          <w:szCs w:val="32"/>
          <w:lang w:val="en-US" w:eastAsia="zh-CN"/>
        </w:rPr>
        <w:t>。</w:t>
      </w:r>
    </w:p>
    <w:p>
      <w:pPr>
        <w:rPr>
          <w:rFonts w:hint="eastAsia" w:ascii="黑体" w:eastAsia="黑体"/>
          <w:sz w:val="32"/>
          <w:szCs w:val="32"/>
        </w:rPr>
      </w:pPr>
      <w:r>
        <w:rPr>
          <w:rFonts w:hint="eastAsia" w:ascii="黑体" w:eastAsia="黑体"/>
          <w:sz w:val="32"/>
          <w:szCs w:val="32"/>
        </w:rPr>
        <w:t>二、部门预算单位构成</w:t>
      </w:r>
    </w:p>
    <w:p>
      <w:pPr>
        <w:pStyle w:val="9"/>
        <w:ind w:left="0" w:leftChars="0" w:firstLine="640" w:firstLineChars="200"/>
        <w:rPr>
          <w:rFonts w:hint="eastAsia" w:ascii="Times New Roman" w:hAnsi="Times New Roman" w:eastAsia="仿宋" w:cs="Times New Roman"/>
          <w:color w:val="auto"/>
          <w:kern w:val="0"/>
          <w:sz w:val="32"/>
          <w:szCs w:val="32"/>
          <w:lang w:val="en-US" w:eastAsia="zh-CN" w:bidi="ar-SA"/>
        </w:rPr>
      </w:pPr>
      <w:r>
        <w:rPr>
          <w:rFonts w:hint="eastAsia" w:ascii="楷体" w:hAnsi="Calibri" w:eastAsia="楷体" w:cs="Times New Roman"/>
          <w:kern w:val="2"/>
          <w:sz w:val="32"/>
          <w:szCs w:val="32"/>
          <w:lang w:val="en-US" w:eastAsia="zh-CN" w:bidi="ar-SA"/>
        </w:rPr>
        <w:t>阿坝州政府驻北京联络处属一级预算单位，没有下属二级预算单位。</w:t>
      </w:r>
    </w:p>
    <w:p>
      <w:pPr>
        <w:rPr>
          <w:rFonts w:ascii="黑体" w:eastAsia="黑体"/>
          <w:sz w:val="32"/>
          <w:szCs w:val="32"/>
        </w:rPr>
      </w:pPr>
      <w:r>
        <w:rPr>
          <w:rFonts w:hint="eastAsia" w:ascii="黑体" w:eastAsia="黑体"/>
          <w:sz w:val="32"/>
          <w:szCs w:val="32"/>
        </w:rPr>
        <w:t>三、收支预算情况说明</w:t>
      </w:r>
    </w:p>
    <w:p>
      <w:pPr>
        <w:rPr>
          <w:rFonts w:hint="eastAsia" w:ascii="楷体" w:eastAsia="楷体"/>
          <w:sz w:val="32"/>
          <w:szCs w:val="32"/>
        </w:rPr>
      </w:pPr>
      <w:r>
        <w:rPr>
          <w:rFonts w:hint="eastAsia" w:ascii="楷体" w:eastAsia="楷体"/>
          <w:sz w:val="32"/>
          <w:szCs w:val="32"/>
        </w:rPr>
        <w:t>（一）收入预算情况</w:t>
      </w:r>
    </w:p>
    <w:p>
      <w:pPr>
        <w:ind w:firstLine="640" w:firstLineChars="200"/>
        <w:rPr>
          <w:rFonts w:hint="eastAsia" w:ascii="楷体" w:eastAsia="楷体" w:cs="Times New Roman"/>
          <w:sz w:val="32"/>
          <w:szCs w:val="32"/>
        </w:rPr>
      </w:pPr>
      <w:r>
        <w:rPr>
          <w:rFonts w:hint="eastAsia" w:ascii="楷体" w:eastAsia="楷体" w:cs="Times New Roman"/>
          <w:sz w:val="32"/>
          <w:szCs w:val="32"/>
        </w:rPr>
        <w:t>阿坝州政府驻北京联络处202</w:t>
      </w:r>
      <w:r>
        <w:rPr>
          <w:rFonts w:hint="eastAsia" w:ascii="楷体" w:eastAsia="楷体" w:cs="Times New Roman"/>
          <w:sz w:val="32"/>
          <w:szCs w:val="32"/>
          <w:lang w:val="en-US" w:eastAsia="zh-CN"/>
        </w:rPr>
        <w:t>6</w:t>
      </w:r>
      <w:r>
        <w:rPr>
          <w:rFonts w:hint="eastAsia" w:ascii="楷体" w:eastAsia="楷体" w:cs="Times New Roman"/>
          <w:sz w:val="32"/>
          <w:szCs w:val="32"/>
        </w:rPr>
        <w:t>年收入预算</w:t>
      </w:r>
      <w:r>
        <w:rPr>
          <w:rFonts w:hint="eastAsia" w:ascii="楷体" w:eastAsia="楷体" w:cs="Times New Roman"/>
          <w:sz w:val="32"/>
          <w:szCs w:val="32"/>
          <w:lang w:val="en-US" w:eastAsia="zh-CN"/>
        </w:rPr>
        <w:t>920.88</w:t>
      </w:r>
      <w:r>
        <w:rPr>
          <w:rFonts w:hint="eastAsia" w:ascii="楷体" w:eastAsia="楷体" w:cs="Times New Roman"/>
          <w:sz w:val="32"/>
          <w:szCs w:val="32"/>
        </w:rPr>
        <w:t>万元，其中：上年结转0万元，占0%；一般公共预算拨款收入</w:t>
      </w:r>
      <w:r>
        <w:rPr>
          <w:rFonts w:hint="eastAsia" w:ascii="楷体" w:eastAsia="楷体" w:cs="Times New Roman"/>
          <w:sz w:val="32"/>
          <w:szCs w:val="32"/>
          <w:lang w:val="en-US" w:eastAsia="zh-CN"/>
        </w:rPr>
        <w:t>920.88</w:t>
      </w:r>
      <w:r>
        <w:rPr>
          <w:rFonts w:hint="eastAsia" w:ascii="楷体" w:eastAsia="楷体" w:cs="Times New Roman"/>
          <w:sz w:val="32"/>
          <w:szCs w:val="32"/>
        </w:rPr>
        <w:t>万元，占100%；事业收入0万元，占0%；其他收入0元，占0%。</w:t>
      </w:r>
    </w:p>
    <w:p>
      <w:pPr>
        <w:numPr>
          <w:ilvl w:val="0"/>
          <w:numId w:val="1"/>
        </w:numPr>
        <w:jc w:val="left"/>
        <w:rPr>
          <w:rFonts w:hint="eastAsia" w:ascii="楷体" w:eastAsia="楷体"/>
          <w:sz w:val="32"/>
          <w:szCs w:val="32"/>
        </w:rPr>
      </w:pPr>
      <w:r>
        <w:rPr>
          <w:rFonts w:hint="eastAsia" w:ascii="楷体" w:eastAsia="楷体"/>
          <w:sz w:val="32"/>
          <w:szCs w:val="32"/>
        </w:rPr>
        <w:t>支出预算情况</w:t>
      </w:r>
    </w:p>
    <w:p>
      <w:pPr>
        <w:ind w:firstLine="640" w:firstLineChars="200"/>
        <w:rPr>
          <w:rFonts w:hint="eastAsia" w:ascii="楷体" w:eastAsia="楷体" w:cs="Times New Roman"/>
          <w:sz w:val="32"/>
          <w:szCs w:val="32"/>
        </w:rPr>
      </w:pPr>
      <w:r>
        <w:rPr>
          <w:rFonts w:hint="eastAsia" w:ascii="楷体" w:eastAsia="楷体" w:cs="Times New Roman"/>
          <w:sz w:val="32"/>
          <w:szCs w:val="32"/>
        </w:rPr>
        <w:t>阿坝州政府驻北京联络处202</w:t>
      </w:r>
      <w:r>
        <w:rPr>
          <w:rFonts w:hint="eastAsia" w:ascii="楷体" w:eastAsia="楷体" w:cs="Times New Roman"/>
          <w:sz w:val="32"/>
          <w:szCs w:val="32"/>
          <w:lang w:val="en-US" w:eastAsia="zh-CN"/>
        </w:rPr>
        <w:t>6</w:t>
      </w:r>
      <w:r>
        <w:rPr>
          <w:rFonts w:hint="eastAsia" w:ascii="楷体" w:eastAsia="楷体" w:cs="Times New Roman"/>
          <w:sz w:val="32"/>
          <w:szCs w:val="32"/>
        </w:rPr>
        <w:t>年支出预算</w:t>
      </w:r>
      <w:r>
        <w:rPr>
          <w:rFonts w:hint="eastAsia" w:ascii="楷体" w:eastAsia="楷体" w:cs="Times New Roman"/>
          <w:sz w:val="32"/>
          <w:szCs w:val="32"/>
          <w:lang w:val="en-US" w:eastAsia="zh-CN"/>
        </w:rPr>
        <w:t>920.88</w:t>
      </w:r>
      <w:r>
        <w:rPr>
          <w:rFonts w:hint="eastAsia" w:ascii="楷体" w:eastAsia="楷体" w:cs="Times New Roman"/>
          <w:sz w:val="32"/>
          <w:szCs w:val="32"/>
        </w:rPr>
        <w:t>万元，其中：基本支出</w:t>
      </w:r>
      <w:r>
        <w:rPr>
          <w:rFonts w:hint="eastAsia" w:ascii="楷体" w:eastAsia="楷体" w:cs="Times New Roman"/>
          <w:sz w:val="32"/>
          <w:szCs w:val="32"/>
          <w:lang w:val="en-US" w:eastAsia="zh-CN"/>
        </w:rPr>
        <w:t>684.88</w:t>
      </w:r>
      <w:r>
        <w:rPr>
          <w:rFonts w:hint="eastAsia" w:ascii="楷体" w:eastAsia="楷体" w:cs="Times New Roman"/>
          <w:sz w:val="32"/>
          <w:szCs w:val="32"/>
        </w:rPr>
        <w:t>万元，占</w:t>
      </w:r>
      <w:r>
        <w:rPr>
          <w:rFonts w:hint="eastAsia" w:ascii="楷体" w:eastAsia="楷体" w:cs="Times New Roman"/>
          <w:sz w:val="32"/>
          <w:szCs w:val="32"/>
          <w:lang w:val="en-US" w:eastAsia="zh-CN"/>
        </w:rPr>
        <w:t>74.37</w:t>
      </w:r>
      <w:r>
        <w:rPr>
          <w:rFonts w:hint="eastAsia" w:ascii="楷体" w:eastAsia="楷体" w:cs="Times New Roman"/>
          <w:sz w:val="32"/>
          <w:szCs w:val="32"/>
        </w:rPr>
        <w:t>%；项目支出</w:t>
      </w:r>
      <w:r>
        <w:rPr>
          <w:rFonts w:hint="eastAsia" w:ascii="楷体" w:eastAsia="楷体" w:cs="Times New Roman"/>
          <w:sz w:val="32"/>
          <w:szCs w:val="32"/>
          <w:lang w:val="en-US" w:eastAsia="zh-CN"/>
        </w:rPr>
        <w:t>236</w:t>
      </w:r>
      <w:r>
        <w:rPr>
          <w:rFonts w:hint="eastAsia" w:ascii="楷体" w:eastAsia="楷体" w:cs="Times New Roman"/>
          <w:sz w:val="32"/>
          <w:szCs w:val="32"/>
        </w:rPr>
        <w:t>万元，占</w:t>
      </w:r>
      <w:r>
        <w:rPr>
          <w:rFonts w:hint="eastAsia" w:ascii="楷体" w:eastAsia="楷体" w:cs="Times New Roman"/>
          <w:sz w:val="32"/>
          <w:szCs w:val="32"/>
          <w:lang w:val="en-US" w:eastAsia="zh-CN"/>
        </w:rPr>
        <w:t>25.63</w:t>
      </w:r>
      <w:r>
        <w:rPr>
          <w:rFonts w:hint="eastAsia" w:ascii="楷体" w:eastAsia="楷体" w:cs="Times New Roman"/>
          <w:sz w:val="32"/>
          <w:szCs w:val="32"/>
        </w:rPr>
        <w:t>%。</w:t>
      </w:r>
    </w:p>
    <w:p>
      <w:pPr>
        <w:numPr>
          <w:ilvl w:val="0"/>
          <w:numId w:val="2"/>
        </w:numPr>
        <w:rPr>
          <w:rFonts w:hint="eastAsia" w:ascii="黑体" w:eastAsia="黑体"/>
          <w:sz w:val="32"/>
          <w:szCs w:val="32"/>
        </w:rPr>
      </w:pPr>
      <w:r>
        <w:rPr>
          <w:rFonts w:hint="eastAsia" w:ascii="黑体" w:eastAsia="黑体"/>
          <w:sz w:val="32"/>
          <w:szCs w:val="32"/>
        </w:rPr>
        <w:t>财政拨款收支预算情况说明</w:t>
      </w:r>
    </w:p>
    <w:p>
      <w:pPr>
        <w:ind w:firstLine="640" w:firstLineChars="200"/>
        <w:rPr>
          <w:rFonts w:hint="default" w:ascii="楷体" w:eastAsia="楷体" w:cs="Times New Roman"/>
          <w:sz w:val="32"/>
          <w:szCs w:val="32"/>
          <w:lang w:val="en-US" w:eastAsia="zh-CN"/>
        </w:rPr>
      </w:pPr>
      <w:r>
        <w:rPr>
          <w:rFonts w:hint="eastAsia" w:ascii="黑体" w:eastAsia="黑体"/>
          <w:sz w:val="32"/>
          <w:szCs w:val="32"/>
          <w:lang w:val="en-US" w:eastAsia="zh-CN"/>
        </w:rPr>
        <w:t xml:space="preserve">  </w:t>
      </w:r>
      <w:r>
        <w:rPr>
          <w:rFonts w:hint="eastAsia" w:ascii="楷体" w:eastAsia="楷体" w:cs="Times New Roman"/>
          <w:sz w:val="32"/>
          <w:szCs w:val="32"/>
          <w:lang w:val="en-US" w:eastAsia="zh-CN"/>
        </w:rPr>
        <w:t xml:space="preserve">  </w:t>
      </w:r>
      <w:r>
        <w:rPr>
          <w:rFonts w:hint="eastAsia" w:ascii="楷体" w:eastAsia="楷体" w:cs="Times New Roman"/>
          <w:sz w:val="32"/>
          <w:szCs w:val="32"/>
        </w:rPr>
        <w:t>阿坝州政府驻北京联络处202</w:t>
      </w:r>
      <w:r>
        <w:rPr>
          <w:rFonts w:hint="eastAsia" w:ascii="楷体" w:eastAsia="楷体" w:cs="Times New Roman"/>
          <w:sz w:val="32"/>
          <w:szCs w:val="32"/>
          <w:lang w:val="en-US" w:eastAsia="zh-CN"/>
        </w:rPr>
        <w:t>6</w:t>
      </w:r>
      <w:r>
        <w:rPr>
          <w:rFonts w:hint="eastAsia" w:ascii="楷体" w:eastAsia="楷体" w:cs="Times New Roman"/>
          <w:sz w:val="32"/>
          <w:szCs w:val="32"/>
        </w:rPr>
        <w:t>年财政拨款收支总预算</w:t>
      </w:r>
      <w:r>
        <w:rPr>
          <w:rFonts w:hint="eastAsia" w:ascii="楷体" w:eastAsia="楷体" w:cs="Times New Roman"/>
          <w:sz w:val="32"/>
          <w:szCs w:val="32"/>
          <w:lang w:val="en-US" w:eastAsia="zh-CN"/>
        </w:rPr>
        <w:t>920.88</w:t>
      </w:r>
      <w:r>
        <w:rPr>
          <w:rFonts w:hint="eastAsia" w:ascii="楷体" w:eastAsia="楷体" w:cs="Times New Roman"/>
          <w:sz w:val="32"/>
          <w:szCs w:val="32"/>
        </w:rPr>
        <w:t>万元,比202</w:t>
      </w:r>
      <w:r>
        <w:rPr>
          <w:rFonts w:hint="eastAsia" w:ascii="楷体" w:eastAsia="楷体" w:cs="Times New Roman"/>
          <w:sz w:val="32"/>
          <w:szCs w:val="32"/>
          <w:lang w:val="en-US" w:eastAsia="zh-CN"/>
        </w:rPr>
        <w:t>5</w:t>
      </w:r>
      <w:r>
        <w:rPr>
          <w:rFonts w:hint="eastAsia" w:ascii="楷体" w:eastAsia="楷体" w:cs="Times New Roman"/>
          <w:sz w:val="32"/>
          <w:szCs w:val="32"/>
        </w:rPr>
        <w:t>年财政拨款收支总预算减少</w:t>
      </w:r>
      <w:r>
        <w:rPr>
          <w:rFonts w:hint="eastAsia" w:ascii="楷体" w:eastAsia="楷体" w:cs="Times New Roman"/>
          <w:sz w:val="32"/>
          <w:szCs w:val="32"/>
          <w:lang w:val="en-US" w:eastAsia="zh-CN"/>
        </w:rPr>
        <w:t>62.66</w:t>
      </w:r>
      <w:r>
        <w:rPr>
          <w:rFonts w:hint="eastAsia" w:ascii="楷体" w:eastAsia="楷体" w:cs="Times New Roman"/>
          <w:sz w:val="32"/>
          <w:szCs w:val="32"/>
        </w:rPr>
        <w:t>万元，主要原因:</w:t>
      </w:r>
      <w:r>
        <w:rPr>
          <w:rFonts w:hint="eastAsia" w:ascii="楷体" w:eastAsia="楷体" w:cs="Times New Roman"/>
          <w:sz w:val="32"/>
          <w:szCs w:val="32"/>
          <w:lang w:val="en-US" w:eastAsia="zh-CN"/>
        </w:rPr>
        <w:t>今年较去年减少车辆购置经费，人员较上年减少2人，导致人员经费下降。</w:t>
      </w:r>
    </w:p>
    <w:p>
      <w:pPr>
        <w:ind w:firstLine="640" w:firstLineChars="200"/>
        <w:rPr>
          <w:rFonts w:hint="eastAsia" w:ascii="楷体" w:eastAsia="楷体" w:cs="Times New Roman"/>
          <w:sz w:val="32"/>
          <w:szCs w:val="32"/>
          <w:lang w:val="en-US" w:eastAsia="zh-CN"/>
        </w:rPr>
      </w:pPr>
      <w:r>
        <w:rPr>
          <w:rFonts w:hint="eastAsia" w:ascii="楷体" w:eastAsia="楷体" w:cs="Times New Roman"/>
          <w:sz w:val="32"/>
          <w:szCs w:val="32"/>
          <w:lang w:val="en-US" w:eastAsia="zh-CN"/>
        </w:rPr>
        <w:t>收入包括：按照综合预算的原则，阿坝州政府驻北京联络处所有收入和支出均纳入部门预算管理。收入包括：一般公共预算拨款收入920.88万元，事业收入0万元，其他收入0万元，上年结转0万元；</w:t>
      </w:r>
    </w:p>
    <w:p>
      <w:pPr>
        <w:ind w:firstLine="640" w:firstLineChars="200"/>
        <w:rPr>
          <w:rFonts w:hint="default" w:ascii="黑体" w:eastAsia="黑体"/>
          <w:sz w:val="32"/>
          <w:szCs w:val="32"/>
          <w:lang w:val="en-US" w:eastAsia="zh-CN"/>
        </w:rPr>
      </w:pPr>
      <w:r>
        <w:rPr>
          <w:rFonts w:hint="eastAsia" w:ascii="楷体" w:eastAsia="楷体" w:cs="Times New Roman"/>
          <w:sz w:val="32"/>
          <w:szCs w:val="32"/>
          <w:lang w:val="en-US" w:eastAsia="zh-CN"/>
        </w:rPr>
        <w:t>支出包括：一般公共服务支出792.91元，社会保障和就业支出65.99万元，医疗卫生与计划生育支出29.85万元，住房保障支出32.14万元。</w:t>
      </w:r>
      <w:r>
        <w:rPr>
          <w:rFonts w:hint="eastAsia" w:ascii="仿宋_GB2312" w:eastAsia="仿宋_GB2312"/>
          <w:sz w:val="32"/>
          <w:szCs w:val="32"/>
        </w:rPr>
        <w:t>　</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 w:eastAsia="楷体"/>
          <w:sz w:val="32"/>
          <w:szCs w:val="32"/>
        </w:rPr>
      </w:pPr>
      <w:r>
        <w:rPr>
          <w:rFonts w:hint="eastAsia" w:ascii="楷体" w:eastAsia="楷体"/>
          <w:sz w:val="32"/>
          <w:szCs w:val="32"/>
        </w:rPr>
        <w:t>（一）一般公共预算当年拨款规模变化情况</w:t>
      </w:r>
    </w:p>
    <w:p>
      <w:pPr>
        <w:ind w:firstLine="640" w:firstLineChars="200"/>
        <w:rPr>
          <w:rFonts w:hint="eastAsia" w:ascii="楷体" w:eastAsia="楷体"/>
          <w:sz w:val="32"/>
          <w:szCs w:val="32"/>
        </w:rPr>
      </w:pPr>
      <w:r>
        <w:rPr>
          <w:rFonts w:hint="eastAsia" w:ascii="楷体" w:eastAsia="楷体" w:cs="Times New Roman"/>
          <w:sz w:val="32"/>
          <w:szCs w:val="32"/>
          <w:lang w:val="en-US" w:eastAsia="zh-CN"/>
        </w:rPr>
        <w:t xml:space="preserve"> </w:t>
      </w:r>
      <w:r>
        <w:rPr>
          <w:rFonts w:hint="eastAsia" w:ascii="楷体" w:eastAsia="楷体" w:cs="Times New Roman"/>
          <w:sz w:val="32"/>
          <w:szCs w:val="32"/>
        </w:rPr>
        <w:t>阿坝州政府驻北京联络处202</w:t>
      </w:r>
      <w:r>
        <w:rPr>
          <w:rFonts w:hint="eastAsia" w:ascii="楷体" w:eastAsia="楷体" w:cs="Times New Roman"/>
          <w:sz w:val="32"/>
          <w:szCs w:val="32"/>
          <w:lang w:val="en-US" w:eastAsia="zh-CN"/>
        </w:rPr>
        <w:t>6</w:t>
      </w:r>
      <w:r>
        <w:rPr>
          <w:rFonts w:hint="eastAsia" w:ascii="楷体" w:eastAsia="楷体" w:cs="Times New Roman"/>
          <w:sz w:val="32"/>
          <w:szCs w:val="32"/>
        </w:rPr>
        <w:t>年财政拨款收支总预算</w:t>
      </w:r>
      <w:r>
        <w:rPr>
          <w:rFonts w:hint="eastAsia" w:ascii="楷体" w:eastAsia="楷体" w:cs="Times New Roman"/>
          <w:sz w:val="32"/>
          <w:szCs w:val="32"/>
          <w:lang w:val="en-US" w:eastAsia="zh-CN"/>
        </w:rPr>
        <w:t>920.88</w:t>
      </w:r>
      <w:r>
        <w:rPr>
          <w:rFonts w:hint="eastAsia" w:ascii="楷体" w:eastAsia="楷体" w:cs="Times New Roman"/>
          <w:sz w:val="32"/>
          <w:szCs w:val="32"/>
        </w:rPr>
        <w:t>万元,比202</w:t>
      </w:r>
      <w:r>
        <w:rPr>
          <w:rFonts w:hint="eastAsia" w:ascii="楷体" w:eastAsia="楷体" w:cs="Times New Roman"/>
          <w:sz w:val="32"/>
          <w:szCs w:val="32"/>
          <w:lang w:val="en-US" w:eastAsia="zh-CN"/>
        </w:rPr>
        <w:t>5</w:t>
      </w:r>
      <w:r>
        <w:rPr>
          <w:rFonts w:hint="eastAsia" w:ascii="楷体" w:eastAsia="楷体" w:cs="Times New Roman"/>
          <w:sz w:val="32"/>
          <w:szCs w:val="32"/>
        </w:rPr>
        <w:t>年财政拨款收支总预算减少</w:t>
      </w:r>
      <w:r>
        <w:rPr>
          <w:rFonts w:hint="eastAsia" w:ascii="楷体" w:eastAsia="楷体" w:cs="Times New Roman"/>
          <w:sz w:val="32"/>
          <w:szCs w:val="32"/>
          <w:lang w:val="en-US" w:eastAsia="zh-CN"/>
        </w:rPr>
        <w:t>62.66</w:t>
      </w:r>
      <w:r>
        <w:rPr>
          <w:rFonts w:hint="eastAsia" w:ascii="楷体" w:eastAsia="楷体" w:cs="Times New Roman"/>
          <w:sz w:val="32"/>
          <w:szCs w:val="32"/>
        </w:rPr>
        <w:t>万元，主要原因:</w:t>
      </w:r>
      <w:r>
        <w:rPr>
          <w:rFonts w:hint="eastAsia" w:ascii="楷体" w:eastAsia="楷体" w:cs="Times New Roman"/>
          <w:sz w:val="32"/>
          <w:szCs w:val="32"/>
          <w:lang w:val="en-US" w:eastAsia="zh-CN"/>
        </w:rPr>
        <w:t>今年较去年减少车辆购置经费，人员较上年减少2人，导致人员经费下降。</w:t>
      </w:r>
      <w:r>
        <w:rPr>
          <w:rFonts w:ascii="楷体" w:eastAsia="楷体"/>
          <w:sz w:val="32"/>
          <w:szCs w:val="32"/>
        </w:rPr>
        <w:br w:type="textWrapping"/>
      </w:r>
      <w:r>
        <w:rPr>
          <w:rFonts w:hint="eastAsia" w:ascii="楷体" w:eastAsia="楷体"/>
          <w:sz w:val="32"/>
          <w:szCs w:val="32"/>
        </w:rPr>
        <w:t>（二）一般公共预算当年拨款结构情况</w:t>
      </w:r>
    </w:p>
    <w:p>
      <w:pPr>
        <w:rPr>
          <w:rFonts w:hint="default" w:ascii="楷体" w:eastAsia="楷体"/>
          <w:sz w:val="32"/>
          <w:szCs w:val="32"/>
          <w:lang w:val="en-US" w:eastAsia="zh-CN"/>
        </w:rPr>
      </w:pPr>
      <w:r>
        <w:rPr>
          <w:rFonts w:hint="eastAsia" w:ascii="楷体" w:eastAsia="楷体"/>
          <w:sz w:val="32"/>
          <w:szCs w:val="32"/>
          <w:lang w:val="en-US" w:eastAsia="zh-CN"/>
        </w:rPr>
        <w:t xml:space="preserve">    </w:t>
      </w:r>
      <w:r>
        <w:rPr>
          <w:rFonts w:hint="eastAsia" w:ascii="楷体" w:eastAsia="楷体" w:cs="Times New Roman"/>
          <w:sz w:val="32"/>
          <w:szCs w:val="32"/>
          <w:lang w:val="en-US" w:eastAsia="zh-CN"/>
        </w:rPr>
        <w:t>一般公共服务支出792.91元，占86.10%。社会保障和就业支出65.99万元，占7.17%。医疗卫生与计划生育支出29.85万元，占3.24%。住房保障支出32.14万元，占3.49%。</w:t>
      </w:r>
    </w:p>
    <w:p>
      <w:pPr>
        <w:numPr>
          <w:ilvl w:val="0"/>
          <w:numId w:val="1"/>
        </w:numPr>
        <w:ind w:left="0" w:leftChars="0" w:firstLine="0" w:firstLineChars="0"/>
        <w:rPr>
          <w:rFonts w:ascii="黑体" w:eastAsia="黑体"/>
          <w:sz w:val="32"/>
          <w:szCs w:val="32"/>
        </w:rPr>
      </w:pPr>
      <w:r>
        <w:rPr>
          <w:rFonts w:hint="eastAsia" w:ascii="楷体" w:eastAsia="楷体"/>
          <w:sz w:val="32"/>
          <w:szCs w:val="32"/>
        </w:rPr>
        <w:t>一般公共预算当年拨款具体使用情况</w:t>
      </w:r>
    </w:p>
    <w:p>
      <w:pPr>
        <w:ind w:firstLine="640" w:firstLineChars="200"/>
        <w:rPr>
          <w:rFonts w:hint="eastAsia" w:ascii="黑体" w:eastAsia="黑体"/>
          <w:sz w:val="32"/>
          <w:szCs w:val="32"/>
        </w:rPr>
      </w:pPr>
      <w:r>
        <w:rPr>
          <w:rFonts w:hint="eastAsia" w:ascii="楷体" w:eastAsia="楷体" w:cs="Times New Roman"/>
          <w:sz w:val="32"/>
          <w:szCs w:val="32"/>
          <w:lang w:val="en-US" w:eastAsia="zh-CN"/>
        </w:rPr>
        <w:t>当年支出分为基本支出和项目支出，其中基本支出分为人员支出和公用经费支出。人员支出共计557.47万元，其中在职工资288.61万元，五险一金127.98，长期临聘人员工资80.88万元，  其他人员经费68万元；公用经费共计127.41万元；项目经费236万元，主要是招商引资经费7万元，政务联络经费40万元，信访维稳经费26万元，成都办公区房屋租赁156万元，购办公设备7万元。</w:t>
      </w:r>
      <w:r>
        <w:rPr>
          <w:rFonts w:ascii="??" w:hAnsi="??" w:cs="宋体"/>
          <w:kern w:val="0"/>
          <w:sz w:val="16"/>
          <w:szCs w:val="16"/>
        </w:rPr>
        <w:br w:type="textWrapping"/>
      </w:r>
      <w:r>
        <w:rPr>
          <w:rFonts w:hint="eastAsia" w:ascii="黑体" w:eastAsia="黑体"/>
          <w:sz w:val="32"/>
          <w:szCs w:val="32"/>
        </w:rPr>
        <w:t>六、一般公共预算基本支出情况说明</w:t>
      </w:r>
    </w:p>
    <w:p>
      <w:pPr>
        <w:pStyle w:val="10"/>
        <w:spacing w:before="0" w:line="360" w:lineRule="auto"/>
        <w:ind w:firstLine="640" w:firstLineChars="200"/>
        <w:rPr>
          <w:rFonts w:hint="eastAsia" w:ascii="楷体" w:hAnsi="Calibri" w:eastAsia="楷体" w:cs="Times New Roman"/>
          <w:kern w:val="2"/>
          <w:sz w:val="32"/>
          <w:szCs w:val="32"/>
          <w:lang w:val="en-US" w:eastAsia="zh-CN" w:bidi="ar-SA"/>
        </w:rPr>
      </w:pPr>
      <w:r>
        <w:rPr>
          <w:rFonts w:hint="eastAsia" w:ascii="楷体" w:hAnsi="Calibri" w:eastAsia="楷体" w:cs="Times New Roman"/>
          <w:kern w:val="2"/>
          <w:sz w:val="32"/>
          <w:szCs w:val="32"/>
          <w:lang w:val="en-US" w:eastAsia="zh-CN" w:bidi="ar-SA"/>
        </w:rPr>
        <w:t>阿坝州政府驻北京联络处202</w:t>
      </w:r>
      <w:r>
        <w:rPr>
          <w:rFonts w:hint="eastAsia" w:ascii="楷体" w:eastAsia="楷体" w:cs="Times New Roman"/>
          <w:kern w:val="2"/>
          <w:sz w:val="32"/>
          <w:szCs w:val="32"/>
          <w:lang w:val="en-US" w:eastAsia="zh-CN" w:bidi="ar-SA"/>
        </w:rPr>
        <w:t>6</w:t>
      </w:r>
      <w:r>
        <w:rPr>
          <w:rFonts w:hint="eastAsia" w:ascii="楷体" w:hAnsi="Calibri" w:eastAsia="楷体" w:cs="Times New Roman"/>
          <w:kern w:val="2"/>
          <w:sz w:val="32"/>
          <w:szCs w:val="32"/>
          <w:lang w:val="en-US" w:eastAsia="zh-CN" w:bidi="ar-SA"/>
        </w:rPr>
        <w:t>年一般公共预算基本支出</w:t>
      </w:r>
      <w:r>
        <w:rPr>
          <w:rFonts w:hint="eastAsia" w:ascii="楷体" w:eastAsia="楷体" w:cs="Times New Roman"/>
          <w:kern w:val="2"/>
          <w:sz w:val="32"/>
          <w:szCs w:val="32"/>
          <w:lang w:val="en-US" w:eastAsia="zh-CN" w:bidi="ar-SA"/>
        </w:rPr>
        <w:t>684.88</w:t>
      </w:r>
      <w:r>
        <w:rPr>
          <w:rFonts w:hint="eastAsia" w:ascii="楷体" w:hAnsi="Calibri" w:eastAsia="楷体" w:cs="Times New Roman"/>
          <w:kern w:val="2"/>
          <w:sz w:val="32"/>
          <w:szCs w:val="32"/>
          <w:lang w:val="en-US" w:eastAsia="zh-CN" w:bidi="ar-SA"/>
        </w:rPr>
        <w:t>万元，其中：人员经费</w:t>
      </w:r>
      <w:r>
        <w:rPr>
          <w:rFonts w:hint="eastAsia" w:ascii="楷体" w:eastAsia="楷体" w:cs="Times New Roman"/>
          <w:kern w:val="2"/>
          <w:sz w:val="32"/>
          <w:szCs w:val="32"/>
          <w:lang w:val="en-US" w:eastAsia="zh-CN" w:bidi="ar-SA"/>
        </w:rPr>
        <w:t>557.47</w:t>
      </w:r>
      <w:r>
        <w:rPr>
          <w:rFonts w:hint="eastAsia" w:ascii="楷体" w:hAnsi="Calibri" w:eastAsia="楷体" w:cs="Times New Roman"/>
          <w:kern w:val="2"/>
          <w:sz w:val="32"/>
          <w:szCs w:val="32"/>
          <w:lang w:val="en-US" w:eastAsia="zh-CN" w:bidi="ar-SA"/>
        </w:rPr>
        <w:t>万元，主要包括：基本工资、津贴补贴、奖金、其他社会保障缴费、绩效工资、机关事业单位基本养老保险缴费、职业年金缴费、其他工资福利支出、离休费、奖励金、住房公积金、其他对个人和家庭的补助支出。</w:t>
      </w:r>
    </w:p>
    <w:p>
      <w:pPr>
        <w:ind w:firstLine="640" w:firstLineChars="200"/>
        <w:rPr>
          <w:rFonts w:hint="eastAsia" w:ascii="黑体" w:eastAsia="黑体"/>
          <w:sz w:val="32"/>
          <w:szCs w:val="32"/>
        </w:rPr>
      </w:pPr>
      <w:r>
        <w:rPr>
          <w:rFonts w:hint="eastAsia" w:ascii="楷体" w:hAnsi="Calibri" w:eastAsia="楷体" w:cs="Times New Roman"/>
          <w:kern w:val="2"/>
          <w:sz w:val="32"/>
          <w:szCs w:val="32"/>
          <w:lang w:val="en-US" w:eastAsia="zh-CN" w:bidi="ar-SA"/>
        </w:rPr>
        <w:t>公用经费</w:t>
      </w:r>
      <w:r>
        <w:rPr>
          <w:rFonts w:hint="eastAsia" w:ascii="楷体" w:eastAsia="楷体" w:cs="Times New Roman"/>
          <w:kern w:val="2"/>
          <w:sz w:val="32"/>
          <w:szCs w:val="32"/>
          <w:lang w:val="en-US" w:eastAsia="zh-CN" w:bidi="ar-SA"/>
        </w:rPr>
        <w:t>127.41</w:t>
      </w:r>
      <w:r>
        <w:rPr>
          <w:rFonts w:hint="eastAsia" w:ascii="楷体" w:hAnsi="Calibri" w:eastAsia="楷体" w:cs="Times New Roman"/>
          <w:kern w:val="2"/>
          <w:sz w:val="32"/>
          <w:szCs w:val="32"/>
          <w:lang w:val="en-US" w:eastAsia="zh-CN" w:bidi="ar-SA"/>
        </w:rPr>
        <w:t>万元，主要包括：办公费、印刷费、手续费、水费、电费、邮电费、差旅费、维修（护）费、租赁费、会议费、培训费、劳务费、工会经费、福利费、其他交通工具运行维护费、其他商品和服务支出。</w:t>
      </w:r>
      <w:r>
        <w:rPr>
          <w:rFonts w:hint="eastAsia" w:ascii="楷体" w:hAnsi="Calibri" w:eastAsia="楷体" w:cs="Times New Roman"/>
          <w:kern w:val="2"/>
          <w:sz w:val="32"/>
          <w:szCs w:val="32"/>
          <w:lang w:val="en-US" w:eastAsia="zh-CN" w:bidi="ar-SA"/>
        </w:rPr>
        <w:br w:type="textWrapping"/>
      </w:r>
      <w:r>
        <w:rPr>
          <w:rFonts w:hint="eastAsia" w:ascii="黑体" w:eastAsia="黑体"/>
          <w:sz w:val="32"/>
          <w:szCs w:val="32"/>
        </w:rPr>
        <w:t>七、“三公”经费财政拨款预算安排情况说明</w:t>
      </w:r>
    </w:p>
    <w:p>
      <w:pPr>
        <w:pStyle w:val="10"/>
        <w:spacing w:before="0" w:line="360" w:lineRule="auto"/>
        <w:ind w:firstLine="640" w:firstLineChars="200"/>
        <w:rPr>
          <w:rFonts w:hint="eastAsia" w:ascii="楷体" w:hAnsi="Calibri" w:eastAsia="楷体" w:cs="Times New Roman"/>
          <w:kern w:val="2"/>
          <w:sz w:val="32"/>
          <w:szCs w:val="32"/>
          <w:lang w:val="en-US" w:eastAsia="zh-CN" w:bidi="ar-SA"/>
        </w:rPr>
      </w:pPr>
      <w:r>
        <w:rPr>
          <w:rFonts w:hint="eastAsia" w:ascii="楷体" w:hAnsi="Calibri" w:eastAsia="楷体" w:cs="Times New Roman"/>
          <w:kern w:val="2"/>
          <w:sz w:val="32"/>
          <w:szCs w:val="32"/>
          <w:lang w:val="en-US" w:eastAsia="zh-CN" w:bidi="ar-SA"/>
        </w:rPr>
        <w:t>阿坝州政府驻北京联络处2026年“三公”经费财政拨款预算数67.2万元，其中：因公出国（境）经费0万元，公务接待费2.4万元，公务用车购置及运行维护费64.28万元。</w:t>
      </w:r>
    </w:p>
    <w:p>
      <w:pPr>
        <w:pStyle w:val="10"/>
        <w:spacing w:before="0" w:line="360" w:lineRule="auto"/>
        <w:ind w:firstLine="640" w:firstLineChars="200"/>
        <w:rPr>
          <w:rFonts w:hint="eastAsia" w:ascii="楷体" w:hAnsi="Calibri" w:eastAsia="楷体" w:cs="Times New Roman"/>
          <w:kern w:val="2"/>
          <w:sz w:val="32"/>
          <w:szCs w:val="32"/>
          <w:lang w:val="en-US" w:eastAsia="zh-CN" w:bidi="ar-SA"/>
        </w:rPr>
      </w:pPr>
      <w:r>
        <w:rPr>
          <w:rFonts w:hint="eastAsia" w:ascii="楷体" w:hAnsi="Calibri" w:eastAsia="楷体" w:cs="Times New Roman"/>
          <w:kern w:val="2"/>
          <w:sz w:val="32"/>
          <w:szCs w:val="32"/>
          <w:lang w:val="en-US" w:eastAsia="zh-CN" w:bidi="ar-SA"/>
        </w:rPr>
        <w:t>（一）202</w:t>
      </w:r>
      <w:r>
        <w:rPr>
          <w:rFonts w:hint="eastAsia" w:ascii="楷体" w:eastAsia="楷体" w:cs="Times New Roman"/>
          <w:kern w:val="2"/>
          <w:sz w:val="32"/>
          <w:szCs w:val="32"/>
          <w:lang w:val="en-US" w:eastAsia="zh-CN" w:bidi="ar-SA"/>
        </w:rPr>
        <w:t>6</w:t>
      </w:r>
      <w:r>
        <w:rPr>
          <w:rFonts w:hint="eastAsia" w:ascii="楷体" w:hAnsi="Calibri" w:eastAsia="楷体" w:cs="Times New Roman"/>
          <w:kern w:val="2"/>
          <w:sz w:val="32"/>
          <w:szCs w:val="32"/>
          <w:lang w:val="en-US" w:eastAsia="zh-CN" w:bidi="ar-SA"/>
        </w:rPr>
        <w:t>年因公出国（境）经费0万元。</w:t>
      </w:r>
    </w:p>
    <w:p>
      <w:pPr>
        <w:pStyle w:val="10"/>
        <w:spacing w:before="0" w:line="360" w:lineRule="auto"/>
        <w:ind w:firstLine="640" w:firstLineChars="200"/>
        <w:rPr>
          <w:rFonts w:hint="eastAsia" w:ascii="楷体" w:hAnsi="Calibri" w:eastAsia="楷体" w:cs="Times New Roman"/>
          <w:kern w:val="2"/>
          <w:sz w:val="32"/>
          <w:szCs w:val="32"/>
          <w:lang w:val="en-US" w:eastAsia="zh-CN" w:bidi="ar-SA"/>
        </w:rPr>
      </w:pPr>
      <w:r>
        <w:rPr>
          <w:rFonts w:hint="eastAsia" w:ascii="楷体" w:hAnsi="Calibri" w:eastAsia="楷体" w:cs="Times New Roman"/>
          <w:kern w:val="2"/>
          <w:sz w:val="32"/>
          <w:szCs w:val="32"/>
          <w:lang w:val="en-US" w:eastAsia="zh-CN" w:bidi="ar-SA"/>
        </w:rPr>
        <w:t>（二）202</w:t>
      </w:r>
      <w:r>
        <w:rPr>
          <w:rFonts w:hint="eastAsia" w:ascii="楷体" w:eastAsia="楷体" w:cs="Times New Roman"/>
          <w:kern w:val="2"/>
          <w:sz w:val="32"/>
          <w:szCs w:val="32"/>
          <w:lang w:val="en-US" w:eastAsia="zh-CN" w:bidi="ar-SA"/>
        </w:rPr>
        <w:t>6</w:t>
      </w:r>
      <w:r>
        <w:rPr>
          <w:rFonts w:hint="eastAsia" w:ascii="楷体" w:hAnsi="Calibri" w:eastAsia="楷体" w:cs="Times New Roman"/>
          <w:kern w:val="2"/>
          <w:sz w:val="32"/>
          <w:szCs w:val="32"/>
          <w:lang w:val="en-US" w:eastAsia="zh-CN" w:bidi="ar-SA"/>
        </w:rPr>
        <w:t>年公务接待经费2.40万元。较2025年预算经费减少0.02万元，</w:t>
      </w:r>
      <w:bookmarkStart w:id="0" w:name="_GoBack"/>
      <w:bookmarkEnd w:id="0"/>
      <w:r>
        <w:rPr>
          <w:rFonts w:hint="eastAsia" w:ascii="楷体" w:hAnsi="Calibri" w:eastAsia="楷体" w:cs="Times New Roman"/>
          <w:kern w:val="2"/>
          <w:sz w:val="32"/>
          <w:szCs w:val="32"/>
          <w:lang w:val="en-US" w:eastAsia="zh-CN" w:bidi="ar-SA"/>
        </w:rPr>
        <w:t>增长-2.4%，主要原因人员减少。</w:t>
      </w:r>
    </w:p>
    <w:p>
      <w:pPr>
        <w:pStyle w:val="10"/>
        <w:spacing w:before="0" w:line="360" w:lineRule="auto"/>
        <w:ind w:firstLine="640" w:firstLineChars="200"/>
        <w:rPr>
          <w:rFonts w:hint="eastAsia" w:ascii="黑体" w:eastAsia="黑体"/>
          <w:sz w:val="32"/>
          <w:szCs w:val="32"/>
        </w:rPr>
      </w:pPr>
      <w:r>
        <w:rPr>
          <w:rFonts w:hint="eastAsia" w:ascii="楷体" w:hAnsi="Calibri" w:eastAsia="楷体" w:cs="Times New Roman"/>
          <w:kern w:val="2"/>
          <w:sz w:val="32"/>
          <w:szCs w:val="32"/>
          <w:lang w:val="en-US" w:eastAsia="zh-CN" w:bidi="ar-SA"/>
        </w:rPr>
        <w:t>（三）202</w:t>
      </w:r>
      <w:r>
        <w:rPr>
          <w:rFonts w:hint="eastAsia" w:ascii="楷体" w:eastAsia="楷体" w:cs="Times New Roman"/>
          <w:kern w:val="2"/>
          <w:sz w:val="32"/>
          <w:szCs w:val="32"/>
          <w:lang w:val="en-US" w:eastAsia="zh-CN" w:bidi="ar-SA"/>
        </w:rPr>
        <w:t>6</w:t>
      </w:r>
      <w:r>
        <w:rPr>
          <w:rFonts w:hint="eastAsia" w:ascii="楷体" w:hAnsi="Calibri" w:eastAsia="楷体" w:cs="Times New Roman"/>
          <w:kern w:val="2"/>
          <w:sz w:val="32"/>
          <w:szCs w:val="32"/>
          <w:lang w:val="en-US" w:eastAsia="zh-CN" w:bidi="ar-SA"/>
        </w:rPr>
        <w:t>年公务用车购置及运行维护费64.28万元。较202</w:t>
      </w:r>
      <w:r>
        <w:rPr>
          <w:rFonts w:hint="eastAsia" w:ascii="楷体" w:eastAsia="楷体" w:cs="Times New Roman"/>
          <w:kern w:val="2"/>
          <w:sz w:val="32"/>
          <w:szCs w:val="32"/>
          <w:lang w:val="en-US" w:eastAsia="zh-CN" w:bidi="ar-SA"/>
        </w:rPr>
        <w:t>5</w:t>
      </w:r>
      <w:r>
        <w:rPr>
          <w:rFonts w:hint="eastAsia" w:ascii="楷体" w:hAnsi="Calibri" w:eastAsia="楷体" w:cs="Times New Roman"/>
          <w:kern w:val="2"/>
          <w:sz w:val="32"/>
          <w:szCs w:val="32"/>
          <w:lang w:val="en-US" w:eastAsia="zh-CN" w:bidi="ar-SA"/>
        </w:rPr>
        <w:t>年预算经费增加/减少0万元，增长0%，主要原因：公车无增减。</w:t>
      </w:r>
      <w:r>
        <w:rPr>
          <w:rFonts w:hint="eastAsia" w:ascii="楷体" w:hAnsi="Calibri" w:eastAsia="楷体" w:cs="Times New Roman"/>
          <w:kern w:val="2"/>
          <w:sz w:val="32"/>
          <w:szCs w:val="32"/>
          <w:lang w:val="en-US" w:eastAsia="zh-CN" w:bidi="ar-SA"/>
        </w:rPr>
        <w:br w:type="textWrapping"/>
      </w:r>
      <w:r>
        <w:rPr>
          <w:rFonts w:hint="eastAsia" w:ascii="黑体" w:eastAsia="黑体"/>
          <w:sz w:val="32"/>
          <w:szCs w:val="32"/>
        </w:rPr>
        <w:t>八、政府性基金预算支出情况说明</w:t>
      </w:r>
    </w:p>
    <w:p>
      <w:pPr>
        <w:pStyle w:val="10"/>
        <w:spacing w:before="0" w:line="360" w:lineRule="auto"/>
        <w:ind w:firstLine="640" w:firstLineChars="200"/>
        <w:rPr>
          <w:rFonts w:hint="eastAsia" w:ascii="黑体" w:eastAsia="黑体"/>
          <w:sz w:val="32"/>
          <w:szCs w:val="32"/>
        </w:rPr>
      </w:pPr>
      <w:r>
        <w:rPr>
          <w:rFonts w:hint="eastAsia" w:ascii="楷体" w:hAnsi="Calibri" w:eastAsia="楷体" w:cs="Times New Roman"/>
          <w:kern w:val="2"/>
          <w:sz w:val="32"/>
          <w:szCs w:val="32"/>
          <w:lang w:val="en-US" w:eastAsia="zh-CN" w:bidi="ar-SA"/>
        </w:rPr>
        <w:t>阿坝州政府驻北京联络处202</w:t>
      </w:r>
      <w:r>
        <w:rPr>
          <w:rFonts w:hint="eastAsia" w:ascii="楷体" w:eastAsia="楷体" w:cs="Times New Roman"/>
          <w:kern w:val="2"/>
          <w:sz w:val="32"/>
          <w:szCs w:val="32"/>
          <w:lang w:val="en-US" w:eastAsia="zh-CN" w:bidi="ar-SA"/>
        </w:rPr>
        <w:t>6</w:t>
      </w:r>
      <w:r>
        <w:rPr>
          <w:rFonts w:hint="eastAsia" w:ascii="楷体" w:hAnsi="Calibri" w:eastAsia="楷体" w:cs="Times New Roman"/>
          <w:kern w:val="2"/>
          <w:sz w:val="32"/>
          <w:szCs w:val="32"/>
          <w:lang w:val="en-US" w:eastAsia="zh-CN" w:bidi="ar-SA"/>
        </w:rPr>
        <w:t>年政府性基金预算拨款安排的支出0万元。较202</w:t>
      </w:r>
      <w:r>
        <w:rPr>
          <w:rFonts w:hint="eastAsia" w:ascii="楷体" w:eastAsia="楷体" w:cs="Times New Roman"/>
          <w:kern w:val="2"/>
          <w:sz w:val="32"/>
          <w:szCs w:val="32"/>
          <w:lang w:val="en-US" w:eastAsia="zh-CN" w:bidi="ar-SA"/>
        </w:rPr>
        <w:t>5</w:t>
      </w:r>
      <w:r>
        <w:rPr>
          <w:rFonts w:hint="eastAsia" w:ascii="楷体" w:hAnsi="Calibri" w:eastAsia="楷体" w:cs="Times New Roman"/>
          <w:kern w:val="2"/>
          <w:sz w:val="32"/>
          <w:szCs w:val="32"/>
          <w:lang w:val="en-US" w:eastAsia="zh-CN" w:bidi="ar-SA"/>
        </w:rPr>
        <w:t>年预算经费增加/减少0万元，增长0%。</w:t>
      </w:r>
      <w:r>
        <w:rPr>
          <w:rFonts w:hint="eastAsia" w:ascii="楷体" w:hAnsi="Calibri" w:eastAsia="楷体" w:cs="Times New Roman"/>
          <w:kern w:val="2"/>
          <w:sz w:val="32"/>
          <w:szCs w:val="32"/>
          <w:lang w:val="en-US" w:eastAsia="zh-CN" w:bidi="ar-SA"/>
        </w:rPr>
        <w:br w:type="textWrapping"/>
      </w:r>
      <w:r>
        <w:rPr>
          <w:rFonts w:hint="eastAsia" w:ascii="黑体" w:eastAsia="黑体"/>
          <w:sz w:val="32"/>
          <w:szCs w:val="32"/>
        </w:rPr>
        <w:t>九、其他重要事项的情况说明</w:t>
      </w:r>
    </w:p>
    <w:p>
      <w:pPr>
        <w:pStyle w:val="10"/>
        <w:spacing w:before="0" w:line="360" w:lineRule="auto"/>
        <w:ind w:firstLine="640" w:firstLineChars="200"/>
        <w:rPr>
          <w:rFonts w:hint="eastAsia" w:ascii="楷体" w:hAnsi="Calibri" w:eastAsia="楷体" w:cs="Times New Roman"/>
          <w:kern w:val="2"/>
          <w:sz w:val="32"/>
          <w:szCs w:val="32"/>
          <w:lang w:val="en-US" w:eastAsia="zh-CN" w:bidi="ar-SA"/>
        </w:rPr>
      </w:pPr>
      <w:r>
        <w:rPr>
          <w:rFonts w:hint="eastAsia" w:ascii="楷体" w:hAnsi="Calibri" w:eastAsia="楷体" w:cs="Times New Roman"/>
          <w:kern w:val="2"/>
          <w:sz w:val="32"/>
          <w:szCs w:val="32"/>
          <w:lang w:val="en-US" w:eastAsia="zh-CN" w:bidi="ar-SA"/>
        </w:rPr>
        <w:t>（一）机关运行经费</w:t>
      </w:r>
      <w:r>
        <w:rPr>
          <w:rFonts w:hint="eastAsia" w:ascii="楷体" w:hAnsi="Calibri" w:eastAsia="楷体" w:cs="Times New Roman"/>
          <w:kern w:val="2"/>
          <w:sz w:val="32"/>
          <w:szCs w:val="32"/>
          <w:lang w:val="en-US" w:eastAsia="zh-CN" w:bidi="ar-SA"/>
        </w:rPr>
        <w:br w:type="textWrapping"/>
      </w:r>
      <w:r>
        <w:rPr>
          <w:rFonts w:hint="eastAsia" w:ascii="楷体" w:hAnsi="Calibri" w:eastAsia="楷体" w:cs="Times New Roman"/>
          <w:kern w:val="2"/>
          <w:sz w:val="32"/>
          <w:szCs w:val="32"/>
          <w:lang w:val="en-US" w:eastAsia="zh-CN" w:bidi="ar-SA"/>
        </w:rPr>
        <w:t xml:space="preserve">　 阿坝州政府驻北京联络处2026年机关运行经费财政拨款预算为127.41万元，比2025年预算减少7.59万元，减少5.6%。 </w:t>
      </w:r>
    </w:p>
    <w:p>
      <w:pPr>
        <w:pStyle w:val="10"/>
        <w:spacing w:before="0" w:line="360" w:lineRule="auto"/>
        <w:ind w:firstLine="640" w:firstLineChars="200"/>
        <w:rPr>
          <w:rFonts w:hint="eastAsia" w:ascii="楷体" w:hAnsi="Calibri" w:eastAsia="楷体" w:cs="Times New Roman"/>
          <w:kern w:val="2"/>
          <w:sz w:val="32"/>
          <w:szCs w:val="32"/>
          <w:lang w:val="en-US" w:eastAsia="zh-CN" w:bidi="ar-SA"/>
        </w:rPr>
      </w:pPr>
      <w:r>
        <w:rPr>
          <w:rFonts w:hint="eastAsia" w:ascii="楷体" w:hAnsi="Calibri" w:eastAsia="楷体" w:cs="Times New Roman"/>
          <w:kern w:val="2"/>
          <w:sz w:val="32"/>
          <w:szCs w:val="32"/>
          <w:lang w:val="en-US" w:eastAsia="zh-CN" w:bidi="ar-SA"/>
        </w:rPr>
        <w:t>（二）政府采购情况</w:t>
      </w:r>
      <w:r>
        <w:rPr>
          <w:rFonts w:hint="eastAsia" w:ascii="楷体" w:hAnsi="Calibri" w:eastAsia="楷体" w:cs="Times New Roman"/>
          <w:kern w:val="2"/>
          <w:sz w:val="32"/>
          <w:szCs w:val="32"/>
          <w:lang w:val="en-US" w:eastAsia="zh-CN" w:bidi="ar-SA"/>
        </w:rPr>
        <w:br w:type="textWrapping"/>
      </w:r>
      <w:r>
        <w:rPr>
          <w:rFonts w:hint="eastAsia" w:ascii="楷体" w:hAnsi="Calibri" w:eastAsia="楷体" w:cs="Times New Roman"/>
          <w:kern w:val="2"/>
          <w:sz w:val="32"/>
          <w:szCs w:val="32"/>
          <w:lang w:val="en-US" w:eastAsia="zh-CN" w:bidi="ar-SA"/>
        </w:rPr>
        <w:t>　　 202</w:t>
      </w:r>
      <w:r>
        <w:rPr>
          <w:rFonts w:hint="eastAsia" w:ascii="楷体" w:eastAsia="楷体" w:cs="Times New Roman"/>
          <w:kern w:val="2"/>
          <w:sz w:val="32"/>
          <w:szCs w:val="32"/>
          <w:lang w:val="en-US" w:eastAsia="zh-CN" w:bidi="ar-SA"/>
        </w:rPr>
        <w:t>6</w:t>
      </w:r>
      <w:r>
        <w:rPr>
          <w:rFonts w:hint="eastAsia" w:ascii="楷体" w:hAnsi="Calibri" w:eastAsia="楷体" w:cs="Times New Roman"/>
          <w:kern w:val="2"/>
          <w:sz w:val="32"/>
          <w:szCs w:val="32"/>
          <w:lang w:val="en-US" w:eastAsia="zh-CN" w:bidi="ar-SA"/>
        </w:rPr>
        <w:t>年阿坝州政府驻北京联络处安排政府采购预算</w:t>
      </w:r>
      <w:r>
        <w:rPr>
          <w:rFonts w:hint="eastAsia" w:ascii="楷体" w:eastAsia="楷体" w:cs="Times New Roman"/>
          <w:kern w:val="2"/>
          <w:sz w:val="32"/>
          <w:szCs w:val="32"/>
          <w:lang w:val="en-US" w:eastAsia="zh-CN" w:bidi="ar-SA"/>
        </w:rPr>
        <w:t>7</w:t>
      </w:r>
      <w:r>
        <w:rPr>
          <w:rFonts w:hint="eastAsia" w:ascii="楷体" w:hAnsi="Calibri" w:eastAsia="楷体" w:cs="Times New Roman"/>
          <w:kern w:val="2"/>
          <w:sz w:val="32"/>
          <w:szCs w:val="32"/>
          <w:lang w:val="en-US" w:eastAsia="zh-CN" w:bidi="ar-SA"/>
        </w:rPr>
        <w:t>万元</w:t>
      </w:r>
      <w:r>
        <w:rPr>
          <w:rFonts w:hint="eastAsia" w:ascii="楷体" w:eastAsia="楷体" w:cs="Times New Roman"/>
          <w:kern w:val="2"/>
          <w:sz w:val="32"/>
          <w:szCs w:val="32"/>
          <w:lang w:val="en-US" w:eastAsia="zh-CN" w:bidi="ar-SA"/>
        </w:rPr>
        <w:t>，主要采购办公设备</w:t>
      </w:r>
      <w:r>
        <w:rPr>
          <w:rFonts w:hint="eastAsia" w:ascii="楷体" w:hAnsi="Calibri" w:eastAsia="楷体" w:cs="Times New Roman"/>
          <w:kern w:val="2"/>
          <w:sz w:val="32"/>
          <w:szCs w:val="32"/>
          <w:lang w:val="en-US" w:eastAsia="zh-CN" w:bidi="ar-SA"/>
        </w:rPr>
        <w:t>。</w:t>
      </w:r>
    </w:p>
    <w:p>
      <w:pPr>
        <w:pStyle w:val="10"/>
        <w:spacing w:before="0" w:line="360" w:lineRule="auto"/>
        <w:ind w:firstLine="640" w:firstLineChars="200"/>
        <w:rPr>
          <w:rFonts w:hint="eastAsia" w:ascii="楷体" w:hAnsi="Calibri" w:eastAsia="楷体" w:cs="Times New Roman"/>
          <w:kern w:val="2"/>
          <w:sz w:val="32"/>
          <w:szCs w:val="32"/>
          <w:lang w:val="en-US" w:eastAsia="zh-CN" w:bidi="ar-SA"/>
        </w:rPr>
      </w:pPr>
      <w:r>
        <w:rPr>
          <w:rFonts w:hint="eastAsia" w:ascii="楷体" w:hAnsi="Calibri" w:eastAsia="楷体" w:cs="Times New Roman"/>
          <w:kern w:val="2"/>
          <w:sz w:val="32"/>
          <w:szCs w:val="32"/>
          <w:lang w:val="en-US" w:eastAsia="zh-CN" w:bidi="ar-SA"/>
        </w:rPr>
        <w:t>（三）国有资产占有使用情况</w:t>
      </w:r>
    </w:p>
    <w:p>
      <w:pPr>
        <w:pStyle w:val="10"/>
        <w:spacing w:before="0" w:line="360" w:lineRule="auto"/>
        <w:ind w:firstLine="640" w:firstLineChars="200"/>
        <w:rPr>
          <w:rFonts w:hint="eastAsia" w:ascii="楷体" w:hAnsi="Calibri" w:eastAsia="楷体" w:cs="Times New Roman"/>
          <w:kern w:val="2"/>
          <w:sz w:val="32"/>
          <w:szCs w:val="32"/>
          <w:lang w:val="en-US" w:eastAsia="zh-CN" w:bidi="ar-SA"/>
        </w:rPr>
      </w:pPr>
      <w:r>
        <w:rPr>
          <w:rFonts w:hint="eastAsia" w:ascii="楷体" w:hAnsi="Calibri" w:eastAsia="楷体" w:cs="Times New Roman"/>
          <w:kern w:val="2"/>
          <w:sz w:val="32"/>
          <w:szCs w:val="32"/>
          <w:lang w:val="en-US" w:eastAsia="zh-CN" w:bidi="ar-SA"/>
        </w:rPr>
        <w:t>截至202</w:t>
      </w:r>
      <w:r>
        <w:rPr>
          <w:rFonts w:hint="eastAsia" w:ascii="楷体" w:eastAsia="楷体" w:cs="Times New Roman"/>
          <w:kern w:val="2"/>
          <w:sz w:val="32"/>
          <w:szCs w:val="32"/>
          <w:lang w:val="en-US" w:eastAsia="zh-CN" w:bidi="ar-SA"/>
        </w:rPr>
        <w:t>5</w:t>
      </w:r>
      <w:r>
        <w:rPr>
          <w:rFonts w:hint="eastAsia" w:ascii="楷体" w:hAnsi="Calibri" w:eastAsia="楷体" w:cs="Times New Roman"/>
          <w:kern w:val="2"/>
          <w:sz w:val="32"/>
          <w:szCs w:val="32"/>
          <w:lang w:val="en-US" w:eastAsia="zh-CN" w:bidi="ar-SA"/>
        </w:rPr>
        <w:t>年12月31日，我单位固定资产7344.94万元。</w:t>
      </w:r>
    </w:p>
    <w:p>
      <w:pPr>
        <w:pStyle w:val="10"/>
        <w:spacing w:before="0" w:line="360" w:lineRule="auto"/>
        <w:ind w:firstLine="640" w:firstLineChars="200"/>
        <w:rPr>
          <w:rFonts w:hint="eastAsia" w:ascii="楷体" w:hAnsi="Calibri" w:eastAsia="楷体" w:cs="Times New Roman"/>
          <w:kern w:val="2"/>
          <w:sz w:val="32"/>
          <w:szCs w:val="32"/>
          <w:lang w:val="en-US" w:eastAsia="zh-CN" w:bidi="ar-SA"/>
        </w:rPr>
      </w:pPr>
      <w:r>
        <w:rPr>
          <w:rFonts w:hint="eastAsia" w:ascii="楷体" w:hAnsi="Calibri" w:eastAsia="楷体" w:cs="Times New Roman"/>
          <w:kern w:val="2"/>
          <w:sz w:val="32"/>
          <w:szCs w:val="32"/>
          <w:lang w:val="en-US" w:eastAsia="zh-CN" w:bidi="ar-SA"/>
        </w:rPr>
        <w:t>（四）绩效目标设置情况</w:t>
      </w:r>
      <w:r>
        <w:rPr>
          <w:rFonts w:hint="eastAsia" w:ascii="楷体" w:hAnsi="Calibri" w:eastAsia="楷体" w:cs="Times New Roman"/>
          <w:kern w:val="2"/>
          <w:sz w:val="32"/>
          <w:szCs w:val="32"/>
          <w:lang w:val="en-US" w:eastAsia="zh-CN" w:bidi="ar-SA"/>
        </w:rPr>
        <w:br w:type="textWrapping"/>
      </w:r>
      <w:r>
        <w:rPr>
          <w:rFonts w:hint="eastAsia" w:ascii="楷体" w:hAnsi="Calibri" w:eastAsia="楷体" w:cs="Times New Roman"/>
          <w:kern w:val="2"/>
          <w:sz w:val="32"/>
          <w:szCs w:val="32"/>
          <w:lang w:val="en-US" w:eastAsia="zh-CN" w:bidi="ar-SA"/>
        </w:rPr>
        <w:t>　　202</w:t>
      </w:r>
      <w:r>
        <w:rPr>
          <w:rFonts w:hint="eastAsia" w:ascii="楷体" w:eastAsia="楷体" w:cs="Times New Roman"/>
          <w:kern w:val="2"/>
          <w:sz w:val="32"/>
          <w:szCs w:val="32"/>
          <w:lang w:val="en-US" w:eastAsia="zh-CN" w:bidi="ar-SA"/>
        </w:rPr>
        <w:t>6</w:t>
      </w:r>
      <w:r>
        <w:rPr>
          <w:rFonts w:hint="eastAsia" w:ascii="楷体" w:hAnsi="Calibri" w:eastAsia="楷体" w:cs="Times New Roman"/>
          <w:kern w:val="2"/>
          <w:sz w:val="32"/>
          <w:szCs w:val="32"/>
          <w:lang w:val="en-US" w:eastAsia="zh-CN" w:bidi="ar-SA"/>
        </w:rPr>
        <w:t>年阿坝州政府驻北京联络处通用项目和专用项目均按要求实行绩效目标管理，涉及一般公共预算当年拨款</w:t>
      </w:r>
      <w:r>
        <w:rPr>
          <w:rFonts w:hint="eastAsia" w:ascii="楷体" w:eastAsia="楷体" w:cs="Times New Roman"/>
          <w:kern w:val="2"/>
          <w:sz w:val="32"/>
          <w:szCs w:val="32"/>
          <w:lang w:val="en-US" w:eastAsia="zh-CN" w:bidi="ar-SA"/>
        </w:rPr>
        <w:t>236</w:t>
      </w:r>
      <w:r>
        <w:rPr>
          <w:rFonts w:hint="eastAsia" w:ascii="楷体" w:hAnsi="Calibri" w:eastAsia="楷体" w:cs="Times New Roman"/>
          <w:kern w:val="2"/>
          <w:sz w:val="32"/>
          <w:szCs w:val="32"/>
          <w:lang w:val="en-US" w:eastAsia="zh-CN" w:bidi="ar-SA"/>
        </w:rPr>
        <w:t>万元。</w:t>
      </w:r>
    </w:p>
    <w:p>
      <w:pPr>
        <w:pStyle w:val="10"/>
        <w:spacing w:before="0" w:line="360" w:lineRule="auto"/>
        <w:ind w:firstLine="640" w:firstLineChars="200"/>
        <w:rPr>
          <w:rFonts w:ascii="黑体" w:eastAsia="黑体"/>
          <w:sz w:val="32"/>
          <w:szCs w:val="32"/>
        </w:rPr>
      </w:pPr>
      <w:r>
        <w:rPr>
          <w:rFonts w:ascii="黑体" w:eastAsia="黑体"/>
          <w:sz w:val="32"/>
          <w:szCs w:val="32"/>
        </w:rPr>
        <w:br w:type="textWrapping"/>
      </w:r>
      <w:r>
        <w:rPr>
          <w:rFonts w:hint="eastAsia" w:ascii="黑体" w:eastAsia="黑体"/>
          <w:sz w:val="32"/>
          <w:szCs w:val="32"/>
        </w:rPr>
        <w:t>十、名称解释</w:t>
      </w:r>
    </w:p>
    <w:p>
      <w:pPr>
        <w:pStyle w:val="10"/>
        <w:spacing w:before="0" w:line="360" w:lineRule="auto"/>
        <w:ind w:firstLine="320" w:firstLineChars="200"/>
        <w:rPr>
          <w:rFonts w:cs="仿宋_GB2312"/>
          <w:kern w:val="2"/>
          <w:sz w:val="32"/>
          <w:szCs w:val="32"/>
        </w:rPr>
      </w:pPr>
      <w:r>
        <w:rPr>
          <w:rFonts w:hint="eastAsia" w:ascii="??" w:hAnsi="??" w:eastAsia="宋体" w:cs="宋体"/>
          <w:sz w:val="16"/>
        </w:rPr>
        <w:t xml:space="preserve">  </w:t>
      </w:r>
      <w:r>
        <w:rPr>
          <w:rFonts w:hint="eastAsia" w:ascii="楷体" w:hAnsi="Calibri" w:eastAsia="楷体" w:cs="Times New Roman"/>
          <w:kern w:val="2"/>
          <w:sz w:val="32"/>
          <w:szCs w:val="32"/>
          <w:lang w:val="en-US" w:eastAsia="zh-CN" w:bidi="ar-SA"/>
        </w:rPr>
        <w:t>（一）财政拨款收入：指由财政拨款形成的部门收入。按现行管理制度，部门预算中反映的财政拨款仅包括一般公共预算拨款和政府性基金预算拨款。</w:t>
      </w:r>
      <w:r>
        <w:rPr>
          <w:rFonts w:hint="eastAsia" w:ascii="楷体" w:hAnsi="Calibri" w:eastAsia="楷体" w:cs="Times New Roman"/>
          <w:kern w:val="2"/>
          <w:sz w:val="32"/>
          <w:szCs w:val="32"/>
          <w:lang w:val="en-US" w:eastAsia="zh-CN" w:bidi="ar-SA"/>
        </w:rPr>
        <w:br w:type="textWrapping"/>
      </w:r>
      <w:r>
        <w:rPr>
          <w:rFonts w:hint="eastAsia" w:ascii="楷体" w:hAnsi="Calibri" w:eastAsia="楷体" w:cs="Times New Roman"/>
          <w:kern w:val="2"/>
          <w:sz w:val="32"/>
          <w:szCs w:val="32"/>
          <w:lang w:val="en-US" w:eastAsia="zh-CN" w:bidi="ar-SA"/>
        </w:rPr>
        <w:t>　　（二）事业收入：指所属事业单位开展专业业务活动及辅助活动所取得的收入。</w:t>
      </w:r>
      <w:r>
        <w:rPr>
          <w:rFonts w:hint="eastAsia" w:ascii="楷体" w:hAnsi="Calibri" w:eastAsia="楷体" w:cs="Times New Roman"/>
          <w:kern w:val="2"/>
          <w:sz w:val="32"/>
          <w:szCs w:val="32"/>
          <w:lang w:val="en-US" w:eastAsia="zh-CN" w:bidi="ar-SA"/>
        </w:rPr>
        <w:br w:type="textWrapping"/>
      </w:r>
      <w:r>
        <w:rPr>
          <w:rFonts w:hint="eastAsia" w:ascii="楷体" w:hAnsi="Calibri" w:eastAsia="楷体" w:cs="Times New Roman"/>
          <w:kern w:val="2"/>
          <w:sz w:val="32"/>
          <w:szCs w:val="32"/>
          <w:lang w:val="en-US" w:eastAsia="zh-CN" w:bidi="ar-SA"/>
        </w:rPr>
        <w:t>　　（三）事业单位经营收入：指所属事业单位在专业业务活动及其辅助活动之外开展非独立核算经营活动取得的收入。</w:t>
      </w:r>
      <w:r>
        <w:rPr>
          <w:rFonts w:hint="eastAsia" w:ascii="楷体" w:hAnsi="Calibri" w:eastAsia="楷体" w:cs="Times New Roman"/>
          <w:kern w:val="2"/>
          <w:sz w:val="32"/>
          <w:szCs w:val="32"/>
          <w:lang w:val="en-US" w:eastAsia="zh-CN" w:bidi="ar-SA"/>
        </w:rPr>
        <w:br w:type="textWrapping"/>
      </w:r>
      <w:r>
        <w:rPr>
          <w:rFonts w:hint="eastAsia" w:ascii="楷体" w:hAnsi="Calibri" w:eastAsia="楷体" w:cs="Times New Roman"/>
          <w:kern w:val="2"/>
          <w:sz w:val="32"/>
          <w:szCs w:val="32"/>
          <w:lang w:val="en-US" w:eastAsia="zh-CN" w:bidi="ar-SA"/>
        </w:rPr>
        <w:t>　　（四）其他收入：指除上述“财政拨款收入”、“事业收入”、“事业单位经营收入”等以外的收入，主要是所属行政事业单位按规定动用的售房收入、存款利息收入等。</w:t>
      </w:r>
      <w:r>
        <w:rPr>
          <w:rFonts w:hint="eastAsia" w:ascii="楷体" w:hAnsi="Calibri" w:eastAsia="楷体" w:cs="Times New Roman"/>
          <w:kern w:val="2"/>
          <w:sz w:val="32"/>
          <w:szCs w:val="32"/>
          <w:lang w:val="en-US" w:eastAsia="zh-CN" w:bidi="ar-SA"/>
        </w:rPr>
        <w:br w:type="textWrapping"/>
      </w:r>
      <w:r>
        <w:rPr>
          <w:rFonts w:hint="eastAsia" w:ascii="楷体" w:hAnsi="Calibri" w:eastAsia="楷体" w:cs="Times New Roman"/>
          <w:kern w:val="2"/>
          <w:sz w:val="32"/>
          <w:szCs w:val="3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楷体" w:hAnsi="Calibri" w:eastAsia="楷体" w:cs="Times New Roman"/>
          <w:kern w:val="2"/>
          <w:sz w:val="32"/>
          <w:szCs w:val="32"/>
          <w:lang w:val="en-US" w:eastAsia="zh-CN" w:bidi="ar-SA"/>
        </w:rPr>
        <w:br w:type="textWrapping"/>
      </w:r>
      <w:r>
        <w:rPr>
          <w:rFonts w:hint="eastAsia" w:ascii="楷体" w:hAnsi="Calibri" w:eastAsia="楷体" w:cs="Times New Roman"/>
          <w:kern w:val="2"/>
          <w:sz w:val="32"/>
          <w:szCs w:val="32"/>
          <w:lang w:val="en-US" w:eastAsia="zh-CN" w:bidi="ar-SA"/>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3155B2"/>
    <w:multiLevelType w:val="singleLevel"/>
    <w:tmpl w:val="123155B2"/>
    <w:lvl w:ilvl="0" w:tentative="0">
      <w:start w:val="4"/>
      <w:numFmt w:val="chineseCounting"/>
      <w:suff w:val="nothing"/>
      <w:lvlText w:val="%1、"/>
      <w:lvlJc w:val="left"/>
      <w:rPr>
        <w:rFonts w:hint="eastAsia"/>
      </w:rPr>
    </w:lvl>
  </w:abstractNum>
  <w:abstractNum w:abstractNumId="1">
    <w:nsid w:val="579CFFAF"/>
    <w:multiLevelType w:val="singleLevel"/>
    <w:tmpl w:val="579CFFAF"/>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zc5YmRmNTMyYmM2ODNhNzQzNTVmZWQxYTJlYzA5MzQifQ=="/>
  </w:docVars>
  <w:rsids>
    <w:rsidRoot w:val="00000000"/>
    <w:rsid w:val="162566FD"/>
    <w:rsid w:val="2ABE6BDE"/>
    <w:rsid w:val="2B1C3756"/>
    <w:rsid w:val="34B1768D"/>
    <w:rsid w:val="53670B95"/>
    <w:rsid w:val="60D41828"/>
    <w:rsid w:val="67417E7D"/>
    <w:rsid w:val="6DB45D89"/>
    <w:rsid w:val="6E647AFF"/>
    <w:rsid w:val="6F40256E"/>
    <w:rsid w:val="7D935F5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3162</Words>
  <Characters>3448</Characters>
  <Lines>124</Lines>
  <Paragraphs>51</Paragraphs>
  <TotalTime>25</TotalTime>
  <ScaleCrop>false</ScaleCrop>
  <LinksUpToDate>false</LinksUpToDate>
  <CharactersWithSpaces>3480</CharactersWithSpaces>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2026-02-02T03:45:23Z</cp:lastPrinted>
  <dcterms:modified xsi:type="dcterms:W3CDTF">2026-02-02T04:10:01Z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KSOTemplateDocerSaveRecord">
    <vt:lpwstr>eyJoZGlkIjoiYmEwYTZjZWE3ZTg1Zjg0M2RhYjQ5ZjQ0ZDRkN2FjM2IiLCJ1c2VySWQiOiI2NTE4MDk4MzQifQ==</vt:lpwstr>
  </property>
  <property fmtid="{D5CDD505-2E9C-101B-9397-08002B2CF9AE}" pid="4" name="ICV">
    <vt:lpwstr>319F2B9B7703465D9347637D991E3673_12</vt:lpwstr>
  </property>
</Properties>
</file>