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E340C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14:paraId="607E9460">
      <w:pPr>
        <w:pStyle w:val="2"/>
        <w:rPr>
          <w:rFonts w:hint="eastAsia" w:ascii="方正小标宋简体" w:hAnsi="方正小标宋简体" w:eastAsia="方正小标宋简体" w:cs="方正小标宋简体"/>
          <w:sz w:val="44"/>
          <w:szCs w:val="44"/>
        </w:rPr>
      </w:pPr>
    </w:p>
    <w:p w14:paraId="4BF49C31">
      <w:pPr>
        <w:pStyle w:val="2"/>
        <w:rPr>
          <w:rFonts w:hint="eastAsia" w:ascii="方正小标宋简体" w:hAnsi="方正小标宋简体" w:eastAsia="方正小标宋简体" w:cs="方正小标宋简体"/>
          <w:sz w:val="44"/>
          <w:szCs w:val="44"/>
        </w:rPr>
      </w:pPr>
    </w:p>
    <w:p w14:paraId="67165DA3">
      <w:pPr>
        <w:pStyle w:val="2"/>
        <w:rPr>
          <w:rFonts w:hint="eastAsia" w:ascii="方正小标宋简体" w:hAnsi="方正小标宋简体" w:eastAsia="方正小标宋简体" w:cs="方正小标宋简体"/>
          <w:sz w:val="44"/>
          <w:szCs w:val="44"/>
        </w:rPr>
      </w:pPr>
    </w:p>
    <w:p w14:paraId="6C3B17E8">
      <w:pPr>
        <w:pStyle w:val="2"/>
        <w:rPr>
          <w:rFonts w:hint="eastAsia" w:ascii="方正小标宋简体" w:hAnsi="方正小标宋简体" w:eastAsia="方正小标宋简体" w:cs="方正小标宋简体"/>
          <w:sz w:val="44"/>
          <w:szCs w:val="44"/>
        </w:rPr>
      </w:pPr>
    </w:p>
    <w:p w14:paraId="69F77F50">
      <w:pPr>
        <w:pStyle w:val="2"/>
        <w:rPr>
          <w:rFonts w:hint="eastAsia" w:ascii="方正小标宋简体" w:hAnsi="方正小标宋简体" w:eastAsia="方正小标宋简体" w:cs="方正小标宋简体"/>
          <w:sz w:val="44"/>
          <w:szCs w:val="44"/>
        </w:rPr>
      </w:pPr>
    </w:p>
    <w:p w14:paraId="12AFE54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14:paraId="23604D8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14:paraId="3EA53F3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14:paraId="3E1821AC">
      <w:pPr>
        <w:pStyle w:val="4"/>
        <w:keepNext w:val="0"/>
        <w:keepLines w:val="0"/>
        <w:pageBreakBefore w:val="0"/>
        <w:widowControl w:val="0"/>
        <w:kinsoku/>
        <w:wordWrap/>
        <w:overflowPunct/>
        <w:topLinePunct w:val="0"/>
        <w:autoSpaceDE/>
        <w:autoSpaceDN/>
        <w:bidi w:val="0"/>
        <w:adjustRightInd/>
        <w:snapToGrid/>
        <w:spacing w:beforeLines="-2147483648" w:after="0" w:afterLines="-2147483648" w:line="560" w:lineRule="exact"/>
        <w:ind w:firstLine="0" w:firstLineChars="0"/>
        <w:jc w:val="center"/>
        <w:textAlignment w:val="auto"/>
        <w:rPr>
          <w:rFonts w:hint="eastAsia" w:ascii="方正小标宋_GBK" w:hAnsi="方正小标宋_GBK" w:eastAsia="方正小标宋_GBK" w:cs="方正小标宋_GBK"/>
          <w:b w:val="0"/>
          <w:w w:val="88"/>
          <w:lang w:eastAsia="zh-CN"/>
        </w:rPr>
      </w:pPr>
      <w:r>
        <w:rPr>
          <w:rFonts w:hint="eastAsia" w:ascii="方正小标宋_GBK" w:hAnsi="方正小标宋_GBK" w:eastAsia="方正小标宋_GBK" w:cs="方正小标宋_GBK"/>
          <w:b w:val="0"/>
          <w:w w:val="88"/>
          <w:lang w:eastAsia="zh-CN"/>
        </w:rPr>
        <w:t>阿坝州公务服务中心</w:t>
      </w:r>
    </w:p>
    <w:p w14:paraId="1B19CE25">
      <w:pPr>
        <w:pStyle w:val="4"/>
        <w:keepNext w:val="0"/>
        <w:keepLines w:val="0"/>
        <w:pageBreakBefore w:val="0"/>
        <w:widowControl w:val="0"/>
        <w:kinsoku/>
        <w:wordWrap/>
        <w:overflowPunct/>
        <w:topLinePunct w:val="0"/>
        <w:autoSpaceDE/>
        <w:autoSpaceDN/>
        <w:bidi w:val="0"/>
        <w:adjustRightInd/>
        <w:snapToGrid/>
        <w:spacing w:beforeLines="-2147483648" w:after="0" w:afterLines="-2147483648" w:line="560" w:lineRule="exact"/>
        <w:jc w:val="center"/>
        <w:textAlignment w:val="auto"/>
        <w:rPr>
          <w:rFonts w:hint="eastAsia" w:ascii="方正小标宋_GBK" w:hAnsi="方正小标宋_GBK" w:eastAsia="方正小标宋_GBK" w:cs="方正小标宋_GBK"/>
          <w:b w:val="0"/>
          <w:w w:val="88"/>
          <w:lang w:eastAsia="zh-CN"/>
        </w:rPr>
      </w:pPr>
      <w:r>
        <w:rPr>
          <w:rFonts w:hint="eastAsia" w:ascii="方正小标宋_GBK" w:hAnsi="方正小标宋_GBK" w:eastAsia="方正小标宋_GBK" w:cs="方正小标宋_GBK"/>
          <w:b w:val="0"/>
          <w:w w:val="88"/>
          <w:lang w:val="en-US" w:eastAsia="zh-CN"/>
        </w:rPr>
        <w:t>2026年部门预算公开</w:t>
      </w:r>
    </w:p>
    <w:p w14:paraId="7C9D305E">
      <w:pPr>
        <w:pStyle w:val="4"/>
        <w:keepNext w:val="0"/>
        <w:keepLines w:val="0"/>
        <w:pageBreakBefore w:val="0"/>
        <w:widowControl w:val="0"/>
        <w:kinsoku/>
        <w:wordWrap/>
        <w:overflowPunct/>
        <w:topLinePunct w:val="0"/>
        <w:autoSpaceDE/>
        <w:autoSpaceDN/>
        <w:bidi w:val="0"/>
        <w:adjustRightInd/>
        <w:snapToGrid/>
        <w:spacing w:beforeLines="-2147483648" w:after="0" w:afterLines="-2147483648" w:line="560" w:lineRule="exact"/>
        <w:ind w:firstLine="0" w:firstLineChars="0"/>
        <w:textAlignment w:val="auto"/>
        <w:rPr>
          <w:rFonts w:hint="eastAsia" w:ascii="方正小标宋_GBK" w:hAnsi="方正小标宋_GBK" w:eastAsia="方正小标宋_GBK" w:cs="方正小标宋_GBK"/>
          <w:b w:val="0"/>
          <w:w w:val="88"/>
          <w:lang w:eastAsia="zh-CN"/>
        </w:rPr>
      </w:pPr>
    </w:p>
    <w:p w14:paraId="2A749826">
      <w:pPr>
        <w:pStyle w:val="2"/>
        <w:rPr>
          <w:rFonts w:hint="eastAsia" w:ascii="方正小标宋简体" w:hAnsi="方正小标宋简体" w:eastAsia="方正小标宋简体" w:cs="方正小标宋简体"/>
          <w:sz w:val="44"/>
          <w:szCs w:val="44"/>
        </w:rPr>
      </w:pPr>
    </w:p>
    <w:p w14:paraId="1ECA2644">
      <w:pPr>
        <w:pStyle w:val="2"/>
        <w:rPr>
          <w:rFonts w:hint="eastAsia" w:ascii="方正小标宋简体" w:hAnsi="方正小标宋简体" w:eastAsia="方正小标宋简体" w:cs="方正小标宋简体"/>
          <w:sz w:val="44"/>
          <w:szCs w:val="44"/>
        </w:rPr>
      </w:pPr>
    </w:p>
    <w:p w14:paraId="126C3704">
      <w:pPr>
        <w:pStyle w:val="2"/>
        <w:rPr>
          <w:rFonts w:hint="eastAsia" w:ascii="方正小标宋简体" w:hAnsi="方正小标宋简体" w:eastAsia="方正小标宋简体" w:cs="方正小标宋简体"/>
          <w:sz w:val="44"/>
          <w:szCs w:val="44"/>
        </w:rPr>
      </w:pPr>
    </w:p>
    <w:p w14:paraId="6798668C">
      <w:pPr>
        <w:pStyle w:val="2"/>
        <w:rPr>
          <w:rFonts w:hint="eastAsia" w:ascii="方正小标宋简体" w:hAnsi="方正小标宋简体" w:eastAsia="方正小标宋简体" w:cs="方正小标宋简体"/>
          <w:sz w:val="44"/>
          <w:szCs w:val="44"/>
        </w:rPr>
      </w:pPr>
    </w:p>
    <w:p w14:paraId="5E162A9E">
      <w:pPr>
        <w:pStyle w:val="2"/>
        <w:rPr>
          <w:rFonts w:hint="eastAsia" w:ascii="方正小标宋简体" w:hAnsi="方正小标宋简体" w:eastAsia="方正小标宋简体" w:cs="方正小标宋简体"/>
          <w:sz w:val="44"/>
          <w:szCs w:val="44"/>
        </w:rPr>
      </w:pPr>
    </w:p>
    <w:p w14:paraId="116E8776">
      <w:pPr>
        <w:pStyle w:val="2"/>
        <w:rPr>
          <w:rFonts w:hint="eastAsia" w:ascii="方正小标宋简体" w:hAnsi="方正小标宋简体" w:eastAsia="方正小标宋简体" w:cs="方正小标宋简体"/>
          <w:sz w:val="44"/>
          <w:szCs w:val="44"/>
        </w:rPr>
      </w:pPr>
    </w:p>
    <w:p w14:paraId="547FE76E">
      <w:pPr>
        <w:pStyle w:val="2"/>
        <w:rPr>
          <w:rFonts w:hint="eastAsia" w:ascii="方正小标宋简体" w:hAnsi="方正小标宋简体" w:eastAsia="方正小标宋简体" w:cs="方正小标宋简体"/>
          <w:sz w:val="44"/>
          <w:szCs w:val="44"/>
        </w:rPr>
      </w:pPr>
    </w:p>
    <w:p w14:paraId="2BF332B2">
      <w:pPr>
        <w:pStyle w:val="2"/>
        <w:rPr>
          <w:rFonts w:hint="eastAsia" w:ascii="方正小标宋简体" w:hAnsi="方正小标宋简体" w:eastAsia="方正小标宋简体" w:cs="方正小标宋简体"/>
          <w:sz w:val="44"/>
          <w:szCs w:val="44"/>
        </w:rPr>
      </w:pPr>
    </w:p>
    <w:p w14:paraId="2A39C4D9">
      <w:pPr>
        <w:pStyle w:val="2"/>
        <w:rPr>
          <w:rFonts w:hint="eastAsia" w:ascii="方正小标宋简体" w:hAnsi="方正小标宋简体" w:eastAsia="方正小标宋简体" w:cs="方正小标宋简体"/>
          <w:sz w:val="44"/>
          <w:szCs w:val="44"/>
        </w:rPr>
      </w:pPr>
    </w:p>
    <w:p w14:paraId="7D2AEFF9">
      <w:pPr>
        <w:pStyle w:val="2"/>
        <w:rPr>
          <w:rFonts w:hint="eastAsia" w:ascii="方正小标宋简体" w:hAnsi="方正小标宋简体" w:eastAsia="方正小标宋简体" w:cs="方正小标宋简体"/>
          <w:sz w:val="44"/>
          <w:szCs w:val="44"/>
        </w:rPr>
      </w:pPr>
    </w:p>
    <w:p w14:paraId="75D749CB">
      <w:pPr>
        <w:pStyle w:val="2"/>
        <w:rPr>
          <w:rFonts w:hint="eastAsia" w:ascii="方正小标宋简体" w:hAnsi="方正小标宋简体" w:eastAsia="方正小标宋简体" w:cs="方正小标宋简体"/>
          <w:sz w:val="44"/>
          <w:szCs w:val="44"/>
        </w:rPr>
      </w:pPr>
    </w:p>
    <w:p w14:paraId="02F7C3F3">
      <w:pPr>
        <w:pStyle w:val="2"/>
        <w:rPr>
          <w:rFonts w:hint="eastAsia" w:ascii="方正小标宋简体" w:hAnsi="方正小标宋简体" w:eastAsia="方正小标宋简体" w:cs="方正小标宋简体"/>
          <w:sz w:val="44"/>
          <w:szCs w:val="44"/>
        </w:rPr>
      </w:pPr>
    </w:p>
    <w:p w14:paraId="7EC85418">
      <w:pPr>
        <w:pStyle w:val="2"/>
        <w:rPr>
          <w:rFonts w:hint="eastAsia" w:ascii="方正小标宋简体" w:hAnsi="方正小标宋简体" w:eastAsia="方正小标宋简体" w:cs="方正小标宋简体"/>
          <w:sz w:val="44"/>
          <w:szCs w:val="44"/>
        </w:rPr>
      </w:pPr>
    </w:p>
    <w:p w14:paraId="0DE4B9C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14:paraId="777BCD9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目 </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14:paraId="12DA1622">
      <w:pPr>
        <w:pStyle w:val="8"/>
        <w:rPr>
          <w:rFonts w:hint="eastAsia"/>
        </w:rPr>
      </w:pPr>
    </w:p>
    <w:p w14:paraId="6E8C8ED6">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一、基本职能及主要工作</w:t>
      </w:r>
    </w:p>
    <w:p w14:paraId="5783ACC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（一）部门职能简介</w:t>
      </w:r>
    </w:p>
    <w:p w14:paraId="406A4BD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rPr>
        <w:t>重点工作</w:t>
      </w:r>
    </w:p>
    <w:p w14:paraId="6F9F3C49">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二、部门预算单位构成</w:t>
      </w:r>
    </w:p>
    <w:p w14:paraId="287FD478">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三、收支预算情况说明</w:t>
      </w:r>
    </w:p>
    <w:p w14:paraId="3DC5E91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（一）收入预算情况</w:t>
      </w:r>
    </w:p>
    <w:p w14:paraId="1524F79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（二）支出预算情况</w:t>
      </w:r>
    </w:p>
    <w:p w14:paraId="48153C75">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四、财政拨款收支预算情况说明</w:t>
      </w:r>
    </w:p>
    <w:p w14:paraId="5076E1FB">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五、一般公共预算当年拨款情况说明</w:t>
      </w:r>
    </w:p>
    <w:p w14:paraId="585BA57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（一）一般公共预算当年拨款规模变化情况</w:t>
      </w:r>
    </w:p>
    <w:p w14:paraId="47A216F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（二）一般公共预算当年拨款结构情况</w:t>
      </w:r>
    </w:p>
    <w:p w14:paraId="15481B6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（三）一般公共预算当年拨款具体使用情</w:t>
      </w:r>
    </w:p>
    <w:p w14:paraId="63669A78">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六、一般公共预算基本支出情况说明</w:t>
      </w:r>
    </w:p>
    <w:p w14:paraId="34F1E4DF">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七、“三公”经费财政拨款预算安排情况说明</w:t>
      </w:r>
    </w:p>
    <w:p w14:paraId="06827277">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八、政府性基金预算支出情况说明</w:t>
      </w:r>
    </w:p>
    <w:p w14:paraId="51479DEA">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九、其他重要事项的情况说明</w:t>
      </w:r>
    </w:p>
    <w:p w14:paraId="19974ACE">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十、名称解释</w:t>
      </w:r>
    </w:p>
    <w:p w14:paraId="23113EB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7EA432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60C467C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0791DE7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5ECFD14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5BB1EF5E">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一、基本职能及主要工作</w:t>
      </w:r>
    </w:p>
    <w:p w14:paraId="6FC83235">
      <w:pPr>
        <w:keepNext w:val="0"/>
        <w:keepLines w:val="0"/>
        <w:pageBreakBefore w:val="0"/>
        <w:widowControl w:val="0"/>
        <w:kinsoku/>
        <w:wordWrap/>
        <w:overflowPunct w:val="0"/>
        <w:topLinePunct w:val="0"/>
        <w:autoSpaceDE/>
        <w:autoSpaceDN/>
        <w:bidi w:val="0"/>
        <w:adjustRightInd/>
        <w:snapToGrid/>
        <w:spacing w:line="576" w:lineRule="exact"/>
        <w:ind w:firstLine="643" w:firstLineChars="200"/>
        <w:jc w:val="both"/>
        <w:textAlignment w:val="auto"/>
        <w:rPr>
          <w:rFonts w:hint="eastAsia" w:ascii="Times New Roman" w:hAnsi="Times New Roman" w:eastAsia="方正楷体_GBK" w:cs="Times New Roman"/>
          <w:b/>
          <w:bCs/>
          <w:sz w:val="32"/>
          <w:szCs w:val="32"/>
          <w:lang w:val="en-US" w:eastAsia="zh-CN"/>
        </w:rPr>
      </w:pPr>
      <w:r>
        <w:rPr>
          <w:rFonts w:hint="eastAsia" w:ascii="Times New Roman" w:hAnsi="Times New Roman" w:eastAsia="方正楷体_GBK" w:cs="Times New Roman"/>
          <w:b/>
          <w:bCs/>
          <w:sz w:val="32"/>
          <w:szCs w:val="32"/>
          <w:lang w:val="en-US" w:eastAsia="zh-CN"/>
        </w:rPr>
        <w:t>（一）阿坝州公务服务中心简介</w:t>
      </w:r>
    </w:p>
    <w:p w14:paraId="21454912">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我中心主要职能为贯彻落实党中央关于公务服务工作的方针政策和省委、州委的决策部署，在履行职责过程中坚持和加强党对公务服务工作的集中统一领导。负责重大公务活动的服务保障工作，承担州委、州政府交办的外事接待、招商引资、大型会议、活动的服务保障工作和州委、州政府交办的其他任务</w:t>
      </w:r>
      <w:r>
        <w:rPr>
          <w:rFonts w:hint="default" w:ascii="Times New Roman" w:hAnsi="Times New Roman" w:eastAsia="方正仿宋_GBK" w:cs="Times New Roman"/>
          <w:sz w:val="32"/>
          <w:szCs w:val="32"/>
          <w:lang w:eastAsia="zh-CN"/>
        </w:rPr>
        <w:t>。</w:t>
      </w:r>
    </w:p>
    <w:p w14:paraId="622D1BD7">
      <w:pPr>
        <w:keepNext w:val="0"/>
        <w:keepLines w:val="0"/>
        <w:pageBreakBefore w:val="0"/>
        <w:widowControl w:val="0"/>
        <w:kinsoku/>
        <w:wordWrap/>
        <w:overflowPunct w:val="0"/>
        <w:topLinePunct w:val="0"/>
        <w:autoSpaceDE/>
        <w:autoSpaceDN/>
        <w:bidi w:val="0"/>
        <w:adjustRightInd/>
        <w:snapToGrid/>
        <w:spacing w:line="576" w:lineRule="exact"/>
        <w:ind w:firstLine="643" w:firstLineChars="200"/>
        <w:jc w:val="both"/>
        <w:textAlignment w:val="auto"/>
        <w:rPr>
          <w:rFonts w:hint="eastAsia"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eastAsia="zh-CN"/>
        </w:rPr>
        <w:t>（二）</w:t>
      </w:r>
      <w:r>
        <w:rPr>
          <w:rFonts w:hint="eastAsia" w:ascii="Times New Roman" w:hAnsi="Times New Roman" w:eastAsia="方正楷体_GBK" w:cs="Times New Roman"/>
          <w:b/>
          <w:bCs/>
          <w:sz w:val="32"/>
          <w:szCs w:val="32"/>
          <w:lang w:val="en-US" w:eastAsia="zh-CN"/>
        </w:rPr>
        <w:t>阿坝州公务服务中心2026年重点工作。</w:t>
      </w:r>
    </w:p>
    <w:p w14:paraId="40F1B6B5">
      <w:pPr>
        <w:pStyle w:val="2"/>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rPr>
          <w:rFonts w:hint="eastAsia" w:ascii="仿宋_GB2312" w:hAnsi="仿宋_GB2312" w:eastAsia="仿宋_GB2312" w:cs="仿宋_GB2312"/>
          <w:b w:val="0"/>
          <w:bCs/>
          <w:color w:val="000000"/>
          <w:kern w:val="2"/>
          <w:sz w:val="32"/>
          <w:szCs w:val="20"/>
          <w:lang w:val="en-US" w:eastAsia="zh-CN" w:bidi="ar-SA"/>
        </w:rPr>
      </w:pPr>
      <w:r>
        <w:rPr>
          <w:rFonts w:hint="eastAsia" w:ascii="仿宋_GB2312" w:hAnsi="仿宋_GB2312" w:eastAsia="仿宋_GB2312" w:cs="仿宋_GB2312"/>
          <w:b w:val="0"/>
          <w:bCs/>
          <w:color w:val="000000"/>
          <w:kern w:val="2"/>
          <w:sz w:val="32"/>
          <w:szCs w:val="20"/>
          <w:lang w:val="en-US" w:eastAsia="zh-CN" w:bidi="ar-SA"/>
        </w:rPr>
        <w:t>2026年，中心将以习近平新时代中国特色社会主义思想为指导，深入贯彻省委、州委决策部署，紧扣州委“1610”战略部署，聚焦“政治引领、服务转型、规范管理、作风建设、民生帮扶”五大重点，全力推动公务服务工作再上新台阶。</w:t>
      </w:r>
    </w:p>
    <w:p w14:paraId="632483AF">
      <w:pPr>
        <w:pStyle w:val="2"/>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rPr>
          <w:rFonts w:hint="eastAsia" w:ascii="仿宋_GB2312" w:hAnsi="仿宋_GB2312" w:eastAsia="仿宋_GB2312" w:cs="仿宋_GB2312"/>
          <w:b w:val="0"/>
          <w:bCs/>
          <w:color w:val="000000"/>
          <w:kern w:val="2"/>
          <w:sz w:val="32"/>
          <w:szCs w:val="20"/>
          <w:lang w:val="en-US" w:eastAsia="zh-CN" w:bidi="ar-SA"/>
        </w:rPr>
      </w:pPr>
      <w:r>
        <w:rPr>
          <w:rFonts w:hint="eastAsia" w:ascii="楷体_GB2312" w:hAnsi="楷体_GB2312" w:eastAsia="楷体_GB2312" w:cs="楷体_GB2312"/>
          <w:b/>
          <w:bCs/>
          <w:color w:val="000000"/>
          <w:kern w:val="2"/>
          <w:sz w:val="32"/>
          <w:szCs w:val="20"/>
          <w:lang w:val="en-US" w:eastAsia="zh-CN" w:bidi="ar-SA"/>
        </w:rPr>
        <w:t>（一）强化政治引领，筑牢思想“压舱石”。</w:t>
      </w:r>
      <w:r>
        <w:rPr>
          <w:rFonts w:hint="eastAsia" w:ascii="仿宋_GB2312" w:hAnsi="仿宋_GB2312" w:eastAsia="仿宋_GB2312" w:cs="仿宋_GB2312"/>
          <w:b w:val="0"/>
          <w:bCs/>
          <w:color w:val="000000"/>
          <w:kern w:val="2"/>
          <w:sz w:val="32"/>
          <w:szCs w:val="20"/>
          <w:lang w:val="en-US" w:eastAsia="zh-CN" w:bidi="ar-SA"/>
        </w:rPr>
        <w:t>坚持把党的政治建设摆在首位，将学思践悟习近平新时代中国特色社会主义思想贯穿工作全程。持续深化理论武装，严格落实“第一议题”制度，读原著、学原文、悟原理，在深化内化转化上持续发力。提高政治站位，始终在思想上政治上行动上同党中央保持高度一致，确保公务服务工作沿正确方向前进。</w:t>
      </w:r>
    </w:p>
    <w:p w14:paraId="0549CD27">
      <w:pPr>
        <w:pStyle w:val="2"/>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rPr>
          <w:rFonts w:hint="eastAsia" w:ascii="仿宋_GB2312" w:hAnsi="仿宋_GB2312" w:eastAsia="仿宋_GB2312" w:cs="仿宋_GB2312"/>
          <w:b w:val="0"/>
          <w:bCs/>
          <w:color w:val="000000"/>
          <w:kern w:val="2"/>
          <w:sz w:val="32"/>
          <w:szCs w:val="20"/>
          <w:lang w:val="en-US" w:eastAsia="zh-CN" w:bidi="ar-SA"/>
        </w:rPr>
      </w:pPr>
      <w:r>
        <w:rPr>
          <w:rFonts w:hint="eastAsia" w:ascii="楷体_GB2312" w:hAnsi="楷体_GB2312" w:eastAsia="楷体_GB2312" w:cs="楷体_GB2312"/>
          <w:b/>
          <w:bCs/>
          <w:color w:val="000000"/>
          <w:kern w:val="2"/>
          <w:sz w:val="32"/>
          <w:szCs w:val="20"/>
          <w:lang w:val="en-US" w:eastAsia="zh-CN" w:bidi="ar-SA"/>
        </w:rPr>
        <w:t>（二）聚焦服务转型，激活发展“新引擎”。</w:t>
      </w:r>
      <w:r>
        <w:rPr>
          <w:rFonts w:hint="eastAsia" w:ascii="仿宋_GB2312" w:hAnsi="仿宋_GB2312" w:eastAsia="仿宋_GB2312" w:cs="仿宋_GB2312"/>
          <w:b w:val="0"/>
          <w:bCs/>
          <w:color w:val="000000"/>
          <w:kern w:val="2"/>
          <w:sz w:val="32"/>
          <w:szCs w:val="20"/>
          <w:lang w:val="en-US" w:eastAsia="zh-CN" w:bidi="ar-SA"/>
        </w:rPr>
        <w:t>紧扣新修订的公务接待管理规定及“扫码支付”工作要求，坚持稳中求进工作总基调，持续优化接待服务与后勤保障流程，着力推动服务模式从传统单一向立体多元、优质高效转型跨越，不断提升服务供给与党政机关履职需求、群众期待的适配度精准度，以专业化、精细化服务为全州各项工作高效开展提供坚实保障。</w:t>
      </w:r>
    </w:p>
    <w:p w14:paraId="15DCC53B">
      <w:pPr>
        <w:pStyle w:val="2"/>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rPr>
          <w:rFonts w:hint="eastAsia" w:ascii="仿宋_GB2312" w:hAnsi="仿宋_GB2312" w:eastAsia="仿宋_GB2312" w:cs="仿宋_GB2312"/>
          <w:b w:val="0"/>
          <w:bCs/>
          <w:color w:val="000000"/>
          <w:kern w:val="2"/>
          <w:sz w:val="32"/>
          <w:szCs w:val="20"/>
          <w:lang w:val="en-US" w:eastAsia="zh-CN" w:bidi="ar-SA"/>
        </w:rPr>
      </w:pPr>
      <w:r>
        <w:rPr>
          <w:rFonts w:hint="eastAsia" w:ascii="楷体_GB2312" w:hAnsi="楷体_GB2312" w:eastAsia="楷体_GB2312" w:cs="楷体_GB2312"/>
          <w:b/>
          <w:bCs/>
          <w:color w:val="000000"/>
          <w:kern w:val="2"/>
          <w:sz w:val="32"/>
          <w:szCs w:val="20"/>
          <w:lang w:val="en-US" w:eastAsia="zh-CN" w:bidi="ar-SA"/>
        </w:rPr>
        <w:t>（三）严守制度底线，织密规范“防护网”。</w:t>
      </w:r>
      <w:r>
        <w:rPr>
          <w:rFonts w:hint="eastAsia" w:ascii="仿宋_GB2312" w:hAnsi="仿宋_GB2312" w:eastAsia="仿宋_GB2312" w:cs="仿宋_GB2312"/>
          <w:b w:val="0"/>
          <w:bCs/>
          <w:color w:val="000000"/>
          <w:kern w:val="2"/>
          <w:sz w:val="32"/>
          <w:szCs w:val="20"/>
          <w:lang w:val="en-US" w:eastAsia="zh-CN" w:bidi="ar-SA"/>
        </w:rPr>
        <w:t>牢固树立“合规接待即最优接待”理念，严格执行中央八项规定及实施细则，落实基层减负要求。在接待线路规划、陪同范围界定上精准研判、科学统筹，发挥参谋辅政作用。加强与机关事务、纪检监察、财政、审计等部门协作，健全全流程监管机制，规范接待流程和费用支付，推动公务服务规范透明高效。</w:t>
      </w:r>
    </w:p>
    <w:p w14:paraId="6057793E">
      <w:pPr>
        <w:pStyle w:val="2"/>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rPr>
          <w:rFonts w:hint="eastAsia" w:ascii="仿宋_GB2312" w:hAnsi="仿宋_GB2312" w:eastAsia="仿宋_GB2312" w:cs="仿宋_GB2312"/>
          <w:b w:val="0"/>
          <w:bCs/>
          <w:color w:val="000000"/>
          <w:kern w:val="2"/>
          <w:sz w:val="32"/>
          <w:szCs w:val="20"/>
          <w:lang w:val="en-US" w:eastAsia="zh-CN" w:bidi="ar-SA"/>
        </w:rPr>
      </w:pPr>
      <w:r>
        <w:rPr>
          <w:rFonts w:hint="eastAsia" w:ascii="楷体_GB2312" w:hAnsi="楷体_GB2312" w:eastAsia="楷体_GB2312" w:cs="楷体_GB2312"/>
          <w:b/>
          <w:bCs/>
          <w:color w:val="000000"/>
          <w:kern w:val="2"/>
          <w:sz w:val="32"/>
          <w:szCs w:val="20"/>
          <w:lang w:val="en-US" w:eastAsia="zh-CN" w:bidi="ar-SA"/>
        </w:rPr>
        <w:t>（四）深化作风建设，锻造过硬“主力军”。</w:t>
      </w:r>
      <w:r>
        <w:rPr>
          <w:rFonts w:hint="eastAsia" w:ascii="仿宋_GB2312" w:hAnsi="仿宋_GB2312" w:eastAsia="仿宋_GB2312" w:cs="仿宋_GB2312"/>
          <w:b w:val="0"/>
          <w:bCs/>
          <w:color w:val="000000"/>
          <w:kern w:val="2"/>
          <w:sz w:val="32"/>
          <w:szCs w:val="20"/>
          <w:lang w:val="en-US" w:eastAsia="zh-CN" w:bidi="ar-SA"/>
        </w:rPr>
        <w:t>巩固八项规定学习教育成果，以“三会一课”、主题党日为载体，依托“两例会一讲堂”平台，拓宽学纪普法渠道。常态化开展党纪法规学习和典型案例通报，以案为鉴、以案明纪。锤炼干部忠诚品格、实干精神、为民情怀、过硬本领和清廉作风，打造政治强、业务精、作风硬、服务优的公务服务队伍。</w:t>
      </w:r>
    </w:p>
    <w:p w14:paraId="0A79F6E6">
      <w:pPr>
        <w:keepNext w:val="0"/>
        <w:keepLines w:val="0"/>
        <w:pageBreakBefore w:val="0"/>
        <w:widowControl w:val="0"/>
        <w:kinsoku/>
        <w:wordWrap/>
        <w:overflowPunct w:val="0"/>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color w:val="000000"/>
          <w:kern w:val="2"/>
          <w:sz w:val="32"/>
          <w:szCs w:val="20"/>
          <w:lang w:val="en-US" w:eastAsia="zh-CN" w:bidi="ar-SA"/>
        </w:rPr>
      </w:pPr>
      <w:r>
        <w:rPr>
          <w:rFonts w:hint="eastAsia" w:ascii="楷体_GB2312" w:hAnsi="楷体_GB2312" w:eastAsia="楷体_GB2312" w:cs="楷体_GB2312"/>
          <w:b/>
          <w:bCs/>
          <w:color w:val="000000"/>
          <w:kern w:val="2"/>
          <w:sz w:val="32"/>
          <w:szCs w:val="20"/>
          <w:lang w:val="en-US" w:eastAsia="zh-CN" w:bidi="ar-SA"/>
        </w:rPr>
        <w:t>（五）抓实民生帮扶，架起党群“连心桥”。</w:t>
      </w:r>
      <w:r>
        <w:rPr>
          <w:rFonts w:hint="eastAsia" w:ascii="仿宋_GB2312" w:hAnsi="仿宋_GB2312" w:eastAsia="仿宋_GB2312" w:cs="仿宋_GB2312"/>
          <w:color w:val="000000"/>
          <w:kern w:val="2"/>
          <w:sz w:val="32"/>
          <w:szCs w:val="20"/>
          <w:lang w:val="en-US" w:eastAsia="zh-CN" w:bidi="ar-SA"/>
        </w:rPr>
        <w:t>坚持以人民为中心，推进托底性帮扶和“爱心爸妈”“联心同行”工作。通过入户走访、坝坝会等形式，向帮扶村宣讲全会精神和省州部署。紧盯帮扶任务清单，聚焦群众急难愁盼，精准施策助力产业提质、基建改善、环境优化和</w:t>
      </w:r>
      <w:r>
        <w:rPr>
          <w:rFonts w:hint="eastAsia" w:ascii="仿宋_GB2312" w:hAnsi="仿宋_GB2312" w:eastAsia="仿宋_GB2312" w:cs="仿宋_GB2312"/>
          <w:color w:val="000000"/>
          <w:kern w:val="2"/>
          <w:sz w:val="32"/>
          <w:szCs w:val="20"/>
          <w:highlight w:val="none"/>
          <w:lang w:val="en-US" w:eastAsia="zh-CN" w:bidi="ar-SA"/>
        </w:rPr>
        <w:t>“控辍保学”</w:t>
      </w:r>
      <w:r>
        <w:rPr>
          <w:rFonts w:hint="eastAsia" w:ascii="仿宋_GB2312" w:hAnsi="仿宋_GB2312" w:eastAsia="仿宋_GB2312" w:cs="仿宋_GB2312"/>
          <w:color w:val="000000"/>
          <w:kern w:val="2"/>
          <w:sz w:val="32"/>
          <w:szCs w:val="20"/>
          <w:lang w:val="en-US" w:eastAsia="zh-CN" w:bidi="ar-SA"/>
        </w:rPr>
        <w:t>。持续做好联系僧人、困难群众和结对儿童慰问，健全长效机制，用心用情解决问题，增强群众获得感幸福感安全感。</w:t>
      </w:r>
    </w:p>
    <w:p w14:paraId="53F3EAB2">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二、部门预算单位构成</w:t>
      </w:r>
    </w:p>
    <w:p w14:paraId="09C25024">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阿坝州公务服务中心一级预算单位，下属二级预算单位0个，其中：其他事业单位0个。</w:t>
      </w:r>
    </w:p>
    <w:p w14:paraId="39AD33AF">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三、收支预算情况说明</w:t>
      </w:r>
    </w:p>
    <w:p w14:paraId="7F1ECEB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outlineLvl w:val="9"/>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sz w:val="32"/>
          <w:szCs w:val="32"/>
          <w:lang w:val="en-US" w:eastAsia="zh-CN"/>
        </w:rPr>
        <w:t>按照综合预算的原则，阿坝州公务服务中心单位所有收入和支出均纳入部门预算管理。收入包括：一般公共预算拨款收入584.55万元，无其他收入，无上年结转；支出包括：一般公共服务收入553.57万元，社会保障和就业</w:t>
      </w:r>
      <w:r>
        <w:rPr>
          <w:rFonts w:hint="eastAsia" w:ascii="Times New Roman" w:hAnsi="Times New Roman" w:eastAsia="方正仿宋_GBK" w:cs="Times New Roman"/>
          <w:color w:val="auto"/>
          <w:sz w:val="32"/>
          <w:szCs w:val="32"/>
          <w:highlight w:val="none"/>
          <w:lang w:val="en-US" w:eastAsia="zh-CN"/>
        </w:rPr>
        <w:t>收入14.29万元，卫生健康收入6.95万元，住房保障收入9.11万元。</w:t>
      </w:r>
      <w:r>
        <w:rPr>
          <w:rFonts w:hint="default" w:ascii="Times New Roman" w:hAnsi="Times New Roman" w:eastAsia="方正仿宋_GBK" w:cs="Times New Roman"/>
          <w:color w:val="auto"/>
          <w:sz w:val="32"/>
          <w:szCs w:val="32"/>
          <w:highlight w:val="none"/>
          <w:lang w:eastAsia="zh-CN"/>
        </w:rPr>
        <w:t>本单位</w:t>
      </w:r>
      <w:r>
        <w:rPr>
          <w:rFonts w:hint="eastAsia" w:ascii="Times New Roman" w:hAnsi="Times New Roman" w:eastAsia="方正仿宋_GBK" w:cs="Times New Roman"/>
          <w:color w:val="auto"/>
          <w:sz w:val="32"/>
          <w:szCs w:val="32"/>
          <w:highlight w:val="none"/>
          <w:lang w:eastAsia="zh-CN"/>
        </w:rPr>
        <w:t>20</w:t>
      </w:r>
      <w:r>
        <w:rPr>
          <w:rFonts w:hint="eastAsia" w:ascii="Times New Roman" w:hAnsi="Times New Roman" w:eastAsia="方正仿宋_GBK" w:cs="Times New Roman"/>
          <w:color w:val="auto"/>
          <w:sz w:val="32"/>
          <w:szCs w:val="32"/>
          <w:highlight w:val="none"/>
          <w:lang w:val="en-US" w:eastAsia="zh-CN"/>
        </w:rPr>
        <w:t>26</w:t>
      </w:r>
      <w:r>
        <w:rPr>
          <w:rFonts w:hint="eastAsia" w:ascii="Times New Roman" w:hAnsi="Times New Roman" w:eastAsia="方正仿宋_GBK" w:cs="Times New Roman"/>
          <w:color w:val="auto"/>
          <w:sz w:val="32"/>
          <w:szCs w:val="32"/>
          <w:highlight w:val="none"/>
          <w:lang w:eastAsia="zh-CN"/>
        </w:rPr>
        <w:t>年</w:t>
      </w:r>
      <w:r>
        <w:rPr>
          <w:rFonts w:hint="default" w:ascii="Times New Roman" w:hAnsi="Times New Roman" w:eastAsia="方正仿宋_GBK" w:cs="Times New Roman"/>
          <w:color w:val="auto"/>
          <w:sz w:val="32"/>
          <w:szCs w:val="32"/>
          <w:highlight w:val="none"/>
          <w:lang w:eastAsia="zh-CN"/>
        </w:rPr>
        <w:t>收支总预算</w:t>
      </w:r>
      <w:r>
        <w:rPr>
          <w:rFonts w:hint="eastAsia" w:ascii="Times New Roman" w:hAnsi="Times New Roman" w:eastAsia="方正仿宋_GBK" w:cs="Times New Roman"/>
          <w:color w:val="auto"/>
          <w:sz w:val="32"/>
          <w:szCs w:val="32"/>
          <w:highlight w:val="none"/>
          <w:lang w:val="en-US" w:eastAsia="zh-CN"/>
        </w:rPr>
        <w:t>584.55</w:t>
      </w:r>
      <w:r>
        <w:rPr>
          <w:rFonts w:hint="default" w:ascii="Times New Roman" w:hAnsi="Times New Roman" w:eastAsia="方正仿宋_GBK" w:cs="Times New Roman"/>
          <w:color w:val="auto"/>
          <w:sz w:val="32"/>
          <w:szCs w:val="32"/>
          <w:highlight w:val="none"/>
          <w:lang w:eastAsia="zh-CN"/>
        </w:rPr>
        <w:t>万元</w:t>
      </w:r>
      <w:r>
        <w:rPr>
          <w:rFonts w:hint="default" w:ascii="Times New Roman" w:hAnsi="Times New Roman" w:eastAsia="方正仿宋_GBK" w:cs="Times New Roman"/>
          <w:color w:val="0000FF"/>
          <w:sz w:val="32"/>
          <w:szCs w:val="32"/>
          <w:highlight w:val="none"/>
          <w:lang w:eastAsia="zh-CN"/>
        </w:rPr>
        <w:t>，</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比</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2025年</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收支预算总数</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减少276.9</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万元，其主要原因是</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机构改革、人员分流实施项目减少</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w:t>
      </w:r>
    </w:p>
    <w:p w14:paraId="50644A3A">
      <w:pPr>
        <w:keepNext w:val="0"/>
        <w:keepLines w:val="0"/>
        <w:pageBreakBefore w:val="0"/>
        <w:widowControl w:val="0"/>
        <w:kinsoku/>
        <w:wordWrap/>
        <w:overflowPunct w:val="0"/>
        <w:topLinePunct w:val="0"/>
        <w:autoSpaceDE/>
        <w:autoSpaceDN/>
        <w:bidi w:val="0"/>
        <w:adjustRightInd/>
        <w:snapToGrid/>
        <w:spacing w:line="576" w:lineRule="exact"/>
        <w:ind w:firstLine="643" w:firstLineChars="200"/>
        <w:jc w:val="both"/>
        <w:textAlignment w:val="auto"/>
        <w:rPr>
          <w:rFonts w:hint="eastAsia" w:ascii="Times New Roman" w:hAnsi="Times New Roman" w:eastAsia="方正楷体_GBK" w:cs="Times New Roman"/>
          <w:b/>
          <w:bCs/>
          <w:sz w:val="32"/>
          <w:szCs w:val="32"/>
          <w:lang w:val="en-US" w:eastAsia="zh-CN"/>
        </w:rPr>
      </w:pPr>
      <w:r>
        <w:rPr>
          <w:rFonts w:hint="eastAsia" w:ascii="Times New Roman" w:hAnsi="Times New Roman" w:eastAsia="方正楷体_GBK" w:cs="Times New Roman"/>
          <w:b/>
          <w:bCs/>
          <w:sz w:val="32"/>
          <w:szCs w:val="32"/>
          <w:lang w:eastAsia="zh-CN"/>
        </w:rPr>
        <w:t>（一）收入预算情况</w:t>
      </w:r>
    </w:p>
    <w:p w14:paraId="19F86A84">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阿坝州公务服务中心2026年收入预算584.55万元，其中：无上年结转；一般公共预算拨款收入584.55万元，占100%；无事业收入；无其他收入。</w:t>
      </w:r>
    </w:p>
    <w:p w14:paraId="03D2E7FD">
      <w:pPr>
        <w:keepNext w:val="0"/>
        <w:keepLines w:val="0"/>
        <w:pageBreakBefore w:val="0"/>
        <w:widowControl w:val="0"/>
        <w:kinsoku/>
        <w:wordWrap/>
        <w:overflowPunct w:val="0"/>
        <w:topLinePunct w:val="0"/>
        <w:autoSpaceDE/>
        <w:autoSpaceDN/>
        <w:bidi w:val="0"/>
        <w:adjustRightInd/>
        <w:snapToGrid/>
        <w:spacing w:line="576" w:lineRule="exact"/>
        <w:ind w:firstLine="643"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（二）支出预算情况</w:t>
      </w:r>
    </w:p>
    <w:p w14:paraId="46680DEC">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阿坝州公务服务中心2026年支出预算583.92万元，其中：基本支出169.04万元，占28.95%；项目支出414.88万元，占70.97%。</w:t>
      </w:r>
    </w:p>
    <w:p w14:paraId="0823BBFA">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四、财政拨款收支预算情况说明</w:t>
      </w:r>
    </w:p>
    <w:p w14:paraId="0933AF64">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阿坝州公务服务中心2026年财政拨款收支总预算583.92万元。</w:t>
      </w:r>
    </w:p>
    <w:p w14:paraId="3FC6381D">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支出包括：一般公共服务支出553.57万元，社会保障和就业支出14.29万元，卫生健康支出6.95万元，住房保障支出9.11万元。</w:t>
      </w:r>
    </w:p>
    <w:p w14:paraId="36B02D2F">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五、一般公共预算当年拨款情况说明</w:t>
      </w:r>
    </w:p>
    <w:p w14:paraId="774E6DB4">
      <w:pPr>
        <w:keepNext w:val="0"/>
        <w:keepLines w:val="0"/>
        <w:pageBreakBefore w:val="0"/>
        <w:widowControl w:val="0"/>
        <w:kinsoku/>
        <w:wordWrap/>
        <w:overflowPunct w:val="0"/>
        <w:topLinePunct w:val="0"/>
        <w:autoSpaceDE/>
        <w:autoSpaceDN/>
        <w:bidi w:val="0"/>
        <w:adjustRightInd/>
        <w:snapToGrid/>
        <w:spacing w:line="576" w:lineRule="exact"/>
        <w:ind w:firstLine="643"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（一）一般公共预算当年拨款规模变化情况</w:t>
      </w:r>
    </w:p>
    <w:p w14:paraId="788338F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outlineLvl w:val="9"/>
        <w:rPr>
          <w:rFonts w:hint="default" w:ascii="Times New Roman" w:hAnsi="Times New Roman" w:eastAsia="方正仿宋_GBK" w:cs="Times New Roman"/>
          <w:color w:val="auto"/>
          <w:sz w:val="32"/>
          <w:szCs w:val="32"/>
          <w:highlight w:val="none"/>
          <w:lang w:val="en-US" w:eastAsia="zh-CN"/>
        </w:rPr>
      </w:pPr>
      <w:r>
        <w:rPr>
          <w:rFonts w:hint="eastAsia" w:ascii="仿宋_GB2312" w:hAnsi="仿宋_GB2312" w:eastAsia="仿宋_GB2312" w:cs="仿宋_GB2312"/>
          <w:sz w:val="32"/>
          <w:szCs w:val="32"/>
        </w:rPr>
        <w:t>阿坝州公务服务中心</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rPr>
        <w:t>一般公共预算当年拨款</w:t>
      </w:r>
      <w:r>
        <w:rPr>
          <w:rFonts w:hint="eastAsia" w:ascii="Times New Roman" w:hAnsi="Times New Roman" w:eastAsia="方正仿宋_GBK" w:cs="Times New Roman"/>
          <w:color w:val="auto"/>
          <w:sz w:val="32"/>
          <w:szCs w:val="32"/>
          <w:highlight w:val="none"/>
          <w:lang w:val="en-US" w:eastAsia="zh-CN"/>
        </w:rPr>
        <w:t>584.55</w:t>
      </w:r>
      <w:r>
        <w:rPr>
          <w:rFonts w:hint="eastAsia" w:ascii="仿宋_GB2312" w:hAnsi="仿宋_GB2312" w:eastAsia="仿宋_GB2312" w:cs="仿宋_GB2312"/>
          <w:sz w:val="32"/>
          <w:szCs w:val="32"/>
        </w:rPr>
        <w:t>万元</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eastAsia="zh-CN"/>
        </w:rPr>
        <w:t>与</w:t>
      </w:r>
      <w:r>
        <w:rPr>
          <w:rFonts w:hint="eastAsia" w:ascii="Times New Roman" w:hAnsi="Times New Roman" w:eastAsia="方正仿宋_GBK" w:cs="Times New Roman"/>
          <w:color w:val="auto"/>
          <w:sz w:val="32"/>
          <w:szCs w:val="32"/>
          <w:highlight w:val="none"/>
          <w:lang w:eastAsia="zh-CN"/>
        </w:rPr>
        <w:t>202</w:t>
      </w:r>
      <w:r>
        <w:rPr>
          <w:rFonts w:hint="eastAsia" w:ascii="Times New Roman" w:hAnsi="Times New Roman" w:eastAsia="方正仿宋_GBK" w:cs="Times New Roman"/>
          <w:color w:val="auto"/>
          <w:sz w:val="32"/>
          <w:szCs w:val="32"/>
          <w:highlight w:val="none"/>
          <w:lang w:val="en-US" w:eastAsia="zh-CN"/>
        </w:rPr>
        <w:t>5</w:t>
      </w:r>
      <w:r>
        <w:rPr>
          <w:rFonts w:hint="eastAsia" w:ascii="Times New Roman" w:hAnsi="Times New Roman" w:eastAsia="方正仿宋_GBK" w:cs="Times New Roman"/>
          <w:color w:val="auto"/>
          <w:sz w:val="32"/>
          <w:szCs w:val="32"/>
          <w:highlight w:val="none"/>
          <w:lang w:eastAsia="zh-CN"/>
        </w:rPr>
        <w:t>年</w:t>
      </w:r>
      <w:r>
        <w:rPr>
          <w:rFonts w:hint="default" w:ascii="Times New Roman" w:hAnsi="Times New Roman" w:eastAsia="方正仿宋_GBK" w:cs="Times New Roman"/>
          <w:color w:val="auto"/>
          <w:sz w:val="32"/>
          <w:szCs w:val="32"/>
          <w:highlight w:val="none"/>
          <w:lang w:eastAsia="zh-CN"/>
        </w:rPr>
        <w:t>相比预算数</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减少276.9</w:t>
      </w:r>
      <w:r>
        <w:rPr>
          <w:rFonts w:hint="default" w:ascii="Times New Roman" w:hAnsi="Times New Roman" w:eastAsia="方正仿宋_GBK" w:cs="Times New Roman"/>
          <w:color w:val="auto"/>
          <w:sz w:val="32"/>
          <w:szCs w:val="32"/>
          <w:highlight w:val="none"/>
          <w:lang w:val="en-US" w:eastAsia="zh-CN"/>
        </w:rPr>
        <w:t>万元，其主要原因是</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机构改革、人员分流实施项目减少</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w:t>
      </w:r>
    </w:p>
    <w:p w14:paraId="0AF096A0">
      <w:pPr>
        <w:keepNext w:val="0"/>
        <w:keepLines w:val="0"/>
        <w:pageBreakBefore w:val="0"/>
        <w:widowControl w:val="0"/>
        <w:kinsoku/>
        <w:wordWrap/>
        <w:overflowPunct w:val="0"/>
        <w:topLinePunct w:val="0"/>
        <w:autoSpaceDE/>
        <w:autoSpaceDN/>
        <w:bidi w:val="0"/>
        <w:adjustRightInd/>
        <w:snapToGrid/>
        <w:spacing w:line="576" w:lineRule="exact"/>
        <w:ind w:firstLine="643"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（二）一般公共预算当年拨款结构情况</w:t>
      </w:r>
    </w:p>
    <w:p w14:paraId="509EB4F1">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default" w:ascii="Times New Roman" w:hAnsi="Times New Roman" w:eastAsia="方正仿宋_GBK"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方正仿宋_GBK" w:cs="Times New Roman"/>
          <w:color w:val="auto"/>
          <w:sz w:val="32"/>
          <w:szCs w:val="32"/>
          <w:highlight w:val="none"/>
          <w:lang w:val="en-US" w:eastAsia="zh-CN"/>
        </w:rPr>
        <w:t>一般公共服务支出553.57万元，</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占94.8%；社会保障和就业支出14.29万元，占2.45%；卫生健康支出6.95万元，占1.19%；住房保障支出9.11万元，占1.56%</w:t>
      </w:r>
      <w:r>
        <w:rPr>
          <w:rFonts w:hint="default" w:ascii="Times New Roman" w:hAnsi="Times New Roman" w:eastAsia="方正仿宋_GBK" w:cs="Times New Roman"/>
          <w:color w:val="000000" w:themeColor="text1"/>
          <w:sz w:val="32"/>
          <w:szCs w:val="32"/>
          <w:highlight w:val="none"/>
          <w:lang w:eastAsia="zh-CN"/>
          <w14:textFill>
            <w14:solidFill>
              <w14:schemeClr w14:val="tx1"/>
            </w14:solidFill>
          </w14:textFill>
        </w:rPr>
        <w:t>。</w:t>
      </w:r>
    </w:p>
    <w:p w14:paraId="1DD2BFD9">
      <w:pPr>
        <w:keepNext w:val="0"/>
        <w:keepLines w:val="0"/>
        <w:pageBreakBefore w:val="0"/>
        <w:widowControl w:val="0"/>
        <w:kinsoku/>
        <w:wordWrap/>
        <w:overflowPunct w:val="0"/>
        <w:topLinePunct w:val="0"/>
        <w:autoSpaceDE/>
        <w:autoSpaceDN/>
        <w:bidi w:val="0"/>
        <w:adjustRightInd/>
        <w:snapToGrid/>
        <w:spacing w:line="576" w:lineRule="exact"/>
        <w:ind w:firstLine="643"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（三）一般公共预算当年拨款具体使用情况</w:t>
      </w:r>
    </w:p>
    <w:p w14:paraId="1CF2034D">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1．一般公共服务支出553.57万元。主要用于</w:t>
      </w:r>
      <w:r>
        <w:rPr>
          <w:rFonts w:hint="default" w:ascii="Times New Roman" w:hAnsi="Times New Roman" w:eastAsia="方正仿宋_GBK" w:cs="Times New Roman"/>
          <w:color w:val="auto"/>
          <w:sz w:val="32"/>
          <w:szCs w:val="32"/>
          <w:highlight w:val="none"/>
          <w:lang w:val="en-US" w:eastAsia="zh-CN"/>
        </w:rPr>
        <w:t>中心</w:t>
      </w:r>
      <w:r>
        <w:rPr>
          <w:rFonts w:hint="eastAsia" w:ascii="Times New Roman" w:hAnsi="Times New Roman" w:eastAsia="方正仿宋_GBK" w:cs="Times New Roman"/>
          <w:color w:val="auto"/>
          <w:sz w:val="32"/>
          <w:szCs w:val="32"/>
          <w:highlight w:val="none"/>
          <w:lang w:val="en-US" w:eastAsia="zh-CN"/>
        </w:rPr>
        <w:t>日常工作开展。</w:t>
      </w:r>
    </w:p>
    <w:p w14:paraId="5F42F79B">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2．社会保障和就业支出14.29万元。主要用于养老、职业年金保险。</w:t>
      </w:r>
    </w:p>
    <w:p w14:paraId="50DAE7AD">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3．卫生健康支出6.95万元。主要用于职工行政单位医疗及行政单位医疗补助。</w:t>
      </w:r>
    </w:p>
    <w:p w14:paraId="1AB7C2C7">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4．住房保障支出9.11万元。主要用于职工住房公积金。</w:t>
      </w:r>
    </w:p>
    <w:p w14:paraId="3BE703F0">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六、一般公共预算基本支出情况说明</w:t>
      </w:r>
    </w:p>
    <w:p w14:paraId="0C0F9E7D">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2026年一般公共预算基本支出169.04万元，其中：人员经费131.86万元，主要包括：基本工资、津贴补贴、奖金、其他社会保障缴费、绩效工资、机关事业单位基本养老保险缴费、职业年金缴费、其他工资福利支出、离休费、奖励金、住房公积金、其他对个人和家庭的补助支出。公用经费37.18万元，主要包括：办公费、印刷费、手续费、水费、电费、邮电费、差旅费、维修（护）费、租赁费、会议费、培训费、劳务费、福利费、</w:t>
      </w:r>
      <w:r>
        <w:rPr>
          <w:rFonts w:hint="default" w:ascii="Times New Roman" w:hAnsi="Times New Roman" w:eastAsia="方正仿宋_GBK" w:cs="Times New Roman"/>
          <w:color w:val="auto"/>
          <w:sz w:val="32"/>
          <w:szCs w:val="32"/>
          <w:highlight w:val="none"/>
          <w:lang w:eastAsia="zh-CN"/>
        </w:rPr>
        <w:t>其他交通工具</w:t>
      </w:r>
      <w:r>
        <w:rPr>
          <w:rFonts w:hint="eastAsia" w:ascii="Times New Roman" w:hAnsi="Times New Roman" w:eastAsia="方正仿宋_GBK" w:cs="Times New Roman"/>
          <w:color w:val="auto"/>
          <w:sz w:val="32"/>
          <w:szCs w:val="32"/>
          <w:highlight w:val="none"/>
          <w:lang w:val="en-US" w:eastAsia="zh-CN"/>
        </w:rPr>
        <w:t>运行维护费、其他商品和服务支出。</w:t>
      </w:r>
    </w:p>
    <w:p w14:paraId="434BD788">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七、“三公”经费财政拨款预算安排情况说明</w:t>
      </w:r>
    </w:p>
    <w:p w14:paraId="7B0A743E">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阿坝州公务服务中心2026年“三公”经费财政拨款预算数172.35万元，其中：因公出国（境）经费0万元，公务接待费150.75万元，公务用车购置及运行维护费21.6万元。</w:t>
      </w:r>
    </w:p>
    <w:p w14:paraId="09264683">
      <w:pPr>
        <w:keepNext w:val="0"/>
        <w:keepLines w:val="0"/>
        <w:pageBreakBefore w:val="0"/>
        <w:widowControl w:val="0"/>
        <w:kinsoku/>
        <w:wordWrap/>
        <w:overflowPunct w:val="0"/>
        <w:topLinePunct w:val="0"/>
        <w:autoSpaceDE/>
        <w:autoSpaceDN/>
        <w:bidi w:val="0"/>
        <w:adjustRightInd/>
        <w:snapToGrid/>
        <w:spacing w:line="576" w:lineRule="exact"/>
        <w:ind w:firstLine="643"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楷体_GBK" w:cs="Times New Roman"/>
          <w:b/>
          <w:bCs/>
          <w:sz w:val="32"/>
          <w:szCs w:val="32"/>
          <w:lang w:val="en-US" w:eastAsia="zh-CN"/>
        </w:rPr>
        <w:t>（一）2026年因公出国（境）经费0万元。</w:t>
      </w:r>
      <w:r>
        <w:rPr>
          <w:rFonts w:hint="eastAsia" w:ascii="Times New Roman" w:hAnsi="Times New Roman" w:eastAsia="方正仿宋_GBK" w:cs="Times New Roman"/>
          <w:color w:val="auto"/>
          <w:sz w:val="32"/>
          <w:szCs w:val="32"/>
          <w:highlight w:val="none"/>
          <w:lang w:val="en-US" w:eastAsia="zh-CN"/>
        </w:rPr>
        <w:t>全年安排因公出国（境）团组0次，出国（境）0人。因公出国（境）支出预算与2025年相同。主要原因是未涉及需因公出国（境）的相关事项。</w:t>
      </w:r>
    </w:p>
    <w:p w14:paraId="7FE0AD37">
      <w:pPr>
        <w:keepNext w:val="0"/>
        <w:keepLines w:val="0"/>
        <w:pageBreakBefore w:val="0"/>
        <w:widowControl w:val="0"/>
        <w:kinsoku/>
        <w:wordWrap/>
        <w:overflowPunct w:val="0"/>
        <w:topLinePunct w:val="0"/>
        <w:autoSpaceDE/>
        <w:autoSpaceDN/>
        <w:bidi w:val="0"/>
        <w:adjustRightInd/>
        <w:snapToGrid/>
        <w:spacing w:line="576" w:lineRule="exact"/>
        <w:ind w:firstLine="643" w:firstLineChars="200"/>
        <w:jc w:val="both"/>
        <w:textAlignment w:val="auto"/>
        <w:rPr>
          <w:rFonts w:hint="eastAsia" w:ascii="Times New Roman" w:hAnsi="Times New Roman" w:eastAsia="方正仿宋_GBK" w:cs="Times New Roman"/>
          <w:color w:val="ED7D31" w:themeColor="accent2"/>
          <w:sz w:val="32"/>
          <w:szCs w:val="32"/>
          <w:highlight w:val="none"/>
          <w:lang w:val="en-US" w:eastAsia="zh-CN"/>
          <w14:textFill>
            <w14:solidFill>
              <w14:schemeClr w14:val="accent2"/>
            </w14:solidFill>
          </w14:textFill>
        </w:rPr>
      </w:pPr>
      <w:r>
        <w:rPr>
          <w:rFonts w:hint="eastAsia" w:ascii="Times New Roman" w:hAnsi="Times New Roman" w:eastAsia="方正楷体_GBK" w:cs="Times New Roman"/>
          <w:b/>
          <w:bCs/>
          <w:sz w:val="32"/>
          <w:szCs w:val="32"/>
          <w:lang w:val="en-US" w:eastAsia="zh-CN"/>
        </w:rPr>
        <w:t>（二）2026年公务接待费150.75万元。</w:t>
      </w:r>
      <w:r>
        <w:rPr>
          <w:rFonts w:hint="eastAsia" w:ascii="Times New Roman" w:hAnsi="Times New Roman" w:eastAsia="方正仿宋_GBK" w:cs="Times New Roman"/>
          <w:color w:val="auto"/>
          <w:sz w:val="32"/>
          <w:szCs w:val="32"/>
          <w:highlight w:val="none"/>
          <w:lang w:val="en-US" w:eastAsia="zh-CN"/>
        </w:rPr>
        <w:t>较2025年预算</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经费减少230.38万元，减少60.45%。主要原因</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机构改革、人员分流实施项目减少</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w:t>
      </w:r>
    </w:p>
    <w:p w14:paraId="6151BF8F">
      <w:pPr>
        <w:keepNext w:val="0"/>
        <w:keepLines w:val="0"/>
        <w:pageBreakBefore w:val="0"/>
        <w:widowControl w:val="0"/>
        <w:kinsoku/>
        <w:wordWrap/>
        <w:overflowPunct w:val="0"/>
        <w:topLinePunct w:val="0"/>
        <w:autoSpaceDE/>
        <w:autoSpaceDN/>
        <w:bidi w:val="0"/>
        <w:adjustRightInd/>
        <w:snapToGrid/>
        <w:spacing w:line="576" w:lineRule="exact"/>
        <w:ind w:firstLine="643" w:firstLineChars="200"/>
        <w:jc w:val="both"/>
        <w:textAlignment w:val="auto"/>
        <w:rPr>
          <w:rFonts w:hint="eastAsia" w:ascii="Times New Roman" w:hAnsi="Times New Roman" w:eastAsia="方正仿宋_GBK" w:cs="Times New Roman"/>
          <w:b w:val="0"/>
          <w:bCs/>
          <w:color w:val="ED7D31" w:themeColor="accent2"/>
          <w:kern w:val="2"/>
          <w:sz w:val="32"/>
          <w:szCs w:val="32"/>
          <w:highlight w:val="none"/>
          <w:lang w:val="en-US" w:eastAsia="zh-CN" w:bidi="ar-SA"/>
          <w14:textFill>
            <w14:solidFill>
              <w14:schemeClr w14:val="accent2"/>
            </w14:solidFill>
          </w14:textFill>
        </w:rPr>
      </w:pPr>
      <w:r>
        <w:rPr>
          <w:rFonts w:hint="eastAsia" w:ascii="Times New Roman" w:hAnsi="Times New Roman" w:eastAsia="方正仿宋_GBK" w:cs="Times New Roman"/>
          <w:b/>
          <w:color w:val="000000" w:themeColor="text1"/>
          <w:kern w:val="2"/>
          <w:sz w:val="32"/>
          <w:szCs w:val="32"/>
          <w:highlight w:val="none"/>
          <w:lang w:val="en-US" w:eastAsia="zh-CN" w:bidi="ar-SA"/>
          <w14:textFill>
            <w14:solidFill>
              <w14:schemeClr w14:val="tx1"/>
            </w14:solidFill>
          </w14:textFill>
        </w:rPr>
        <w:t>国内公务接待支出150.75万元。</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较2025年预算经费减少230.38万元，减少60.45%。主要原因机构改革、人员分流实施项目减少</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w:t>
      </w:r>
    </w:p>
    <w:p w14:paraId="232BD0B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lang w:val="en-US" w:eastAsia="zh-CN"/>
        </w:rPr>
      </w:pPr>
      <w:r>
        <w:rPr>
          <w:rFonts w:hint="eastAsia" w:ascii="Times New Roman" w:hAnsi="Times New Roman" w:eastAsia="方正仿宋_GBK" w:cs="Times New Roman"/>
          <w:b/>
          <w:color w:val="auto"/>
          <w:kern w:val="2"/>
          <w:sz w:val="32"/>
          <w:szCs w:val="32"/>
          <w:highlight w:val="none"/>
          <w:lang w:val="en-US" w:eastAsia="zh-CN" w:bidi="ar-SA"/>
        </w:rPr>
        <w:t>国（境）外接待费0万元。</w:t>
      </w:r>
      <w:r>
        <w:rPr>
          <w:rFonts w:hint="eastAsia" w:ascii="Times New Roman" w:hAnsi="Times New Roman" w:eastAsia="方正仿宋_GBK" w:cs="Times New Roman"/>
          <w:color w:val="auto"/>
          <w:sz w:val="32"/>
          <w:szCs w:val="32"/>
          <w:highlight w:val="none"/>
          <w:lang w:val="en-US" w:eastAsia="zh-CN"/>
        </w:rPr>
        <w:t>较2025年预算经费相比持平。主要原因是我中心不涉及国（境）外接待费。国（境）外接待0批次，0人次（不包括陪同人员）共计支出0万元。</w:t>
      </w:r>
    </w:p>
    <w:p w14:paraId="33212A75">
      <w:pPr>
        <w:keepNext w:val="0"/>
        <w:keepLines w:val="0"/>
        <w:pageBreakBefore w:val="0"/>
        <w:widowControl w:val="0"/>
        <w:kinsoku/>
        <w:wordWrap/>
        <w:overflowPunct w:val="0"/>
        <w:topLinePunct w:val="0"/>
        <w:autoSpaceDE/>
        <w:autoSpaceDN/>
        <w:bidi w:val="0"/>
        <w:adjustRightInd/>
        <w:snapToGrid/>
        <w:spacing w:line="576" w:lineRule="exact"/>
        <w:ind w:firstLine="643"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（三）2024年公务用车购置及运行维护费21.6万元。</w:t>
      </w:r>
      <w:r>
        <w:rPr>
          <w:rFonts w:hint="eastAsia" w:ascii="Times New Roman" w:hAnsi="Times New Roman" w:eastAsia="方正仿宋_GBK" w:cs="Times New Roman"/>
          <w:color w:val="auto"/>
          <w:sz w:val="32"/>
          <w:szCs w:val="32"/>
          <w:highlight w:val="none"/>
          <w:lang w:val="en-US" w:eastAsia="zh-CN"/>
        </w:rPr>
        <w:t>较2025年预算经费相比持平。主要原因是我中心2026年与2025年公务用车数一致。其中：</w:t>
      </w:r>
      <w:r>
        <w:rPr>
          <w:rFonts w:hint="eastAsia" w:ascii="Times New Roman" w:hAnsi="Times New Roman" w:eastAsia="方正仿宋_GBK" w:cs="Times New Roman"/>
          <w:b/>
          <w:color w:val="auto"/>
          <w:kern w:val="2"/>
          <w:sz w:val="32"/>
          <w:szCs w:val="32"/>
          <w:highlight w:val="none"/>
          <w:lang w:val="en-US" w:eastAsia="zh-CN" w:bidi="ar-SA"/>
        </w:rPr>
        <w:t>公务用车购置支出0万元。</w:t>
      </w:r>
      <w:r>
        <w:rPr>
          <w:rFonts w:hint="eastAsia" w:ascii="Times New Roman" w:hAnsi="Times New Roman" w:eastAsia="方正仿宋_GBK" w:cs="Times New Roman"/>
          <w:color w:val="auto"/>
          <w:sz w:val="32"/>
          <w:szCs w:val="32"/>
          <w:highlight w:val="none"/>
          <w:lang w:val="en-US" w:eastAsia="zh-CN"/>
        </w:rPr>
        <w:t>较2025年相比无变化。</w:t>
      </w:r>
      <w:r>
        <w:rPr>
          <w:rFonts w:hint="eastAsia" w:ascii="Times New Roman" w:hAnsi="Times New Roman" w:eastAsia="方正仿宋_GBK" w:cs="Times New Roman"/>
          <w:b/>
          <w:color w:val="auto"/>
          <w:kern w:val="2"/>
          <w:sz w:val="32"/>
          <w:szCs w:val="32"/>
          <w:highlight w:val="none"/>
          <w:lang w:val="en-US" w:eastAsia="zh-CN" w:bidi="ar-SA"/>
        </w:rPr>
        <w:t>公务用运行维护费21.6万元。</w:t>
      </w:r>
      <w:r>
        <w:rPr>
          <w:rFonts w:hint="eastAsia" w:ascii="Times New Roman" w:hAnsi="Times New Roman" w:eastAsia="方正仿宋_GBK" w:cs="Times New Roman"/>
          <w:color w:val="auto"/>
          <w:sz w:val="32"/>
          <w:szCs w:val="32"/>
          <w:highlight w:val="none"/>
          <w:lang w:val="en-US" w:eastAsia="zh-CN"/>
        </w:rPr>
        <w:t>较2025年相比无变化。主要用于我中心所需的公务用车燃料费、维修费、过路过桥费、保险费等支出。</w:t>
      </w:r>
    </w:p>
    <w:p w14:paraId="6B0C980F">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八、政府性基金预算支出情况说明</w:t>
      </w:r>
    </w:p>
    <w:p w14:paraId="26C9E47C">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我中心2025年政府性基金预算拨款安排支出0万元。与2025年政府性基金预算支出0万元，无增长变化。主要原因为我中心不涉及政府性基金预算支出项目。</w:t>
      </w:r>
    </w:p>
    <w:p w14:paraId="647E6EF2">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九、其他重要事项的情况说明</w:t>
      </w:r>
    </w:p>
    <w:p w14:paraId="55A08FD1">
      <w:pPr>
        <w:keepNext w:val="0"/>
        <w:keepLines w:val="0"/>
        <w:pageBreakBefore w:val="0"/>
        <w:widowControl w:val="0"/>
        <w:kinsoku/>
        <w:wordWrap/>
        <w:overflowPunct w:val="0"/>
        <w:topLinePunct w:val="0"/>
        <w:autoSpaceDE/>
        <w:autoSpaceDN/>
        <w:bidi w:val="0"/>
        <w:adjustRightInd/>
        <w:snapToGrid/>
        <w:spacing w:line="576" w:lineRule="exact"/>
        <w:ind w:firstLine="643"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（一）机关运行经费</w:t>
      </w:r>
    </w:p>
    <w:p w14:paraId="33D88CD6">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阿坝州公务服务中心2026年机关运行经费财政拨款预算为</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37.18</w:t>
      </w:r>
      <w:r>
        <w:rPr>
          <w:rFonts w:hint="eastAsia" w:ascii="Times New Roman" w:hAnsi="Times New Roman" w:eastAsia="方正仿宋_GBK" w:cs="Times New Roman"/>
          <w:color w:val="auto"/>
          <w:sz w:val="32"/>
          <w:szCs w:val="32"/>
          <w:highlight w:val="none"/>
          <w:lang w:val="en-US" w:eastAsia="zh-CN"/>
        </w:rPr>
        <w:t>万元。比2025年预算减少29.72万元，下降44.42%。其原因是本单位机构改革、人员分流，日常公用经费减少。</w:t>
      </w:r>
    </w:p>
    <w:p w14:paraId="283C5C43">
      <w:pPr>
        <w:keepNext w:val="0"/>
        <w:keepLines w:val="0"/>
        <w:pageBreakBefore w:val="0"/>
        <w:widowControl w:val="0"/>
        <w:kinsoku/>
        <w:wordWrap/>
        <w:overflowPunct w:val="0"/>
        <w:topLinePunct w:val="0"/>
        <w:autoSpaceDE/>
        <w:autoSpaceDN/>
        <w:bidi w:val="0"/>
        <w:adjustRightInd/>
        <w:snapToGrid/>
        <w:spacing w:line="576" w:lineRule="exact"/>
        <w:ind w:firstLine="643"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（二）政府采购情况</w:t>
      </w:r>
    </w:p>
    <w:p w14:paraId="38F61D82">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2026年阿坝州公务服务中心政府采购预算0万</w:t>
      </w:r>
      <w:bookmarkStart w:id="0" w:name="_GoBack"/>
      <w:bookmarkEnd w:id="0"/>
      <w:r>
        <w:rPr>
          <w:rFonts w:hint="eastAsia" w:ascii="Times New Roman" w:hAnsi="Times New Roman" w:eastAsia="方正仿宋_GBK" w:cs="Times New Roman"/>
          <w:color w:val="auto"/>
          <w:sz w:val="32"/>
          <w:szCs w:val="32"/>
          <w:highlight w:val="none"/>
          <w:lang w:val="en-US" w:eastAsia="zh-CN"/>
        </w:rPr>
        <w:t>元。</w:t>
      </w:r>
    </w:p>
    <w:p w14:paraId="046BCD10">
      <w:pPr>
        <w:keepNext w:val="0"/>
        <w:keepLines w:val="0"/>
        <w:pageBreakBefore w:val="0"/>
        <w:widowControl w:val="0"/>
        <w:kinsoku/>
        <w:wordWrap/>
        <w:overflowPunct w:val="0"/>
        <w:topLinePunct w:val="0"/>
        <w:autoSpaceDE/>
        <w:autoSpaceDN/>
        <w:bidi w:val="0"/>
        <w:adjustRightInd/>
        <w:snapToGrid/>
        <w:spacing w:line="576" w:lineRule="exact"/>
        <w:ind w:firstLine="643" w:firstLineChars="200"/>
        <w:jc w:val="both"/>
        <w:textAlignment w:val="auto"/>
        <w:rPr>
          <w:rFonts w:hint="eastAsia" w:ascii="Times New Roman" w:hAnsi="Times New Roman" w:eastAsia="方正楷体_GBK" w:cs="Times New Roman"/>
          <w:b/>
          <w:bCs/>
          <w:color w:val="auto"/>
          <w:sz w:val="32"/>
          <w:szCs w:val="32"/>
          <w:lang w:eastAsia="zh-CN"/>
        </w:rPr>
      </w:pPr>
      <w:r>
        <w:rPr>
          <w:rFonts w:hint="eastAsia" w:ascii="Times New Roman" w:hAnsi="Times New Roman" w:eastAsia="方正楷体_GBK" w:cs="Times New Roman"/>
          <w:b/>
          <w:bCs/>
          <w:color w:val="auto"/>
          <w:sz w:val="32"/>
          <w:szCs w:val="32"/>
          <w:lang w:eastAsia="zh-CN"/>
        </w:rPr>
        <w:t>（三）国有资产占有使用情况</w:t>
      </w:r>
    </w:p>
    <w:p w14:paraId="5855FFB9">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固定资产原值总额</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300.69</w:t>
      </w:r>
      <w:r>
        <w:rPr>
          <w:rFonts w:hint="eastAsia" w:ascii="Times New Roman" w:hAnsi="Times New Roman" w:eastAsia="方正仿宋_GBK" w:cs="Times New Roman"/>
          <w:color w:val="auto"/>
          <w:sz w:val="32"/>
          <w:szCs w:val="32"/>
          <w:highlight w:val="none"/>
          <w:lang w:val="en-US" w:eastAsia="zh-CN"/>
        </w:rPr>
        <w:t>万元。</w:t>
      </w:r>
    </w:p>
    <w:p w14:paraId="71B9E5B7">
      <w:pPr>
        <w:keepNext w:val="0"/>
        <w:keepLines w:val="0"/>
        <w:pageBreakBefore w:val="0"/>
        <w:widowControl w:val="0"/>
        <w:kinsoku/>
        <w:wordWrap/>
        <w:overflowPunct w:val="0"/>
        <w:topLinePunct w:val="0"/>
        <w:autoSpaceDE/>
        <w:autoSpaceDN/>
        <w:bidi w:val="0"/>
        <w:adjustRightInd/>
        <w:snapToGrid/>
        <w:spacing w:line="576" w:lineRule="exact"/>
        <w:ind w:firstLine="643" w:firstLineChars="200"/>
        <w:jc w:val="both"/>
        <w:textAlignment w:val="auto"/>
        <w:rPr>
          <w:rFonts w:hint="eastAsia" w:ascii="Times New Roman" w:hAnsi="Times New Roman" w:eastAsia="方正楷体_GBK" w:cs="Times New Roman"/>
          <w:b/>
          <w:bCs/>
          <w:color w:val="auto"/>
          <w:sz w:val="32"/>
          <w:szCs w:val="32"/>
          <w:lang w:eastAsia="zh-CN"/>
        </w:rPr>
      </w:pPr>
      <w:r>
        <w:rPr>
          <w:rFonts w:hint="eastAsia" w:ascii="Times New Roman" w:hAnsi="Times New Roman" w:eastAsia="方正楷体_GBK" w:cs="Times New Roman"/>
          <w:b/>
          <w:bCs/>
          <w:color w:val="auto"/>
          <w:sz w:val="32"/>
          <w:szCs w:val="32"/>
          <w:lang w:eastAsia="zh-CN"/>
        </w:rPr>
        <w:t>（四）绩效目标设置情况</w:t>
      </w:r>
    </w:p>
    <w:p w14:paraId="7E769180">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2026年阿坝州公务服务中心通用项目和专用项目均按要求实行绩效目标管理，涉及一般公共预算当年拨款414.88万元。</w:t>
      </w:r>
    </w:p>
    <w:p w14:paraId="7F1B02D1">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十、名词解释</w:t>
      </w:r>
    </w:p>
    <w:p w14:paraId="4E582CFF">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（一）财政拨款收入：指由财政拨款形成的部门收入。按现行管理制度，部门预算中反映的财政拨款仅包括一般公共预算拨款和政府性基金预算拨款。</w:t>
      </w:r>
    </w:p>
    <w:p w14:paraId="4210979C">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（二）事业收入：指所属事业单位开展专业业务活动及辅助活动所取得的收入。</w:t>
      </w:r>
    </w:p>
    <w:p w14:paraId="43646864">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（三）事业单位经营收入：指所属事业单位在专业业务活动及其辅助活动之外开展非独立核算经营活动取得的收入。</w:t>
      </w:r>
    </w:p>
    <w:p w14:paraId="52749393">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（四）其他收入：指除上述“财政拨款收入”、“事业收入”、“事业单位经营收入”等以外的收入，主要是所属行政事业单位按规定动用的售房收入、存款利息收入等。</w:t>
      </w:r>
    </w:p>
    <w:p w14:paraId="490FD01E">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五）用事业基金弥补收支差额：指所属事业单位在预计用当年的“财政拨款收入”、“事业收入”、“事业单位经营收入”、“其他收入”不足以安排当年支出的情况下，使用以前年度积累的事业基金弥补本年度收支缺口的资金。</w:t>
      </w:r>
    </w:p>
    <w:p w14:paraId="5282D82A">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（六）上年结转：指所属行政事业单位以前年度尚未完成、结转至本年按原规定用途继续使用的资金和以前年度已完成项目剩余资金经批准用于新用途使用的资金。</w:t>
      </w: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7A7E3">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77E08">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614D35">
                          <w:pPr>
                            <w:pStyle w:val="6"/>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1</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6614D35">
                    <w:pPr>
                      <w:pStyle w:val="6"/>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1</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69B2D">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0D35FF"/>
    <w:rsid w:val="03F8652F"/>
    <w:rsid w:val="09B6D3D5"/>
    <w:rsid w:val="0B4DB879"/>
    <w:rsid w:val="0ECC6B20"/>
    <w:rsid w:val="0FDBA692"/>
    <w:rsid w:val="13BFB808"/>
    <w:rsid w:val="13F3570C"/>
    <w:rsid w:val="153DE9D8"/>
    <w:rsid w:val="15B5F861"/>
    <w:rsid w:val="177EF699"/>
    <w:rsid w:val="17A7E615"/>
    <w:rsid w:val="17DD43EB"/>
    <w:rsid w:val="18D2B3A2"/>
    <w:rsid w:val="19BE788C"/>
    <w:rsid w:val="1CFF5420"/>
    <w:rsid w:val="1DF1CD16"/>
    <w:rsid w:val="1DF4340B"/>
    <w:rsid w:val="1DF59469"/>
    <w:rsid w:val="1E975EDC"/>
    <w:rsid w:val="1F5DC803"/>
    <w:rsid w:val="1FBDFE53"/>
    <w:rsid w:val="1FEE107F"/>
    <w:rsid w:val="1FFF5D8D"/>
    <w:rsid w:val="25FDA771"/>
    <w:rsid w:val="28D416DD"/>
    <w:rsid w:val="28D66BFD"/>
    <w:rsid w:val="28EA2E0B"/>
    <w:rsid w:val="29EF06E8"/>
    <w:rsid w:val="29FF0BCB"/>
    <w:rsid w:val="2B3F44A8"/>
    <w:rsid w:val="2BE75CE9"/>
    <w:rsid w:val="2DF7E755"/>
    <w:rsid w:val="2ED6B8A3"/>
    <w:rsid w:val="2EFEC417"/>
    <w:rsid w:val="2FE352D4"/>
    <w:rsid w:val="2FE3A726"/>
    <w:rsid w:val="2FF893B7"/>
    <w:rsid w:val="2FFE1C43"/>
    <w:rsid w:val="2FFFBFC4"/>
    <w:rsid w:val="30151E51"/>
    <w:rsid w:val="332F0AE6"/>
    <w:rsid w:val="349F9B2D"/>
    <w:rsid w:val="35BE1ED6"/>
    <w:rsid w:val="36EB78DD"/>
    <w:rsid w:val="37773D53"/>
    <w:rsid w:val="37BD3752"/>
    <w:rsid w:val="37D59E7B"/>
    <w:rsid w:val="37FD6ED3"/>
    <w:rsid w:val="397FFCCE"/>
    <w:rsid w:val="3BB6E1DB"/>
    <w:rsid w:val="3BDE2B9F"/>
    <w:rsid w:val="3BDF7CAA"/>
    <w:rsid w:val="3BE79AD2"/>
    <w:rsid w:val="3BFDC132"/>
    <w:rsid w:val="3BFE1929"/>
    <w:rsid w:val="3D7F33AB"/>
    <w:rsid w:val="3D8F38CA"/>
    <w:rsid w:val="3DE18914"/>
    <w:rsid w:val="3DE5F8F3"/>
    <w:rsid w:val="3DF6E08F"/>
    <w:rsid w:val="3DFFB4A7"/>
    <w:rsid w:val="3E7DBF34"/>
    <w:rsid w:val="3E8FD879"/>
    <w:rsid w:val="3EDD0365"/>
    <w:rsid w:val="3EDEE2AE"/>
    <w:rsid w:val="3EDF1F53"/>
    <w:rsid w:val="3EED03ED"/>
    <w:rsid w:val="3EEE1336"/>
    <w:rsid w:val="3EEF2B39"/>
    <w:rsid w:val="3EF741AB"/>
    <w:rsid w:val="3F16DD54"/>
    <w:rsid w:val="3F4E249B"/>
    <w:rsid w:val="3F76EE96"/>
    <w:rsid w:val="3F77D5E9"/>
    <w:rsid w:val="3F7EC0AF"/>
    <w:rsid w:val="3FBD4EAF"/>
    <w:rsid w:val="3FDD1FFF"/>
    <w:rsid w:val="3FDDFD26"/>
    <w:rsid w:val="3FF5E831"/>
    <w:rsid w:val="3FF70F0B"/>
    <w:rsid w:val="3FF7D4B0"/>
    <w:rsid w:val="3FFC656B"/>
    <w:rsid w:val="3FFE7051"/>
    <w:rsid w:val="4B5EE1BB"/>
    <w:rsid w:val="4BF5BE2A"/>
    <w:rsid w:val="4BF738A6"/>
    <w:rsid w:val="4BFF9CAA"/>
    <w:rsid w:val="4DAF01DE"/>
    <w:rsid w:val="4DFFA3A3"/>
    <w:rsid w:val="4EFD7585"/>
    <w:rsid w:val="4EFE369D"/>
    <w:rsid w:val="4F4F18B4"/>
    <w:rsid w:val="4F73B504"/>
    <w:rsid w:val="4F7BF046"/>
    <w:rsid w:val="4FB719F7"/>
    <w:rsid w:val="4FBD7F0C"/>
    <w:rsid w:val="4FBEB26C"/>
    <w:rsid w:val="50D61CB7"/>
    <w:rsid w:val="51B5C384"/>
    <w:rsid w:val="56E9ABFE"/>
    <w:rsid w:val="5798B211"/>
    <w:rsid w:val="57CF63D5"/>
    <w:rsid w:val="57E7C5BA"/>
    <w:rsid w:val="57FD763C"/>
    <w:rsid w:val="580D35FF"/>
    <w:rsid w:val="597B42DC"/>
    <w:rsid w:val="5B4DA890"/>
    <w:rsid w:val="5B5E3FEB"/>
    <w:rsid w:val="5B773C30"/>
    <w:rsid w:val="5BEC30CF"/>
    <w:rsid w:val="5BFD309E"/>
    <w:rsid w:val="5C7FFC7E"/>
    <w:rsid w:val="5CAF4990"/>
    <w:rsid w:val="5DD74E3F"/>
    <w:rsid w:val="5DFF2BD2"/>
    <w:rsid w:val="5DFF9304"/>
    <w:rsid w:val="5EB240CC"/>
    <w:rsid w:val="5EEF4543"/>
    <w:rsid w:val="5EFF6726"/>
    <w:rsid w:val="5F7D5AB9"/>
    <w:rsid w:val="5F7F6B70"/>
    <w:rsid w:val="5F8C6EE1"/>
    <w:rsid w:val="5FBEE1B7"/>
    <w:rsid w:val="5FD7C4F1"/>
    <w:rsid w:val="5FD8C2CD"/>
    <w:rsid w:val="5FF3FA5D"/>
    <w:rsid w:val="5FFE4031"/>
    <w:rsid w:val="5FFF4905"/>
    <w:rsid w:val="5FFFCE8F"/>
    <w:rsid w:val="63BFA8BA"/>
    <w:rsid w:val="63FF78BB"/>
    <w:rsid w:val="65AB6172"/>
    <w:rsid w:val="65C79063"/>
    <w:rsid w:val="65EF8246"/>
    <w:rsid w:val="65FE231C"/>
    <w:rsid w:val="66B6BF23"/>
    <w:rsid w:val="679F44B2"/>
    <w:rsid w:val="67CD0D53"/>
    <w:rsid w:val="67D614CC"/>
    <w:rsid w:val="67DF37BC"/>
    <w:rsid w:val="67F87B79"/>
    <w:rsid w:val="683F3F69"/>
    <w:rsid w:val="69DC0A24"/>
    <w:rsid w:val="6AC7A812"/>
    <w:rsid w:val="6AFC6047"/>
    <w:rsid w:val="6B71F400"/>
    <w:rsid w:val="6B7D6B42"/>
    <w:rsid w:val="6BDE9A8A"/>
    <w:rsid w:val="6BDF15CD"/>
    <w:rsid w:val="6BE91838"/>
    <w:rsid w:val="6BFFF077"/>
    <w:rsid w:val="6C4F1828"/>
    <w:rsid w:val="6C6F617C"/>
    <w:rsid w:val="6D761C06"/>
    <w:rsid w:val="6DE770C9"/>
    <w:rsid w:val="6E3F3B74"/>
    <w:rsid w:val="6EC76D48"/>
    <w:rsid w:val="6ECB9022"/>
    <w:rsid w:val="6EEFF796"/>
    <w:rsid w:val="6EFBC842"/>
    <w:rsid w:val="6EFDAC88"/>
    <w:rsid w:val="6EFE2466"/>
    <w:rsid w:val="6EFE5D71"/>
    <w:rsid w:val="6EFFB281"/>
    <w:rsid w:val="6F559635"/>
    <w:rsid w:val="6F6F78FD"/>
    <w:rsid w:val="6F6FFC43"/>
    <w:rsid w:val="6F7E21E7"/>
    <w:rsid w:val="6F7E9BB9"/>
    <w:rsid w:val="6FDD478F"/>
    <w:rsid w:val="6FF7CB44"/>
    <w:rsid w:val="6FFB9528"/>
    <w:rsid w:val="6FFBA393"/>
    <w:rsid w:val="6FFBC062"/>
    <w:rsid w:val="6FFBC19E"/>
    <w:rsid w:val="71B3C39C"/>
    <w:rsid w:val="71C67285"/>
    <w:rsid w:val="71DA5B06"/>
    <w:rsid w:val="71DB0585"/>
    <w:rsid w:val="72D93B17"/>
    <w:rsid w:val="737F3EE6"/>
    <w:rsid w:val="73EF72FF"/>
    <w:rsid w:val="73EFCE1E"/>
    <w:rsid w:val="73FDCB11"/>
    <w:rsid w:val="73FFAE08"/>
    <w:rsid w:val="746F0E04"/>
    <w:rsid w:val="74ED34F4"/>
    <w:rsid w:val="757DE101"/>
    <w:rsid w:val="75BF683E"/>
    <w:rsid w:val="75C3AB6B"/>
    <w:rsid w:val="75D149AA"/>
    <w:rsid w:val="75FE3BF4"/>
    <w:rsid w:val="75FFDF7B"/>
    <w:rsid w:val="764F5391"/>
    <w:rsid w:val="76BDEC9F"/>
    <w:rsid w:val="76E3AC26"/>
    <w:rsid w:val="76F36540"/>
    <w:rsid w:val="76FD5CDC"/>
    <w:rsid w:val="771E4A80"/>
    <w:rsid w:val="776F65D7"/>
    <w:rsid w:val="77A7D47B"/>
    <w:rsid w:val="77BAE392"/>
    <w:rsid w:val="77BD04C4"/>
    <w:rsid w:val="77BF4052"/>
    <w:rsid w:val="77DE7706"/>
    <w:rsid w:val="77DFDCF6"/>
    <w:rsid w:val="77EEE922"/>
    <w:rsid w:val="77F3853C"/>
    <w:rsid w:val="77FAAE21"/>
    <w:rsid w:val="77FB0790"/>
    <w:rsid w:val="77FE20DD"/>
    <w:rsid w:val="77FF134C"/>
    <w:rsid w:val="77FF1DBE"/>
    <w:rsid w:val="77FF8AD3"/>
    <w:rsid w:val="77FF8D9B"/>
    <w:rsid w:val="78AF050D"/>
    <w:rsid w:val="78DF85B7"/>
    <w:rsid w:val="78F97E8C"/>
    <w:rsid w:val="796B6EF9"/>
    <w:rsid w:val="799743C6"/>
    <w:rsid w:val="79B64DFB"/>
    <w:rsid w:val="79F72563"/>
    <w:rsid w:val="79FBB747"/>
    <w:rsid w:val="7A7F3436"/>
    <w:rsid w:val="7A9D62C4"/>
    <w:rsid w:val="7ACFC151"/>
    <w:rsid w:val="7AFBE1FD"/>
    <w:rsid w:val="7B5FCE4B"/>
    <w:rsid w:val="7B6B409C"/>
    <w:rsid w:val="7B6DC0C1"/>
    <w:rsid w:val="7B6FE896"/>
    <w:rsid w:val="7B7B3324"/>
    <w:rsid w:val="7B7F5D7F"/>
    <w:rsid w:val="7B9F44AA"/>
    <w:rsid w:val="7B9F56ED"/>
    <w:rsid w:val="7BBFDCF2"/>
    <w:rsid w:val="7BDF0488"/>
    <w:rsid w:val="7BEBF6CD"/>
    <w:rsid w:val="7BEFA26C"/>
    <w:rsid w:val="7BFA4220"/>
    <w:rsid w:val="7BFB678F"/>
    <w:rsid w:val="7BFF0ED1"/>
    <w:rsid w:val="7BFF89C3"/>
    <w:rsid w:val="7BFF99D5"/>
    <w:rsid w:val="7C6EDF03"/>
    <w:rsid w:val="7C87976F"/>
    <w:rsid w:val="7CB2C599"/>
    <w:rsid w:val="7CBF133B"/>
    <w:rsid w:val="7CDDED47"/>
    <w:rsid w:val="7CF715ED"/>
    <w:rsid w:val="7CFD3253"/>
    <w:rsid w:val="7D3D1C4A"/>
    <w:rsid w:val="7D7D68E6"/>
    <w:rsid w:val="7D7DC192"/>
    <w:rsid w:val="7D9B669E"/>
    <w:rsid w:val="7DDE29E7"/>
    <w:rsid w:val="7DF926F2"/>
    <w:rsid w:val="7DFD9CBB"/>
    <w:rsid w:val="7DFF1190"/>
    <w:rsid w:val="7E69D867"/>
    <w:rsid w:val="7E6D87E7"/>
    <w:rsid w:val="7E7142BE"/>
    <w:rsid w:val="7E7CBA9F"/>
    <w:rsid w:val="7E7DF421"/>
    <w:rsid w:val="7E7F4BFA"/>
    <w:rsid w:val="7E9DD492"/>
    <w:rsid w:val="7EB72ED1"/>
    <w:rsid w:val="7EBF3B67"/>
    <w:rsid w:val="7EDB6110"/>
    <w:rsid w:val="7EE38082"/>
    <w:rsid w:val="7EFD2BB5"/>
    <w:rsid w:val="7EFD8B51"/>
    <w:rsid w:val="7EFFC6FA"/>
    <w:rsid w:val="7EFFD207"/>
    <w:rsid w:val="7F3B92E9"/>
    <w:rsid w:val="7F3F0B30"/>
    <w:rsid w:val="7F4E9518"/>
    <w:rsid w:val="7F4F30F5"/>
    <w:rsid w:val="7F4FD433"/>
    <w:rsid w:val="7F5CE558"/>
    <w:rsid w:val="7F7B5F81"/>
    <w:rsid w:val="7F7D27FD"/>
    <w:rsid w:val="7F7E6576"/>
    <w:rsid w:val="7F7FF9EF"/>
    <w:rsid w:val="7F861607"/>
    <w:rsid w:val="7F8F6F85"/>
    <w:rsid w:val="7F9C6423"/>
    <w:rsid w:val="7F9FB2A2"/>
    <w:rsid w:val="7FBC5565"/>
    <w:rsid w:val="7FBE1540"/>
    <w:rsid w:val="7FBE5DB2"/>
    <w:rsid w:val="7FCE569C"/>
    <w:rsid w:val="7FCF82DB"/>
    <w:rsid w:val="7FD31AD3"/>
    <w:rsid w:val="7FD5603E"/>
    <w:rsid w:val="7FD9CC76"/>
    <w:rsid w:val="7FDE5F48"/>
    <w:rsid w:val="7FDEBE64"/>
    <w:rsid w:val="7FDF1DC4"/>
    <w:rsid w:val="7FDF72A8"/>
    <w:rsid w:val="7FDFF4DC"/>
    <w:rsid w:val="7FE74740"/>
    <w:rsid w:val="7FE7712A"/>
    <w:rsid w:val="7FEE242F"/>
    <w:rsid w:val="7FF54B34"/>
    <w:rsid w:val="7FF728F8"/>
    <w:rsid w:val="7FFB19DB"/>
    <w:rsid w:val="7FFD258F"/>
    <w:rsid w:val="7FFD9A7A"/>
    <w:rsid w:val="7FFF27F3"/>
    <w:rsid w:val="7FFF56B7"/>
    <w:rsid w:val="7FFF7BC0"/>
    <w:rsid w:val="93FE1A4B"/>
    <w:rsid w:val="95AF1681"/>
    <w:rsid w:val="95DD2252"/>
    <w:rsid w:val="96BE732D"/>
    <w:rsid w:val="975E2904"/>
    <w:rsid w:val="979EE7B2"/>
    <w:rsid w:val="97EA597C"/>
    <w:rsid w:val="9BE4D28B"/>
    <w:rsid w:val="9C2BC698"/>
    <w:rsid w:val="9DDFB1A4"/>
    <w:rsid w:val="9DFF8225"/>
    <w:rsid w:val="9F5BCA96"/>
    <w:rsid w:val="9FBA9F23"/>
    <w:rsid w:val="9FDF6248"/>
    <w:rsid w:val="9FF31426"/>
    <w:rsid w:val="A5FDEF8C"/>
    <w:rsid w:val="A7792EAD"/>
    <w:rsid w:val="AAEDE3BF"/>
    <w:rsid w:val="AAFB29CD"/>
    <w:rsid w:val="ABFABA88"/>
    <w:rsid w:val="ADB347D7"/>
    <w:rsid w:val="ADEDC39D"/>
    <w:rsid w:val="AEFF1A18"/>
    <w:rsid w:val="AF0C3A22"/>
    <w:rsid w:val="AF89ADF0"/>
    <w:rsid w:val="AFCED7B6"/>
    <w:rsid w:val="AFE88D0D"/>
    <w:rsid w:val="AFFF8F38"/>
    <w:rsid w:val="B24D0876"/>
    <w:rsid w:val="B3FA8C69"/>
    <w:rsid w:val="B5679CAF"/>
    <w:rsid w:val="B5D50BBF"/>
    <w:rsid w:val="B5F74B42"/>
    <w:rsid w:val="B7AF46E5"/>
    <w:rsid w:val="B9FBA668"/>
    <w:rsid w:val="BA071A26"/>
    <w:rsid w:val="BA6D63F5"/>
    <w:rsid w:val="BAD2A3EE"/>
    <w:rsid w:val="BAED0AB8"/>
    <w:rsid w:val="BB5FA89E"/>
    <w:rsid w:val="BB7D9861"/>
    <w:rsid w:val="BBB788F4"/>
    <w:rsid w:val="BBF33757"/>
    <w:rsid w:val="BBF35B11"/>
    <w:rsid w:val="BBF782BB"/>
    <w:rsid w:val="BBFFEBB5"/>
    <w:rsid w:val="BDF31E5C"/>
    <w:rsid w:val="BDF3DE00"/>
    <w:rsid w:val="BDF3DF24"/>
    <w:rsid w:val="BE7E6B81"/>
    <w:rsid w:val="BEF6AB97"/>
    <w:rsid w:val="BEFFB8AA"/>
    <w:rsid w:val="BF72C118"/>
    <w:rsid w:val="BF7F3158"/>
    <w:rsid w:val="BFEF2164"/>
    <w:rsid w:val="BFF288A8"/>
    <w:rsid w:val="BFF7C46E"/>
    <w:rsid w:val="BFFF6C71"/>
    <w:rsid w:val="BFFFAA28"/>
    <w:rsid w:val="C7DC5E10"/>
    <w:rsid w:val="CCB21B5A"/>
    <w:rsid w:val="CD3770B2"/>
    <w:rsid w:val="CDA7B088"/>
    <w:rsid w:val="CDCD3BCF"/>
    <w:rsid w:val="CDF117F1"/>
    <w:rsid w:val="CE655A82"/>
    <w:rsid w:val="CEAFD439"/>
    <w:rsid w:val="CEF8EBD9"/>
    <w:rsid w:val="CFBA943A"/>
    <w:rsid w:val="CFD7E2DC"/>
    <w:rsid w:val="D13D20B0"/>
    <w:rsid w:val="D1FFEAD8"/>
    <w:rsid w:val="D3677C00"/>
    <w:rsid w:val="D376A282"/>
    <w:rsid w:val="D377B4A7"/>
    <w:rsid w:val="D3D66018"/>
    <w:rsid w:val="D5F77290"/>
    <w:rsid w:val="D5FD0C22"/>
    <w:rsid w:val="D7BE0006"/>
    <w:rsid w:val="D7D4404D"/>
    <w:rsid w:val="D7DF4418"/>
    <w:rsid w:val="D7EA9C3E"/>
    <w:rsid w:val="D8F772AE"/>
    <w:rsid w:val="D8FDAB38"/>
    <w:rsid w:val="D933F32B"/>
    <w:rsid w:val="D9FC90C0"/>
    <w:rsid w:val="DA7FAA28"/>
    <w:rsid w:val="DAFB8EC0"/>
    <w:rsid w:val="DB679C5A"/>
    <w:rsid w:val="DB933CD2"/>
    <w:rsid w:val="DBDB1E0D"/>
    <w:rsid w:val="DCBF239C"/>
    <w:rsid w:val="DD3F25A6"/>
    <w:rsid w:val="DDD9984B"/>
    <w:rsid w:val="DE9B6801"/>
    <w:rsid w:val="DEFB1B27"/>
    <w:rsid w:val="DF6AE06A"/>
    <w:rsid w:val="DF6FB9BA"/>
    <w:rsid w:val="DF8F5C30"/>
    <w:rsid w:val="DF907F6C"/>
    <w:rsid w:val="DF97F684"/>
    <w:rsid w:val="DF9F9AFB"/>
    <w:rsid w:val="DFB77B6E"/>
    <w:rsid w:val="DFBF3A4E"/>
    <w:rsid w:val="DFCD95A5"/>
    <w:rsid w:val="DFE0E6B5"/>
    <w:rsid w:val="DFFB15EC"/>
    <w:rsid w:val="DFFF1F74"/>
    <w:rsid w:val="E17156F6"/>
    <w:rsid w:val="E3A5FB50"/>
    <w:rsid w:val="E3C5D380"/>
    <w:rsid w:val="E4FE2284"/>
    <w:rsid w:val="E69F5BDC"/>
    <w:rsid w:val="E73F33A3"/>
    <w:rsid w:val="E79F119C"/>
    <w:rsid w:val="E7BD5FE6"/>
    <w:rsid w:val="E87B75EE"/>
    <w:rsid w:val="E8F3777D"/>
    <w:rsid w:val="E9BF10BB"/>
    <w:rsid w:val="EA2B58B4"/>
    <w:rsid w:val="EAE72E8B"/>
    <w:rsid w:val="EB60D1A4"/>
    <w:rsid w:val="EB7F224E"/>
    <w:rsid w:val="EBD2940A"/>
    <w:rsid w:val="EBDB9508"/>
    <w:rsid w:val="EBEAB85B"/>
    <w:rsid w:val="ED4EC16F"/>
    <w:rsid w:val="ED68BC9C"/>
    <w:rsid w:val="ED79B61E"/>
    <w:rsid w:val="EDD71F47"/>
    <w:rsid w:val="EDF41F45"/>
    <w:rsid w:val="EDFB8B46"/>
    <w:rsid w:val="EDFDCA62"/>
    <w:rsid w:val="EDFF1167"/>
    <w:rsid w:val="EE7FA117"/>
    <w:rsid w:val="EEDD0956"/>
    <w:rsid w:val="EEFF0B96"/>
    <w:rsid w:val="EEFF6976"/>
    <w:rsid w:val="EF5EEE1C"/>
    <w:rsid w:val="EF73E1FB"/>
    <w:rsid w:val="EF7B1E88"/>
    <w:rsid w:val="EF7DD3AB"/>
    <w:rsid w:val="EF7F163F"/>
    <w:rsid w:val="EF9D8535"/>
    <w:rsid w:val="EFAF60C2"/>
    <w:rsid w:val="EFAF86C6"/>
    <w:rsid w:val="EFB70F32"/>
    <w:rsid w:val="EFBF6948"/>
    <w:rsid w:val="EFF7CEA2"/>
    <w:rsid w:val="EFFF1BD1"/>
    <w:rsid w:val="F379E740"/>
    <w:rsid w:val="F3EE03B9"/>
    <w:rsid w:val="F3EFB106"/>
    <w:rsid w:val="F5B22B3A"/>
    <w:rsid w:val="F5C7C258"/>
    <w:rsid w:val="F5F764D8"/>
    <w:rsid w:val="F5FA01FF"/>
    <w:rsid w:val="F6BF324E"/>
    <w:rsid w:val="F6F23BA0"/>
    <w:rsid w:val="F6F3BF74"/>
    <w:rsid w:val="F6FF043B"/>
    <w:rsid w:val="F6FF8B67"/>
    <w:rsid w:val="F77BCE91"/>
    <w:rsid w:val="F79A9EAF"/>
    <w:rsid w:val="F7AB5F17"/>
    <w:rsid w:val="F7BE3E94"/>
    <w:rsid w:val="F7D2D8B3"/>
    <w:rsid w:val="F7D3089B"/>
    <w:rsid w:val="F7DF09E8"/>
    <w:rsid w:val="F7ED0380"/>
    <w:rsid w:val="F7EF394F"/>
    <w:rsid w:val="F7FB3090"/>
    <w:rsid w:val="F7FDD044"/>
    <w:rsid w:val="F7FE33CB"/>
    <w:rsid w:val="F7FE435C"/>
    <w:rsid w:val="F8CF5239"/>
    <w:rsid w:val="F8FEA01A"/>
    <w:rsid w:val="F9A51466"/>
    <w:rsid w:val="F9B695B9"/>
    <w:rsid w:val="F9BECB40"/>
    <w:rsid w:val="F9BFF6D6"/>
    <w:rsid w:val="F9F70E19"/>
    <w:rsid w:val="F9FDD688"/>
    <w:rsid w:val="F9FF379B"/>
    <w:rsid w:val="FADF3C1C"/>
    <w:rsid w:val="FAE9F9ED"/>
    <w:rsid w:val="FAEF143C"/>
    <w:rsid w:val="FAFADFAC"/>
    <w:rsid w:val="FB4C9EFA"/>
    <w:rsid w:val="FB671E21"/>
    <w:rsid w:val="FB6ADC66"/>
    <w:rsid w:val="FB7FA775"/>
    <w:rsid w:val="FB7FDC5A"/>
    <w:rsid w:val="FBB37767"/>
    <w:rsid w:val="FBB3F1AB"/>
    <w:rsid w:val="FBC7EB53"/>
    <w:rsid w:val="FBD92EAF"/>
    <w:rsid w:val="FBE74D77"/>
    <w:rsid w:val="FBEDBAD1"/>
    <w:rsid w:val="FBF7B93C"/>
    <w:rsid w:val="FBFBCF2D"/>
    <w:rsid w:val="FBFDB6C9"/>
    <w:rsid w:val="FBFDC151"/>
    <w:rsid w:val="FBFF3800"/>
    <w:rsid w:val="FC5F23E5"/>
    <w:rsid w:val="FCFE611F"/>
    <w:rsid w:val="FCFFA031"/>
    <w:rsid w:val="FCFFA634"/>
    <w:rsid w:val="FCFFD0E4"/>
    <w:rsid w:val="FD7101E0"/>
    <w:rsid w:val="FD7FBCC8"/>
    <w:rsid w:val="FD99F1C6"/>
    <w:rsid w:val="FD9BCE42"/>
    <w:rsid w:val="FDAF2FD5"/>
    <w:rsid w:val="FDCF090D"/>
    <w:rsid w:val="FDF30BD6"/>
    <w:rsid w:val="FDF599E1"/>
    <w:rsid w:val="FDF62E9D"/>
    <w:rsid w:val="FDFF51B5"/>
    <w:rsid w:val="FDFFD6F8"/>
    <w:rsid w:val="FDFFE6B7"/>
    <w:rsid w:val="FDFFEB6A"/>
    <w:rsid w:val="FE670573"/>
    <w:rsid w:val="FEAFCD09"/>
    <w:rsid w:val="FEB6B1BC"/>
    <w:rsid w:val="FEB79C92"/>
    <w:rsid w:val="FEC26B02"/>
    <w:rsid w:val="FEDB6BE5"/>
    <w:rsid w:val="FEDEB825"/>
    <w:rsid w:val="FEEB1939"/>
    <w:rsid w:val="FEF8B8B0"/>
    <w:rsid w:val="FEFB57D6"/>
    <w:rsid w:val="FEFBB701"/>
    <w:rsid w:val="FEFD3504"/>
    <w:rsid w:val="FEFDB485"/>
    <w:rsid w:val="FEFDD987"/>
    <w:rsid w:val="FF0D165A"/>
    <w:rsid w:val="FF1F60C4"/>
    <w:rsid w:val="FF3B4A61"/>
    <w:rsid w:val="FF3B6B63"/>
    <w:rsid w:val="FF5295CF"/>
    <w:rsid w:val="FF75A6F2"/>
    <w:rsid w:val="FF77ABDA"/>
    <w:rsid w:val="FF7AB4DE"/>
    <w:rsid w:val="FF7B5C99"/>
    <w:rsid w:val="FF7BFD9A"/>
    <w:rsid w:val="FF7EAF2A"/>
    <w:rsid w:val="FF7F92E7"/>
    <w:rsid w:val="FF8FC4FF"/>
    <w:rsid w:val="FF9DD091"/>
    <w:rsid w:val="FF9FEA4C"/>
    <w:rsid w:val="FFB5135D"/>
    <w:rsid w:val="FFBEC07C"/>
    <w:rsid w:val="FFBEDF66"/>
    <w:rsid w:val="FFBF4A2A"/>
    <w:rsid w:val="FFBF50F0"/>
    <w:rsid w:val="FFBFAEC3"/>
    <w:rsid w:val="FFCFA392"/>
    <w:rsid w:val="FFD51BEF"/>
    <w:rsid w:val="FFD5E541"/>
    <w:rsid w:val="FFDB32A0"/>
    <w:rsid w:val="FFDB34D5"/>
    <w:rsid w:val="FFDB693A"/>
    <w:rsid w:val="FFED2E59"/>
    <w:rsid w:val="FFED55C2"/>
    <w:rsid w:val="FFEEF1A5"/>
    <w:rsid w:val="FFEF7706"/>
    <w:rsid w:val="FFEFFAA4"/>
    <w:rsid w:val="FFF6B163"/>
    <w:rsid w:val="FFF72185"/>
    <w:rsid w:val="FFF7BA94"/>
    <w:rsid w:val="FFFA2AD2"/>
    <w:rsid w:val="FFFA7B47"/>
    <w:rsid w:val="FFFB31C2"/>
    <w:rsid w:val="FFFB3440"/>
    <w:rsid w:val="FFFBDD3D"/>
    <w:rsid w:val="FFFF5D95"/>
    <w:rsid w:val="FFFF8688"/>
    <w:rsid w:val="FFFFE8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Lines="0" w:beforeAutospacing="0" w:afterLines="0" w:afterAutospacing="0" w:line="576" w:lineRule="exact"/>
      <w:jc w:val="center"/>
      <w:outlineLvl w:val="0"/>
    </w:pPr>
    <w:rPr>
      <w:rFonts w:eastAsia="方正小标宋简体" w:asciiTheme="minorAscii" w:hAnsiTheme="minorAscii"/>
      <w:b/>
      <w:kern w:val="44"/>
      <w:sz w:val="4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widowControl/>
      <w:spacing w:after="0" w:line="540" w:lineRule="exact"/>
      <w:ind w:left="0" w:firstLine="200" w:firstLineChars="200"/>
      <w:jc w:val="both"/>
      <w:textAlignment w:val="baseline"/>
    </w:pPr>
    <w:rPr>
      <w:rFonts w:ascii="Calibri" w:hAnsi="Calibri" w:eastAsia="仿宋_GB2312" w:cs="Times New Roman"/>
      <w:color w:val="000000"/>
      <w:kern w:val="0"/>
      <w:sz w:val="32"/>
      <w:szCs w:val="20"/>
      <w:lang w:val="en-US" w:eastAsia="zh-CN" w:bidi="ar-SA"/>
    </w:rPr>
  </w:style>
  <w:style w:type="paragraph" w:styleId="3">
    <w:name w:val="Body Text Indent"/>
    <w:basedOn w:val="1"/>
    <w:next w:val="2"/>
    <w:qFormat/>
    <w:uiPriority w:val="0"/>
    <w:pPr>
      <w:ind w:firstLine="200" w:firstLineChars="200"/>
    </w:pPr>
    <w:rPr>
      <w:rFonts w:ascii="华文细黑" w:eastAsia="华文细黑"/>
      <w:b/>
      <w:sz w:val="32"/>
    </w:rPr>
  </w:style>
  <w:style w:type="paragraph" w:styleId="5">
    <w:name w:val="Body Text"/>
    <w:basedOn w:val="1"/>
    <w:next w:val="1"/>
    <w:qFormat/>
    <w:uiPriority w:val="99"/>
    <w:pPr>
      <w:spacing w:beforeLines="30"/>
    </w:pPr>
    <w:rPr>
      <w:rFonts w:ascii="仿宋_GB2312" w:eastAsia="仿宋_GB2312"/>
      <w:kern w:val="0"/>
      <w:sz w:val="24"/>
      <w:szCs w:val="20"/>
    </w:rPr>
  </w:style>
  <w:style w:type="paragraph" w:styleId="6">
    <w:name w:val="footer"/>
    <w:basedOn w:val="1"/>
    <w:qFormat/>
    <w:uiPriority w:val="0"/>
    <w:pPr>
      <w:widowControl w:val="0"/>
      <w:tabs>
        <w:tab w:val="center" w:pos="4153"/>
        <w:tab w:val="right" w:pos="8306"/>
      </w:tabs>
      <w:snapToGrid w:val="0"/>
      <w:spacing w:line="560" w:lineRule="exact"/>
      <w:ind w:firstLine="200" w:firstLineChars="200"/>
      <w:jc w:val="left"/>
    </w:pPr>
    <w:rPr>
      <w:rFonts w:ascii="Calibri" w:hAnsi="Calibri" w:eastAsia="仿宋_GB2312" w:cs="Times New Roman"/>
      <w:kern w:val="2"/>
      <w:sz w:val="18"/>
      <w:szCs w:val="24"/>
      <w:lang w:val="en-US" w:eastAsia="zh-CN" w:bidi="ar-SA"/>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able of figures"/>
    <w:basedOn w:val="1"/>
    <w:next w:val="1"/>
    <w:qFormat/>
    <w:uiPriority w:val="0"/>
    <w:pPr>
      <w:spacing w:before="100" w:beforeAutospacing="1" w:after="100" w:afterAutospacing="1"/>
      <w:ind w:left="400" w:leftChars="200" w:hanging="200" w:hangingChars="200"/>
    </w:pPr>
    <w:rPr>
      <w:kern w:val="0"/>
      <w:sz w:val="20"/>
      <w:szCs w:val="21"/>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2">
    <w:name w:val="Strong"/>
    <w:basedOn w:val="11"/>
    <w:qFormat/>
    <w:uiPriority w:val="0"/>
    <w:rPr>
      <w:b/>
    </w:rPr>
  </w:style>
  <w:style w:type="paragraph" w:customStyle="1" w:styleId="13">
    <w:name w:val="Body Text First Indent 21"/>
    <w:basedOn w:val="3"/>
    <w:next w:val="1"/>
    <w:qFormat/>
    <w:uiPriority w:val="0"/>
    <w:pPr>
      <w:ind w:firstLine="420"/>
    </w:pPr>
    <w:rPr>
      <w:rFonts w:eastAsia="宋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3487</Words>
  <Characters>3800</Characters>
  <Lines>0</Lines>
  <Paragraphs>0</Paragraphs>
  <TotalTime>181</TotalTime>
  <ScaleCrop>false</ScaleCrop>
  <LinksUpToDate>false</LinksUpToDate>
  <CharactersWithSpaces>3802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2021-06-03T10:11:00Z</dcterms:created>
  <dc:creator>大空翼</dc:creator>
  <cp:lastModifiedBy>艳妮儿</cp:lastModifiedBy>
  <cp:lastPrinted>2023-09-23T09:28:00Z</cp:lastPrinted>
  <dcterms:modified xsi:type="dcterms:W3CDTF">2026-01-22T06:49:38Z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C56BC16ED8BE48B7B6CB9566001E2354_13</vt:lpwstr>
  </property>
  <property fmtid="{D5CDD505-2E9C-101B-9397-08002B2CF9AE}" pid="4" name="KSOTemplateDocerSaveRecord">
    <vt:lpwstr>eyJoZGlkIjoiOTM0MmExNTBjODE3YzYwN2M5MTc4MGU5NzFiNjBiZDUiLCJ1c2VySWQiOiIzNjE0MDgzMTEifQ==</vt:lpwstr>
  </property>
</Properties>
</file>