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p>
    <w:p>
      <w:pPr>
        <w:pStyle w:val="2"/>
        <w:rPr>
          <w:rFonts w:hint="eastAsia" w:ascii="方正小标宋简体" w:hAnsi="方正小标宋简体" w:eastAsia="方正小标宋简体" w:cs="方正小标宋简体"/>
          <w:sz w:val="44"/>
          <w:szCs w:val="44"/>
        </w:rPr>
      </w:pPr>
    </w:p>
    <w:p>
      <w:pPr>
        <w:pStyle w:val="2"/>
        <w:rPr>
          <w:rFonts w:hint="eastAsia" w:ascii="方正小标宋简体" w:hAnsi="方正小标宋简体" w:eastAsia="方正小标宋简体" w:cs="方正小标宋简体"/>
          <w:sz w:val="44"/>
          <w:szCs w:val="44"/>
        </w:rPr>
      </w:pPr>
    </w:p>
    <w:p>
      <w:pPr>
        <w:pStyle w:val="2"/>
        <w:rPr>
          <w:rFonts w:hint="eastAsia" w:ascii="方正小标宋简体" w:hAnsi="方正小标宋简体" w:eastAsia="方正小标宋简体" w:cs="方正小标宋简体"/>
          <w:sz w:val="44"/>
          <w:szCs w:val="44"/>
        </w:rPr>
      </w:pPr>
    </w:p>
    <w:p>
      <w:pPr>
        <w:pStyle w:val="2"/>
        <w:rPr>
          <w:rFonts w:hint="eastAsia" w:ascii="方正小标宋简体" w:hAnsi="方正小标宋简体" w:eastAsia="方正小标宋简体" w:cs="方正小标宋简体"/>
          <w:sz w:val="44"/>
          <w:szCs w:val="44"/>
        </w:rPr>
      </w:pPr>
    </w:p>
    <w:p>
      <w:pPr>
        <w:pStyle w:val="2"/>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eastAsia="zh-CN"/>
        </w:rPr>
      </w:pPr>
    </w:p>
    <w:p>
      <w:pPr>
        <w:pStyle w:val="4"/>
        <w:keepNext w:val="0"/>
        <w:keepLines w:val="0"/>
        <w:pageBreakBefore w:val="0"/>
        <w:widowControl w:val="0"/>
        <w:kinsoku/>
        <w:wordWrap/>
        <w:overflowPunct/>
        <w:topLinePunct w:val="0"/>
        <w:autoSpaceDE/>
        <w:autoSpaceDN/>
        <w:bidi w:val="0"/>
        <w:adjustRightInd/>
        <w:snapToGrid/>
        <w:spacing w:beforeLines="-2147483648" w:after="0" w:afterLines="-2147483648" w:line="560" w:lineRule="exact"/>
        <w:ind w:firstLine="0" w:firstLineChars="0"/>
        <w:jc w:val="center"/>
        <w:textAlignment w:val="auto"/>
        <w:rPr>
          <w:rFonts w:hint="eastAsia" w:ascii="方正小标宋_GBK" w:hAnsi="方正小标宋_GBK" w:eastAsia="方正小标宋_GBK" w:cs="方正小标宋_GBK"/>
          <w:b w:val="0"/>
          <w:w w:val="88"/>
          <w:lang w:eastAsia="zh-CN"/>
        </w:rPr>
      </w:pPr>
      <w:r>
        <w:rPr>
          <w:rFonts w:hint="eastAsia" w:ascii="方正小标宋_GBK" w:hAnsi="方正小标宋_GBK" w:eastAsia="方正小标宋_GBK" w:cs="方正小标宋_GBK"/>
          <w:b w:val="0"/>
          <w:w w:val="88"/>
          <w:lang w:eastAsia="zh-CN"/>
        </w:rPr>
        <w:t>阿坝州公务服务中心</w:t>
      </w:r>
    </w:p>
    <w:p>
      <w:pPr>
        <w:pStyle w:val="4"/>
        <w:keepNext w:val="0"/>
        <w:keepLines w:val="0"/>
        <w:pageBreakBefore w:val="0"/>
        <w:widowControl w:val="0"/>
        <w:kinsoku/>
        <w:wordWrap/>
        <w:overflowPunct/>
        <w:topLinePunct w:val="0"/>
        <w:autoSpaceDE/>
        <w:autoSpaceDN/>
        <w:bidi w:val="0"/>
        <w:adjustRightInd/>
        <w:snapToGrid/>
        <w:spacing w:beforeLines="-2147483648" w:after="0" w:afterLines="-2147483648" w:line="560" w:lineRule="exact"/>
        <w:jc w:val="center"/>
        <w:textAlignment w:val="auto"/>
        <w:rPr>
          <w:rFonts w:hint="eastAsia" w:ascii="方正小标宋_GBK" w:hAnsi="方正小标宋_GBK" w:eastAsia="方正小标宋_GBK" w:cs="方正小标宋_GBK"/>
          <w:b w:val="0"/>
          <w:w w:val="88"/>
          <w:lang w:eastAsia="zh-CN"/>
        </w:rPr>
      </w:pPr>
      <w:r>
        <w:rPr>
          <w:rFonts w:hint="eastAsia" w:ascii="方正小标宋_GBK" w:hAnsi="方正小标宋_GBK" w:eastAsia="方正小标宋_GBK" w:cs="方正小标宋_GBK"/>
          <w:b w:val="0"/>
          <w:w w:val="88"/>
          <w:lang w:val="en-US" w:eastAsia="zh-CN"/>
        </w:rPr>
        <w:t>2025年部门预算公开</w:t>
      </w:r>
    </w:p>
    <w:p>
      <w:pPr>
        <w:pStyle w:val="4"/>
        <w:keepNext w:val="0"/>
        <w:keepLines w:val="0"/>
        <w:pageBreakBefore w:val="0"/>
        <w:widowControl w:val="0"/>
        <w:kinsoku/>
        <w:wordWrap/>
        <w:overflowPunct/>
        <w:topLinePunct w:val="0"/>
        <w:autoSpaceDE/>
        <w:autoSpaceDN/>
        <w:bidi w:val="0"/>
        <w:adjustRightInd/>
        <w:snapToGrid/>
        <w:spacing w:beforeLines="-2147483648" w:after="0" w:afterLines="-2147483648" w:line="560" w:lineRule="exact"/>
        <w:ind w:firstLine="0" w:firstLineChars="0"/>
        <w:textAlignment w:val="auto"/>
        <w:rPr>
          <w:rFonts w:hint="eastAsia" w:ascii="方正小标宋_GBK" w:hAnsi="方正小标宋_GBK" w:eastAsia="方正小标宋_GBK" w:cs="方正小标宋_GBK"/>
          <w:b w:val="0"/>
          <w:w w:val="88"/>
          <w:lang w:eastAsia="zh-CN"/>
        </w:rPr>
      </w:pPr>
    </w:p>
    <w:p>
      <w:pPr>
        <w:pStyle w:val="2"/>
        <w:rPr>
          <w:rFonts w:hint="eastAsia" w:ascii="方正小标宋简体" w:hAnsi="方正小标宋简体" w:eastAsia="方正小标宋简体" w:cs="方正小标宋简体"/>
          <w:sz w:val="44"/>
          <w:szCs w:val="44"/>
        </w:rPr>
      </w:pPr>
    </w:p>
    <w:p>
      <w:pPr>
        <w:pStyle w:val="2"/>
        <w:rPr>
          <w:rFonts w:hint="eastAsia" w:ascii="方正小标宋简体" w:hAnsi="方正小标宋简体" w:eastAsia="方正小标宋简体" w:cs="方正小标宋简体"/>
          <w:sz w:val="44"/>
          <w:szCs w:val="44"/>
        </w:rPr>
      </w:pPr>
    </w:p>
    <w:p>
      <w:pPr>
        <w:pStyle w:val="2"/>
        <w:rPr>
          <w:rFonts w:hint="eastAsia" w:ascii="方正小标宋简体" w:hAnsi="方正小标宋简体" w:eastAsia="方正小标宋简体" w:cs="方正小标宋简体"/>
          <w:sz w:val="44"/>
          <w:szCs w:val="44"/>
        </w:rPr>
      </w:pPr>
    </w:p>
    <w:p>
      <w:pPr>
        <w:pStyle w:val="2"/>
        <w:rPr>
          <w:rFonts w:hint="eastAsia" w:ascii="方正小标宋简体" w:hAnsi="方正小标宋简体" w:eastAsia="方正小标宋简体" w:cs="方正小标宋简体"/>
          <w:sz w:val="44"/>
          <w:szCs w:val="44"/>
        </w:rPr>
      </w:pPr>
    </w:p>
    <w:p>
      <w:pPr>
        <w:pStyle w:val="2"/>
        <w:rPr>
          <w:rFonts w:hint="eastAsia" w:ascii="方正小标宋简体" w:hAnsi="方正小标宋简体" w:eastAsia="方正小标宋简体" w:cs="方正小标宋简体"/>
          <w:sz w:val="44"/>
          <w:szCs w:val="44"/>
        </w:rPr>
      </w:pPr>
    </w:p>
    <w:p>
      <w:pPr>
        <w:pStyle w:val="2"/>
        <w:rPr>
          <w:rFonts w:hint="eastAsia" w:ascii="方正小标宋简体" w:hAnsi="方正小标宋简体" w:eastAsia="方正小标宋简体" w:cs="方正小标宋简体"/>
          <w:sz w:val="44"/>
          <w:szCs w:val="44"/>
        </w:rPr>
      </w:pPr>
    </w:p>
    <w:p>
      <w:pPr>
        <w:pStyle w:val="2"/>
        <w:rPr>
          <w:rFonts w:hint="eastAsia" w:ascii="方正小标宋简体" w:hAnsi="方正小标宋简体" w:eastAsia="方正小标宋简体" w:cs="方正小标宋简体"/>
          <w:sz w:val="44"/>
          <w:szCs w:val="44"/>
        </w:rPr>
      </w:pPr>
    </w:p>
    <w:p>
      <w:pPr>
        <w:pStyle w:val="2"/>
        <w:rPr>
          <w:rFonts w:hint="eastAsia" w:ascii="方正小标宋简体" w:hAnsi="方正小标宋简体" w:eastAsia="方正小标宋简体" w:cs="方正小标宋简体"/>
          <w:sz w:val="44"/>
          <w:szCs w:val="44"/>
        </w:rPr>
      </w:pPr>
    </w:p>
    <w:p>
      <w:pPr>
        <w:pStyle w:val="2"/>
        <w:rPr>
          <w:rFonts w:hint="eastAsia" w:ascii="方正小标宋简体" w:hAnsi="方正小标宋简体" w:eastAsia="方正小标宋简体" w:cs="方正小标宋简体"/>
          <w:sz w:val="44"/>
          <w:szCs w:val="44"/>
        </w:rPr>
      </w:pPr>
    </w:p>
    <w:p>
      <w:pPr>
        <w:pStyle w:val="2"/>
        <w:rPr>
          <w:rFonts w:hint="eastAsia" w:ascii="方正小标宋简体" w:hAnsi="方正小标宋简体" w:eastAsia="方正小标宋简体" w:cs="方正小标宋简体"/>
          <w:sz w:val="44"/>
          <w:szCs w:val="44"/>
        </w:rPr>
      </w:pPr>
    </w:p>
    <w:p>
      <w:pPr>
        <w:pStyle w:val="2"/>
        <w:rPr>
          <w:rFonts w:hint="eastAsia" w:ascii="方正小标宋简体" w:hAnsi="方正小标宋简体" w:eastAsia="方正小标宋简体" w:cs="方正小标宋简体"/>
          <w:sz w:val="44"/>
          <w:szCs w:val="44"/>
        </w:rPr>
      </w:pPr>
    </w:p>
    <w:p>
      <w:pPr>
        <w:pStyle w:val="2"/>
        <w:rPr>
          <w:rFonts w:hint="eastAsia" w:ascii="方正小标宋简体" w:hAnsi="方正小标宋简体" w:eastAsia="方正小标宋简体" w:cs="方正小标宋简体"/>
          <w:sz w:val="44"/>
          <w:szCs w:val="44"/>
        </w:rPr>
      </w:pPr>
    </w:p>
    <w:p>
      <w:pPr>
        <w:pStyle w:val="2"/>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sectPr>
          <w:headerReference r:id="rId3" w:type="default"/>
          <w:footerReference r:id="rId4" w:type="default"/>
          <w:pgSz w:w="11906" w:h="16838"/>
          <w:pgMar w:top="1440" w:right="1800" w:bottom="1440" w:left="1800" w:header="851" w:footer="992" w:gutter="0"/>
          <w:pgNumType w:fmt="numberInDash"/>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 xml:space="preserve">目 </w:t>
      </w:r>
      <w:r>
        <w:rPr>
          <w:rFonts w:hint="eastAsia" w:ascii="方正小标宋简体" w:hAnsi="方正小标宋简体" w:eastAsia="方正小标宋简体" w:cs="方正小标宋简体"/>
          <w:sz w:val="44"/>
          <w:szCs w:val="44"/>
          <w:lang w:val="en-US" w:eastAsia="zh-CN"/>
        </w:rPr>
        <w:t xml:space="preserve"> </w:t>
      </w:r>
      <w:r>
        <w:rPr>
          <w:rFonts w:hint="eastAsia" w:ascii="方正小标宋简体" w:hAnsi="方正小标宋简体" w:eastAsia="方正小标宋简体" w:cs="方正小标宋简体"/>
          <w:sz w:val="44"/>
          <w:szCs w:val="44"/>
        </w:rPr>
        <w:t>录</w:t>
      </w:r>
    </w:p>
    <w:p>
      <w:pPr>
        <w:pStyle w:val="8"/>
        <w:rPr>
          <w:rFonts w:hint="eastAsia"/>
        </w:rPr>
      </w:pPr>
    </w:p>
    <w:p>
      <w:pPr>
        <w:keepNext w:val="0"/>
        <w:keepLines w:val="0"/>
        <w:pageBreakBefore w:val="0"/>
        <w:widowControl w:val="0"/>
        <w:kinsoku/>
        <w:wordWrap/>
        <w:overflowPunct w:val="0"/>
        <w:topLinePunct w:val="0"/>
        <w:autoSpaceDE/>
        <w:autoSpaceDN/>
        <w:bidi w:val="0"/>
        <w:adjustRightInd/>
        <w:snapToGrid/>
        <w:spacing w:line="576" w:lineRule="exact"/>
        <w:jc w:val="left"/>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一、基本职能及主要工作</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（一）部门职能简介</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w:t>
      </w: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年</w:t>
      </w:r>
      <w:r>
        <w:rPr>
          <w:rFonts w:hint="eastAsia" w:ascii="仿宋_GB2312" w:hAnsi="仿宋_GB2312" w:eastAsia="仿宋_GB2312" w:cs="仿宋_GB2312"/>
          <w:sz w:val="32"/>
          <w:szCs w:val="32"/>
        </w:rPr>
        <w:t>重点工作</w:t>
      </w:r>
    </w:p>
    <w:p>
      <w:pPr>
        <w:keepNext w:val="0"/>
        <w:keepLines w:val="0"/>
        <w:pageBreakBefore w:val="0"/>
        <w:widowControl w:val="0"/>
        <w:kinsoku/>
        <w:wordWrap/>
        <w:overflowPunct w:val="0"/>
        <w:topLinePunct w:val="0"/>
        <w:autoSpaceDE/>
        <w:autoSpaceDN/>
        <w:bidi w:val="0"/>
        <w:adjustRightInd/>
        <w:snapToGrid/>
        <w:spacing w:line="576" w:lineRule="exact"/>
        <w:jc w:val="left"/>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二、部门预算单位构成</w:t>
      </w:r>
    </w:p>
    <w:p>
      <w:pPr>
        <w:keepNext w:val="0"/>
        <w:keepLines w:val="0"/>
        <w:pageBreakBefore w:val="0"/>
        <w:widowControl w:val="0"/>
        <w:kinsoku/>
        <w:wordWrap/>
        <w:overflowPunct w:val="0"/>
        <w:topLinePunct w:val="0"/>
        <w:autoSpaceDE/>
        <w:autoSpaceDN/>
        <w:bidi w:val="0"/>
        <w:adjustRightInd/>
        <w:snapToGrid/>
        <w:spacing w:line="576" w:lineRule="exact"/>
        <w:jc w:val="left"/>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三、收支预算情况说明</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（一）收入预算情况</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（二）支出预算情况</w:t>
      </w:r>
    </w:p>
    <w:p>
      <w:pPr>
        <w:keepNext w:val="0"/>
        <w:keepLines w:val="0"/>
        <w:pageBreakBefore w:val="0"/>
        <w:widowControl w:val="0"/>
        <w:kinsoku/>
        <w:wordWrap/>
        <w:overflowPunct w:val="0"/>
        <w:topLinePunct w:val="0"/>
        <w:autoSpaceDE/>
        <w:autoSpaceDN/>
        <w:bidi w:val="0"/>
        <w:adjustRightInd/>
        <w:snapToGrid/>
        <w:spacing w:line="576" w:lineRule="exact"/>
        <w:jc w:val="left"/>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四、财政拨款收支预算情况说明</w:t>
      </w:r>
    </w:p>
    <w:p>
      <w:pPr>
        <w:keepNext w:val="0"/>
        <w:keepLines w:val="0"/>
        <w:pageBreakBefore w:val="0"/>
        <w:widowControl w:val="0"/>
        <w:kinsoku/>
        <w:wordWrap/>
        <w:overflowPunct w:val="0"/>
        <w:topLinePunct w:val="0"/>
        <w:autoSpaceDE/>
        <w:autoSpaceDN/>
        <w:bidi w:val="0"/>
        <w:adjustRightInd/>
        <w:snapToGrid/>
        <w:spacing w:line="576" w:lineRule="exact"/>
        <w:jc w:val="left"/>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五、一般公共预算当年拨款情况说明</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（一）一般公共预算当年拨款规模变化情况</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（二）一般公共预算当年拨款结构情况</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（三）一般公共预算当年拨款具体使用情</w:t>
      </w:r>
    </w:p>
    <w:p>
      <w:pPr>
        <w:keepNext w:val="0"/>
        <w:keepLines w:val="0"/>
        <w:pageBreakBefore w:val="0"/>
        <w:widowControl w:val="0"/>
        <w:kinsoku/>
        <w:wordWrap/>
        <w:overflowPunct w:val="0"/>
        <w:topLinePunct w:val="0"/>
        <w:autoSpaceDE/>
        <w:autoSpaceDN/>
        <w:bidi w:val="0"/>
        <w:adjustRightInd/>
        <w:snapToGrid/>
        <w:spacing w:line="576" w:lineRule="exact"/>
        <w:jc w:val="left"/>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六、一般公共预算基本支出情况说明</w:t>
      </w:r>
    </w:p>
    <w:p>
      <w:pPr>
        <w:keepNext w:val="0"/>
        <w:keepLines w:val="0"/>
        <w:pageBreakBefore w:val="0"/>
        <w:widowControl w:val="0"/>
        <w:kinsoku/>
        <w:wordWrap/>
        <w:overflowPunct w:val="0"/>
        <w:topLinePunct w:val="0"/>
        <w:autoSpaceDE/>
        <w:autoSpaceDN/>
        <w:bidi w:val="0"/>
        <w:adjustRightInd/>
        <w:snapToGrid/>
        <w:spacing w:line="576" w:lineRule="exact"/>
        <w:jc w:val="left"/>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七、“三公”经费财政拨款预算安排情况说明</w:t>
      </w:r>
    </w:p>
    <w:p>
      <w:pPr>
        <w:keepNext w:val="0"/>
        <w:keepLines w:val="0"/>
        <w:pageBreakBefore w:val="0"/>
        <w:widowControl w:val="0"/>
        <w:kinsoku/>
        <w:wordWrap/>
        <w:overflowPunct w:val="0"/>
        <w:topLinePunct w:val="0"/>
        <w:autoSpaceDE/>
        <w:autoSpaceDN/>
        <w:bidi w:val="0"/>
        <w:adjustRightInd/>
        <w:snapToGrid/>
        <w:spacing w:line="576" w:lineRule="exact"/>
        <w:jc w:val="left"/>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八、政府性基金预算支出情况说明</w:t>
      </w:r>
    </w:p>
    <w:p>
      <w:pPr>
        <w:keepNext w:val="0"/>
        <w:keepLines w:val="0"/>
        <w:pageBreakBefore w:val="0"/>
        <w:widowControl w:val="0"/>
        <w:kinsoku/>
        <w:wordWrap/>
        <w:overflowPunct w:val="0"/>
        <w:topLinePunct w:val="0"/>
        <w:autoSpaceDE/>
        <w:autoSpaceDN/>
        <w:bidi w:val="0"/>
        <w:adjustRightInd/>
        <w:snapToGrid/>
        <w:spacing w:line="576" w:lineRule="exact"/>
        <w:jc w:val="left"/>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九、其他重要事项的情况说明</w:t>
      </w:r>
    </w:p>
    <w:p>
      <w:pPr>
        <w:keepNext w:val="0"/>
        <w:keepLines w:val="0"/>
        <w:pageBreakBefore w:val="0"/>
        <w:widowControl w:val="0"/>
        <w:kinsoku/>
        <w:wordWrap/>
        <w:overflowPunct w:val="0"/>
        <w:topLinePunct w:val="0"/>
        <w:autoSpaceDE/>
        <w:autoSpaceDN/>
        <w:bidi w:val="0"/>
        <w:adjustRightInd/>
        <w:snapToGrid/>
        <w:spacing w:line="576" w:lineRule="exact"/>
        <w:jc w:val="left"/>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十、名称解释</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left"/>
        <w:textAlignment w:val="auto"/>
        <w:rPr>
          <w:rFonts w:hint="eastAsia" w:ascii="Times New Roman" w:hAnsi="Times New Roman" w:eastAsia="方正黑体_GBK" w:cs="Times New Roman"/>
          <w:color w:val="auto"/>
          <w:sz w:val="32"/>
          <w:szCs w:val="32"/>
          <w:lang w:val="en-US" w:eastAsia="zh-CN"/>
        </w:rPr>
      </w:pPr>
      <w:r>
        <w:rPr>
          <w:rFonts w:hint="eastAsia" w:ascii="Times New Roman" w:hAnsi="Times New Roman" w:eastAsia="方正黑体_GBK" w:cs="Times New Roman"/>
          <w:color w:val="auto"/>
          <w:sz w:val="32"/>
          <w:szCs w:val="32"/>
          <w:lang w:val="en-US" w:eastAsia="zh-CN"/>
        </w:rPr>
        <w:t>一、基本职能及主要工作</w:t>
      </w:r>
    </w:p>
    <w:p>
      <w:pPr>
        <w:keepNext w:val="0"/>
        <w:keepLines w:val="0"/>
        <w:pageBreakBefore w:val="0"/>
        <w:widowControl w:val="0"/>
        <w:kinsoku/>
        <w:wordWrap/>
        <w:overflowPunct w:val="0"/>
        <w:topLinePunct w:val="0"/>
        <w:autoSpaceDE/>
        <w:autoSpaceDN/>
        <w:bidi w:val="0"/>
        <w:adjustRightInd/>
        <w:snapToGrid/>
        <w:spacing w:line="576" w:lineRule="exact"/>
        <w:ind w:firstLine="642" w:firstLineChars="200"/>
        <w:jc w:val="both"/>
        <w:textAlignment w:val="auto"/>
        <w:rPr>
          <w:rFonts w:hint="eastAsia" w:ascii="Times New Roman" w:hAnsi="Times New Roman" w:eastAsia="方正楷体_GBK" w:cs="Times New Roman"/>
          <w:b/>
          <w:bCs/>
          <w:color w:val="auto"/>
          <w:sz w:val="32"/>
          <w:szCs w:val="32"/>
          <w:lang w:val="en-US" w:eastAsia="zh-CN"/>
        </w:rPr>
      </w:pPr>
      <w:r>
        <w:rPr>
          <w:rFonts w:hint="eastAsia" w:ascii="Times New Roman" w:hAnsi="Times New Roman" w:eastAsia="方正楷体_GBK" w:cs="Times New Roman"/>
          <w:b/>
          <w:bCs/>
          <w:color w:val="auto"/>
          <w:sz w:val="32"/>
          <w:szCs w:val="32"/>
          <w:lang w:val="en-US" w:eastAsia="zh-CN"/>
        </w:rPr>
        <w:t>（一）阿坝州公务服务中心简介</w:t>
      </w: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both"/>
        <w:textAlignment w:val="auto"/>
        <w:rPr>
          <w:rFonts w:hint="default" w:ascii="Times New Roman" w:hAnsi="Times New Roman" w:eastAsia="方正仿宋_GBK" w:cs="Times New Roman"/>
          <w:color w:val="auto"/>
          <w:sz w:val="32"/>
          <w:szCs w:val="32"/>
          <w:lang w:eastAsia="zh-CN"/>
        </w:rPr>
      </w:pPr>
      <w:r>
        <w:rPr>
          <w:rFonts w:hint="eastAsia" w:ascii="Times New Roman" w:hAnsi="Times New Roman" w:eastAsia="方正仿宋_GBK" w:cs="Times New Roman"/>
          <w:color w:val="auto"/>
          <w:sz w:val="32"/>
          <w:szCs w:val="32"/>
          <w:lang w:val="en-US" w:eastAsia="zh-CN"/>
        </w:rPr>
        <w:t>我中心主要职能为贯彻落实党中央关于公务服务工作的方针政策和省委、州委的决策部署，在履行职责过程中坚持和加强党对公务服务工作的集中统一领导。负责重大公务活动的服务保障工作，承担州委、州政府交办的外事接待、招商引资、大型会议、活动的服务保障工作和州委、州政府交办的其他任务</w:t>
      </w:r>
      <w:r>
        <w:rPr>
          <w:rFonts w:hint="default" w:ascii="Times New Roman" w:hAnsi="Times New Roman" w:eastAsia="方正仿宋_GBK" w:cs="Times New Roman"/>
          <w:color w:val="auto"/>
          <w:sz w:val="32"/>
          <w:szCs w:val="32"/>
          <w:lang w:eastAsia="zh-CN"/>
        </w:rPr>
        <w:t>。</w:t>
      </w:r>
    </w:p>
    <w:p>
      <w:pPr>
        <w:keepNext w:val="0"/>
        <w:keepLines w:val="0"/>
        <w:pageBreakBefore w:val="0"/>
        <w:widowControl w:val="0"/>
        <w:kinsoku/>
        <w:wordWrap/>
        <w:overflowPunct w:val="0"/>
        <w:topLinePunct w:val="0"/>
        <w:autoSpaceDE/>
        <w:autoSpaceDN/>
        <w:bidi w:val="0"/>
        <w:adjustRightInd/>
        <w:snapToGrid/>
        <w:spacing w:line="576" w:lineRule="exact"/>
        <w:ind w:firstLine="642" w:firstLineChars="200"/>
        <w:jc w:val="both"/>
        <w:textAlignment w:val="auto"/>
        <w:rPr>
          <w:rFonts w:hint="eastAsia" w:ascii="Times New Roman" w:hAnsi="Times New Roman" w:eastAsia="方正楷体_GBK" w:cs="Times New Roman"/>
          <w:b/>
          <w:bCs/>
          <w:color w:val="auto"/>
          <w:sz w:val="32"/>
          <w:szCs w:val="32"/>
          <w:lang w:val="en-US" w:eastAsia="zh-CN"/>
        </w:rPr>
      </w:pPr>
      <w:r>
        <w:rPr>
          <w:rFonts w:hint="default" w:ascii="Times New Roman" w:hAnsi="Times New Roman" w:eastAsia="方正楷体_GBK" w:cs="Times New Roman"/>
          <w:b/>
          <w:bCs/>
          <w:color w:val="auto"/>
          <w:sz w:val="32"/>
          <w:szCs w:val="32"/>
          <w:lang w:eastAsia="zh-CN"/>
        </w:rPr>
        <w:t>（二）</w:t>
      </w:r>
      <w:r>
        <w:rPr>
          <w:rFonts w:hint="eastAsia" w:ascii="Times New Roman" w:hAnsi="Times New Roman" w:eastAsia="方正楷体_GBK" w:cs="Times New Roman"/>
          <w:b/>
          <w:bCs/>
          <w:color w:val="auto"/>
          <w:sz w:val="32"/>
          <w:szCs w:val="32"/>
          <w:lang w:val="en-US" w:eastAsia="zh-CN"/>
        </w:rPr>
        <w:t>阿坝州公务服务中心2025年重点工作。</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76" w:lineRule="exact"/>
        <w:ind w:firstLine="642" w:firstLineChars="200"/>
        <w:jc w:val="both"/>
        <w:textAlignment w:val="auto"/>
        <w:rPr>
          <w:rFonts w:hint="eastAsia" w:ascii="Times New Roman" w:hAnsi="Times New Roman" w:eastAsia="方正仿宋_GBK" w:cs="Times New Roman"/>
          <w:color w:val="auto"/>
          <w:kern w:val="2"/>
          <w:sz w:val="32"/>
          <w:szCs w:val="20"/>
          <w:lang w:val="en-US" w:eastAsia="zh-CN" w:bidi="ar-SA"/>
        </w:rPr>
      </w:pPr>
      <w:r>
        <w:rPr>
          <w:rFonts w:hint="default" w:ascii="方正楷体_GBK" w:hAnsi="方正楷体_GBK" w:eastAsia="方正楷体_GBK" w:cs="方正楷体_GBK"/>
          <w:b/>
          <w:bCs/>
          <w:color w:val="auto"/>
          <w:kern w:val="2"/>
          <w:sz w:val="32"/>
          <w:szCs w:val="32"/>
          <w:lang w:eastAsia="zh-CN" w:bidi="ar-SA"/>
        </w:rPr>
        <w:t>1.</w:t>
      </w:r>
      <w:r>
        <w:rPr>
          <w:rFonts w:hint="eastAsia" w:ascii="方正楷体_GBK" w:hAnsi="方正楷体_GBK" w:eastAsia="方正楷体_GBK" w:cs="方正楷体_GBK"/>
          <w:b/>
          <w:bCs/>
          <w:color w:val="auto"/>
          <w:kern w:val="2"/>
          <w:sz w:val="32"/>
          <w:szCs w:val="32"/>
          <w:lang w:val="en-US" w:eastAsia="zh-CN" w:bidi="ar-SA"/>
        </w:rPr>
        <w:t>提高站位讲政治</w:t>
      </w:r>
      <w:r>
        <w:rPr>
          <w:rFonts w:hint="eastAsia" w:ascii="Times New Roman" w:hAnsi="Times New Roman" w:eastAsia="方正仿宋_GBK" w:cs="Times New Roman"/>
          <w:color w:val="auto"/>
          <w:kern w:val="2"/>
          <w:sz w:val="32"/>
          <w:szCs w:val="20"/>
          <w:lang w:val="en-US" w:eastAsia="zh-CN" w:bidi="ar-SA"/>
        </w:rPr>
        <w:t>。坚持把学思践悟新思想贯穿公务服务工作始终，坚持读原著、学原文、悟原理，学思践悟，知行合一，持之以恒补精神之“钙”，在深化、内化、转化上下功夫。持续提高政治站位，深刻领悟“两个确立”的决定性意义，不断增强“四个意识”、坚定“四个自信”、做到“两个维护”。</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76" w:lineRule="exact"/>
        <w:ind w:firstLine="642" w:firstLineChars="200"/>
        <w:jc w:val="both"/>
        <w:textAlignment w:val="auto"/>
        <w:rPr>
          <w:rFonts w:hint="eastAsia" w:ascii="Times New Roman" w:hAnsi="Times New Roman" w:eastAsia="方正仿宋_GBK" w:cs="Times New Roman"/>
          <w:color w:val="auto"/>
          <w:kern w:val="2"/>
          <w:sz w:val="32"/>
          <w:szCs w:val="20"/>
          <w:lang w:val="en-US" w:eastAsia="zh-CN" w:bidi="ar-SA"/>
        </w:rPr>
      </w:pPr>
      <w:r>
        <w:rPr>
          <w:rFonts w:hint="default" w:ascii="方正楷体_GBK" w:hAnsi="方正楷体_GBK" w:eastAsia="方正楷体_GBK" w:cs="方正楷体_GBK"/>
          <w:b/>
          <w:bCs/>
          <w:color w:val="auto"/>
          <w:kern w:val="2"/>
          <w:sz w:val="32"/>
          <w:szCs w:val="32"/>
          <w:lang w:eastAsia="zh-CN" w:bidi="ar-SA"/>
        </w:rPr>
        <w:t>2.</w:t>
      </w:r>
      <w:r>
        <w:rPr>
          <w:rFonts w:hint="eastAsia" w:ascii="方正楷体_GBK" w:hAnsi="方正楷体_GBK" w:eastAsia="方正楷体_GBK" w:cs="方正楷体_GBK"/>
          <w:b/>
          <w:bCs/>
          <w:color w:val="auto"/>
          <w:kern w:val="2"/>
          <w:sz w:val="32"/>
          <w:szCs w:val="32"/>
          <w:lang w:val="en-US" w:eastAsia="zh-CN" w:bidi="ar-SA"/>
        </w:rPr>
        <w:t>推陈出新促转型</w:t>
      </w:r>
      <w:r>
        <w:rPr>
          <w:rFonts w:hint="eastAsia" w:ascii="Times New Roman" w:hAnsi="Times New Roman" w:eastAsia="方正仿宋_GBK" w:cs="Times New Roman"/>
          <w:color w:val="auto"/>
          <w:kern w:val="2"/>
          <w:sz w:val="32"/>
          <w:szCs w:val="20"/>
          <w:lang w:val="en-US" w:eastAsia="zh-CN" w:bidi="ar-SA"/>
        </w:rPr>
        <w:t>。结合新修订的《党政机关国内公务接待管理规定》《关于进一步明确全省公务活动用餐（车）费用“扫码支付”专项工作有关要求的通知》，围绕州委“1610”战略部署，工作思路再厘清，工作目标再明确，工作职责再细化，务实工作举措，优化工作流程，稳中求进，先立后破，破立并举，抓好贯彻落实，稳步推进公务服务工作转型升级。</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76" w:lineRule="exact"/>
        <w:ind w:firstLine="642" w:firstLineChars="200"/>
        <w:jc w:val="both"/>
        <w:textAlignment w:val="auto"/>
        <w:rPr>
          <w:rFonts w:hint="eastAsia" w:ascii="Times New Roman" w:hAnsi="Times New Roman" w:eastAsia="方正仿宋_GBK" w:cs="Times New Roman"/>
          <w:color w:val="auto"/>
          <w:kern w:val="2"/>
          <w:sz w:val="32"/>
          <w:szCs w:val="20"/>
          <w:lang w:val="en-US" w:eastAsia="zh-CN" w:bidi="ar-SA"/>
        </w:rPr>
      </w:pPr>
      <w:r>
        <w:rPr>
          <w:rFonts w:hint="default" w:ascii="方正楷体_GBK" w:hAnsi="方正楷体_GBK" w:eastAsia="方正楷体_GBK" w:cs="方正楷体_GBK"/>
          <w:b/>
          <w:bCs/>
          <w:color w:val="auto"/>
          <w:kern w:val="2"/>
          <w:sz w:val="32"/>
          <w:szCs w:val="32"/>
          <w:lang w:eastAsia="zh-CN" w:bidi="ar-SA"/>
        </w:rPr>
        <w:t>3.</w:t>
      </w:r>
      <w:r>
        <w:rPr>
          <w:rFonts w:hint="eastAsia" w:ascii="方正楷体_GBK" w:hAnsi="方正楷体_GBK" w:eastAsia="方正楷体_GBK" w:cs="方正楷体_GBK"/>
          <w:b/>
          <w:bCs/>
          <w:color w:val="auto"/>
          <w:kern w:val="2"/>
          <w:sz w:val="32"/>
          <w:szCs w:val="32"/>
          <w:lang w:val="en-US" w:eastAsia="zh-CN" w:bidi="ar-SA"/>
        </w:rPr>
        <w:t>牢守底线严标准。</w:t>
      </w:r>
      <w:r>
        <w:rPr>
          <w:rFonts w:hint="eastAsia" w:ascii="Times New Roman" w:hAnsi="Times New Roman" w:eastAsia="方正仿宋_GBK" w:cs="Times New Roman"/>
          <w:color w:val="auto"/>
          <w:kern w:val="2"/>
          <w:sz w:val="32"/>
          <w:szCs w:val="20"/>
          <w:lang w:val="en-US" w:eastAsia="zh-CN" w:bidi="ar-SA"/>
        </w:rPr>
        <w:t>秉持“符合规定的公务接待才是最好的公务接待”理念，严格按照中央八项规定等精神，深入落实整治形式主义为基层减负工作要求，在线路点位、陪同范围等方面提合理化建议，发挥好参谋辅政和建言献策作用。持续配合州机关事务管理局、州纪委监委、州发改委、州财政局、州审计局等部门修订《阿坝州党政机关国内公务接待管理办法》及实施细则，进一步推进公务接待更加规范高效。</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76" w:lineRule="exact"/>
        <w:ind w:firstLine="642" w:firstLineChars="200"/>
        <w:jc w:val="both"/>
        <w:textAlignment w:val="auto"/>
        <w:rPr>
          <w:rFonts w:hint="eastAsia" w:ascii="Times New Roman" w:hAnsi="Times New Roman" w:eastAsia="方正仿宋_GBK" w:cs="Times New Roman"/>
          <w:color w:val="auto"/>
          <w:kern w:val="2"/>
          <w:sz w:val="32"/>
          <w:szCs w:val="20"/>
          <w:lang w:val="en-US" w:eastAsia="zh-CN" w:bidi="ar-SA"/>
        </w:rPr>
      </w:pPr>
      <w:r>
        <w:rPr>
          <w:rFonts w:hint="default" w:ascii="方正楷体_GBK" w:hAnsi="方正楷体_GBK" w:eastAsia="方正楷体_GBK" w:cs="方正楷体_GBK"/>
          <w:b/>
          <w:bCs/>
          <w:color w:val="auto"/>
          <w:kern w:val="2"/>
          <w:sz w:val="32"/>
          <w:szCs w:val="32"/>
          <w:lang w:eastAsia="zh-CN" w:bidi="ar-SA"/>
        </w:rPr>
        <w:t>4.</w:t>
      </w:r>
      <w:r>
        <w:rPr>
          <w:rFonts w:hint="eastAsia" w:ascii="方正楷体_GBK" w:hAnsi="方正楷体_GBK" w:eastAsia="方正楷体_GBK" w:cs="方正楷体_GBK"/>
          <w:b/>
          <w:bCs/>
          <w:color w:val="auto"/>
          <w:kern w:val="2"/>
          <w:sz w:val="32"/>
          <w:szCs w:val="32"/>
          <w:lang w:val="en-US" w:eastAsia="zh-CN" w:bidi="ar-SA"/>
        </w:rPr>
        <w:t>驰而不息强作风。</w:t>
      </w:r>
      <w:r>
        <w:rPr>
          <w:rFonts w:hint="eastAsia" w:ascii="Times New Roman" w:hAnsi="Times New Roman" w:eastAsia="方正仿宋_GBK" w:cs="Times New Roman"/>
          <w:color w:val="auto"/>
          <w:kern w:val="2"/>
          <w:sz w:val="32"/>
          <w:szCs w:val="20"/>
          <w:lang w:val="en-US" w:eastAsia="zh-CN" w:bidi="ar-SA"/>
        </w:rPr>
        <w:t>巩固升华党纪学习教育成果，结合“三会一课”“主题党日”等活动，依托“两例会一讲堂”，拓宽学纪渠道，扩大学法范围，常态化开展党纪学习，通报典型案例，坚持以案为鉴，在干部职工中营造警钟长鸣的氛围，着力锤炼党员干部对党忠诚、担当尽责、一心为民、勤学善做、真抓实干、清正廉洁的过硬作风。</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76" w:lineRule="exact"/>
        <w:ind w:firstLine="642" w:firstLineChars="200"/>
        <w:jc w:val="both"/>
        <w:textAlignment w:val="auto"/>
        <w:rPr>
          <w:rFonts w:hint="eastAsia" w:ascii="Times New Roman" w:hAnsi="Times New Roman" w:eastAsia="方正仿宋_GBK" w:cs="Times New Roman"/>
          <w:color w:val="auto"/>
          <w:kern w:val="2"/>
          <w:sz w:val="32"/>
          <w:szCs w:val="20"/>
          <w:lang w:val="en-US" w:eastAsia="zh-CN" w:bidi="ar-SA"/>
        </w:rPr>
      </w:pPr>
      <w:r>
        <w:rPr>
          <w:rFonts w:hint="default" w:ascii="方正楷体_GBK" w:hAnsi="方正楷体_GBK" w:eastAsia="方正楷体_GBK" w:cs="方正楷体_GBK"/>
          <w:b/>
          <w:bCs/>
          <w:color w:val="auto"/>
          <w:kern w:val="2"/>
          <w:sz w:val="32"/>
          <w:szCs w:val="32"/>
          <w:lang w:eastAsia="zh-CN" w:bidi="ar-SA"/>
        </w:rPr>
        <w:t>5.</w:t>
      </w:r>
      <w:r>
        <w:rPr>
          <w:rFonts w:hint="eastAsia" w:ascii="方正楷体_GBK" w:hAnsi="方正楷体_GBK" w:eastAsia="方正楷体_GBK" w:cs="方正楷体_GBK"/>
          <w:b/>
          <w:bCs/>
          <w:color w:val="auto"/>
          <w:kern w:val="2"/>
          <w:sz w:val="32"/>
          <w:szCs w:val="32"/>
          <w:lang w:val="en-US" w:eastAsia="zh-CN" w:bidi="ar-SA"/>
        </w:rPr>
        <w:t>务实为民抓帮扶</w:t>
      </w:r>
      <w:r>
        <w:rPr>
          <w:rFonts w:hint="eastAsia" w:ascii="Times New Roman" w:hAnsi="Times New Roman" w:eastAsia="方正仿宋_GBK" w:cs="Times New Roman"/>
          <w:color w:val="auto"/>
          <w:kern w:val="2"/>
          <w:sz w:val="32"/>
          <w:szCs w:val="20"/>
          <w:lang w:val="en-US" w:eastAsia="zh-CN" w:bidi="ar-SA"/>
        </w:rPr>
        <w:t>。通过入户走访、调查研究、开“坝坝会”等方式向村民持续宣传宣讲党的二十届三中全会，省委、州委十二届五、六次全会精神。紧盯帮扶任务清单，聚焦群众所需所盼，主动谋划，科学研判，精准施策，助力查不让村和西山村产业发展、基础设施改善、城乡环境质量提升和推进“控辍保学”等工作。</w:t>
      </w: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both"/>
        <w:textAlignment w:val="auto"/>
        <w:rPr>
          <w:rFonts w:hint="eastAsia" w:ascii="Times New Roman" w:hAnsi="Times New Roman" w:eastAsia="方正黑体_GBK" w:cs="Times New Roman"/>
          <w:color w:val="auto"/>
          <w:sz w:val="32"/>
          <w:szCs w:val="32"/>
          <w:lang w:val="en-US" w:eastAsia="zh-CN"/>
        </w:rPr>
      </w:pPr>
      <w:r>
        <w:rPr>
          <w:rFonts w:hint="eastAsia" w:ascii="Times New Roman" w:hAnsi="Times New Roman" w:eastAsia="方正黑体_GBK" w:cs="Times New Roman"/>
          <w:color w:val="auto"/>
          <w:sz w:val="32"/>
          <w:szCs w:val="32"/>
          <w:lang w:val="en-US" w:eastAsia="zh-CN"/>
        </w:rPr>
        <w:t>二、部门预算单位构成</w:t>
      </w: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both"/>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阿坝州公务服务中心一级预算单位，下属二级预算单位0个，其中：其他事业单位0个。</w:t>
      </w: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left"/>
        <w:textAlignment w:val="auto"/>
        <w:rPr>
          <w:rFonts w:hint="eastAsia" w:ascii="Times New Roman" w:hAnsi="Times New Roman" w:eastAsia="方正黑体_GBK" w:cs="Times New Roman"/>
          <w:color w:val="auto"/>
          <w:sz w:val="32"/>
          <w:szCs w:val="32"/>
          <w:lang w:val="en-US" w:eastAsia="zh-CN"/>
        </w:rPr>
      </w:pPr>
      <w:r>
        <w:rPr>
          <w:rFonts w:hint="eastAsia" w:ascii="Times New Roman" w:hAnsi="Times New Roman" w:eastAsia="方正黑体_GBK" w:cs="Times New Roman"/>
          <w:color w:val="auto"/>
          <w:sz w:val="32"/>
          <w:szCs w:val="32"/>
          <w:lang w:val="en-US" w:eastAsia="zh-CN"/>
        </w:rPr>
        <w:t>三、收支预算情况说明</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640" w:firstLineChars="200"/>
        <w:textAlignment w:val="auto"/>
        <w:outlineLvl w:val="9"/>
        <w:rPr>
          <w:rFonts w:hint="default"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lang w:val="en-US" w:eastAsia="zh-CN"/>
        </w:rPr>
        <w:t>按照综合预算的原则，阿坝州公务服务中心单位所有收入和支出均纳入部门预算管理。收入包括：一般公共预算拨款收入861.45万元，无事业收入，无其他收入，无上年结转；支出包括：一般公共服务支出763.5万元，社会保障和就业</w:t>
      </w:r>
      <w:r>
        <w:rPr>
          <w:rFonts w:hint="eastAsia" w:ascii="Times New Roman" w:hAnsi="Times New Roman" w:eastAsia="方正仿宋_GBK" w:cs="Times New Roman"/>
          <w:color w:val="auto"/>
          <w:sz w:val="32"/>
          <w:szCs w:val="32"/>
          <w:highlight w:val="none"/>
          <w:lang w:val="en-US" w:eastAsia="zh-CN"/>
        </w:rPr>
        <w:t>支出53.1万元，卫生健康支出18.95万元，住房保障支出</w:t>
      </w:r>
      <w:bookmarkStart w:id="0" w:name="_GoBack"/>
      <w:bookmarkEnd w:id="0"/>
      <w:r>
        <w:rPr>
          <w:rFonts w:hint="eastAsia" w:ascii="Times New Roman" w:hAnsi="Times New Roman" w:eastAsia="方正仿宋_GBK" w:cs="Times New Roman"/>
          <w:color w:val="auto"/>
          <w:sz w:val="32"/>
          <w:szCs w:val="32"/>
          <w:highlight w:val="none"/>
          <w:lang w:val="en-US" w:eastAsia="zh-CN"/>
        </w:rPr>
        <w:t>25.9万元。</w:t>
      </w:r>
      <w:r>
        <w:rPr>
          <w:rFonts w:hint="default" w:ascii="Times New Roman" w:hAnsi="Times New Roman" w:eastAsia="方正仿宋_GBK" w:cs="Times New Roman"/>
          <w:color w:val="auto"/>
          <w:sz w:val="32"/>
          <w:szCs w:val="32"/>
          <w:highlight w:val="none"/>
          <w:lang w:eastAsia="zh-CN"/>
        </w:rPr>
        <w:t>本单位</w:t>
      </w:r>
      <w:r>
        <w:rPr>
          <w:rFonts w:hint="eastAsia" w:ascii="Times New Roman" w:hAnsi="Times New Roman" w:eastAsia="方正仿宋_GBK" w:cs="Times New Roman"/>
          <w:color w:val="auto"/>
          <w:sz w:val="32"/>
          <w:szCs w:val="32"/>
          <w:highlight w:val="none"/>
          <w:lang w:eastAsia="zh-CN"/>
        </w:rPr>
        <w:t>202</w:t>
      </w:r>
      <w:r>
        <w:rPr>
          <w:rFonts w:hint="eastAsia" w:ascii="Times New Roman" w:hAnsi="Times New Roman" w:eastAsia="方正仿宋_GBK" w:cs="Times New Roman"/>
          <w:color w:val="auto"/>
          <w:sz w:val="32"/>
          <w:szCs w:val="32"/>
          <w:highlight w:val="none"/>
          <w:lang w:val="en-US" w:eastAsia="zh-CN"/>
        </w:rPr>
        <w:t>5</w:t>
      </w:r>
      <w:r>
        <w:rPr>
          <w:rFonts w:hint="eastAsia" w:ascii="Times New Roman" w:hAnsi="Times New Roman" w:eastAsia="方正仿宋_GBK" w:cs="Times New Roman"/>
          <w:color w:val="auto"/>
          <w:sz w:val="32"/>
          <w:szCs w:val="32"/>
          <w:highlight w:val="none"/>
          <w:lang w:eastAsia="zh-CN"/>
        </w:rPr>
        <w:t>年</w:t>
      </w:r>
      <w:r>
        <w:rPr>
          <w:rFonts w:hint="default" w:ascii="Times New Roman" w:hAnsi="Times New Roman" w:eastAsia="方正仿宋_GBK" w:cs="Times New Roman"/>
          <w:color w:val="auto"/>
          <w:sz w:val="32"/>
          <w:szCs w:val="32"/>
          <w:highlight w:val="none"/>
          <w:lang w:eastAsia="zh-CN"/>
        </w:rPr>
        <w:t>收支总预算</w:t>
      </w:r>
      <w:r>
        <w:rPr>
          <w:rFonts w:hint="eastAsia" w:ascii="Times New Roman" w:hAnsi="Times New Roman" w:eastAsia="方正仿宋_GBK" w:cs="Times New Roman"/>
          <w:color w:val="auto"/>
          <w:sz w:val="32"/>
          <w:szCs w:val="32"/>
          <w:highlight w:val="none"/>
          <w:lang w:val="en-US" w:eastAsia="zh-CN"/>
        </w:rPr>
        <w:t>861.45</w:t>
      </w:r>
      <w:r>
        <w:rPr>
          <w:rFonts w:hint="default" w:ascii="Times New Roman" w:hAnsi="Times New Roman" w:eastAsia="方正仿宋_GBK" w:cs="Times New Roman"/>
          <w:color w:val="auto"/>
          <w:sz w:val="32"/>
          <w:szCs w:val="32"/>
          <w:highlight w:val="none"/>
          <w:lang w:eastAsia="zh-CN"/>
        </w:rPr>
        <w:t>万元，</w:t>
      </w:r>
      <w:r>
        <w:rPr>
          <w:rFonts w:hint="default" w:ascii="Times New Roman" w:hAnsi="Times New Roman" w:eastAsia="方正仿宋_GBK" w:cs="Times New Roman"/>
          <w:color w:val="auto"/>
          <w:sz w:val="32"/>
          <w:szCs w:val="32"/>
          <w:highlight w:val="none"/>
          <w:lang w:val="en-US" w:eastAsia="zh-CN"/>
        </w:rPr>
        <w:t>比</w:t>
      </w:r>
      <w:r>
        <w:rPr>
          <w:rFonts w:hint="eastAsia" w:ascii="Times New Roman" w:hAnsi="Times New Roman" w:eastAsia="方正仿宋_GBK" w:cs="Times New Roman"/>
          <w:color w:val="auto"/>
          <w:sz w:val="32"/>
          <w:szCs w:val="32"/>
          <w:highlight w:val="none"/>
          <w:lang w:val="en-US" w:eastAsia="zh-CN"/>
        </w:rPr>
        <w:t>2024年</w:t>
      </w:r>
      <w:r>
        <w:rPr>
          <w:rFonts w:hint="default" w:ascii="Times New Roman" w:hAnsi="Times New Roman" w:eastAsia="方正仿宋_GBK" w:cs="Times New Roman"/>
          <w:color w:val="auto"/>
          <w:sz w:val="32"/>
          <w:szCs w:val="32"/>
          <w:highlight w:val="none"/>
          <w:lang w:val="en-US" w:eastAsia="zh-CN"/>
        </w:rPr>
        <w:t>收支预算总数</w:t>
      </w:r>
      <w:r>
        <w:rPr>
          <w:rFonts w:hint="eastAsia" w:ascii="Times New Roman" w:hAnsi="Times New Roman" w:eastAsia="方正仿宋_GBK" w:cs="Times New Roman"/>
          <w:color w:val="auto"/>
          <w:sz w:val="32"/>
          <w:szCs w:val="32"/>
          <w:highlight w:val="none"/>
          <w:lang w:val="en-US" w:eastAsia="zh-CN"/>
        </w:rPr>
        <w:t>增加5.16</w:t>
      </w:r>
      <w:r>
        <w:rPr>
          <w:rFonts w:hint="default" w:ascii="Times New Roman" w:hAnsi="Times New Roman" w:eastAsia="方正仿宋_GBK" w:cs="Times New Roman"/>
          <w:color w:val="auto"/>
          <w:sz w:val="32"/>
          <w:szCs w:val="32"/>
          <w:highlight w:val="none"/>
          <w:lang w:val="en-US" w:eastAsia="zh-CN"/>
        </w:rPr>
        <w:t>万元，其主要原因</w:t>
      </w:r>
      <w:r>
        <w:rPr>
          <w:rFonts w:hint="eastAsia" w:ascii="Times New Roman" w:hAnsi="Times New Roman" w:eastAsia="方正仿宋_GBK" w:cs="Times New Roman"/>
          <w:color w:val="auto"/>
          <w:sz w:val="32"/>
          <w:szCs w:val="32"/>
          <w:highlight w:val="none"/>
          <w:lang w:val="en-US" w:eastAsia="zh-CN"/>
        </w:rPr>
        <w:t>是2024年增资及调整五险一金基数导致2025年预算工资</w:t>
      </w:r>
      <w:r>
        <w:rPr>
          <w:rFonts w:hint="default" w:ascii="Times New Roman" w:hAnsi="Times New Roman" w:eastAsia="方正仿宋_GBK" w:cs="Times New Roman"/>
          <w:b w:val="0"/>
          <w:bCs w:val="0"/>
          <w:color w:val="auto"/>
          <w:kern w:val="2"/>
          <w:sz w:val="32"/>
          <w:szCs w:val="32"/>
          <w:lang w:val="en-US" w:eastAsia="zh-CN" w:bidi="ar-SA"/>
        </w:rPr>
        <w:t>、</w:t>
      </w:r>
      <w:r>
        <w:rPr>
          <w:rFonts w:hint="eastAsia" w:ascii="Times New Roman" w:hAnsi="Times New Roman" w:eastAsia="方正仿宋_GBK" w:cs="Times New Roman"/>
          <w:color w:val="auto"/>
          <w:sz w:val="32"/>
          <w:szCs w:val="32"/>
          <w:highlight w:val="none"/>
          <w:lang w:val="en-US" w:eastAsia="zh-CN"/>
        </w:rPr>
        <w:t>单位缴费相应增加。</w:t>
      </w:r>
    </w:p>
    <w:p>
      <w:pPr>
        <w:keepNext w:val="0"/>
        <w:keepLines w:val="0"/>
        <w:pageBreakBefore w:val="0"/>
        <w:widowControl w:val="0"/>
        <w:kinsoku/>
        <w:wordWrap/>
        <w:overflowPunct w:val="0"/>
        <w:topLinePunct w:val="0"/>
        <w:autoSpaceDE/>
        <w:autoSpaceDN/>
        <w:bidi w:val="0"/>
        <w:adjustRightInd/>
        <w:snapToGrid/>
        <w:spacing w:line="576" w:lineRule="exact"/>
        <w:ind w:firstLine="642" w:firstLineChars="200"/>
        <w:jc w:val="both"/>
        <w:textAlignment w:val="auto"/>
        <w:rPr>
          <w:rFonts w:hint="eastAsia" w:ascii="Times New Roman" w:hAnsi="Times New Roman" w:eastAsia="方正楷体_GBK" w:cs="Times New Roman"/>
          <w:b/>
          <w:bCs/>
          <w:color w:val="auto"/>
          <w:sz w:val="32"/>
          <w:szCs w:val="32"/>
          <w:lang w:val="en-US" w:eastAsia="zh-CN"/>
        </w:rPr>
      </w:pPr>
      <w:r>
        <w:rPr>
          <w:rFonts w:hint="eastAsia" w:ascii="Times New Roman" w:hAnsi="Times New Roman" w:eastAsia="方正楷体_GBK" w:cs="Times New Roman"/>
          <w:b/>
          <w:bCs/>
          <w:color w:val="auto"/>
          <w:sz w:val="32"/>
          <w:szCs w:val="32"/>
          <w:lang w:eastAsia="zh-CN"/>
        </w:rPr>
        <w:t>（一）收入预算情况</w:t>
      </w: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both"/>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阿坝州公务服务中心2025年收入预算861.45万元，其中：无上年结转；一般公共预算拨款收入861.45万元，占100%；无事业收入；无其他收入。</w:t>
      </w:r>
    </w:p>
    <w:p>
      <w:pPr>
        <w:keepNext w:val="0"/>
        <w:keepLines w:val="0"/>
        <w:pageBreakBefore w:val="0"/>
        <w:widowControl w:val="0"/>
        <w:kinsoku/>
        <w:wordWrap/>
        <w:overflowPunct w:val="0"/>
        <w:topLinePunct w:val="0"/>
        <w:autoSpaceDE/>
        <w:autoSpaceDN/>
        <w:bidi w:val="0"/>
        <w:adjustRightInd/>
        <w:snapToGrid/>
        <w:spacing w:line="576" w:lineRule="exact"/>
        <w:ind w:firstLine="642" w:firstLineChars="200"/>
        <w:jc w:val="both"/>
        <w:textAlignment w:val="auto"/>
        <w:rPr>
          <w:rFonts w:hint="eastAsia" w:ascii="Times New Roman" w:hAnsi="Times New Roman" w:eastAsia="方正楷体_GBK" w:cs="Times New Roman"/>
          <w:b/>
          <w:bCs/>
          <w:color w:val="auto"/>
          <w:sz w:val="32"/>
          <w:szCs w:val="32"/>
          <w:lang w:eastAsia="zh-CN"/>
        </w:rPr>
      </w:pPr>
      <w:r>
        <w:rPr>
          <w:rFonts w:hint="eastAsia" w:ascii="Times New Roman" w:hAnsi="Times New Roman" w:eastAsia="方正楷体_GBK" w:cs="Times New Roman"/>
          <w:b/>
          <w:bCs/>
          <w:color w:val="auto"/>
          <w:sz w:val="32"/>
          <w:szCs w:val="32"/>
          <w:lang w:eastAsia="zh-CN"/>
        </w:rPr>
        <w:t>（二）支出预算情况</w:t>
      </w: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both"/>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阿坝州公务服务中心2025年支出预算861.45万元，其中：基本支出431.45万元，占50.08%；项目支出430万元，占49.92%。</w:t>
      </w: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left"/>
        <w:textAlignment w:val="auto"/>
        <w:rPr>
          <w:rFonts w:hint="eastAsia" w:ascii="Times New Roman" w:hAnsi="Times New Roman" w:eastAsia="方正黑体_GBK" w:cs="Times New Roman"/>
          <w:color w:val="auto"/>
          <w:sz w:val="32"/>
          <w:szCs w:val="32"/>
          <w:lang w:val="en-US" w:eastAsia="zh-CN"/>
        </w:rPr>
      </w:pPr>
      <w:r>
        <w:rPr>
          <w:rFonts w:hint="eastAsia" w:ascii="Times New Roman" w:hAnsi="Times New Roman" w:eastAsia="方正黑体_GBK" w:cs="Times New Roman"/>
          <w:color w:val="auto"/>
          <w:sz w:val="32"/>
          <w:szCs w:val="32"/>
          <w:lang w:val="en-US" w:eastAsia="zh-CN"/>
        </w:rPr>
        <w:t>四、财政拨款收支预算情况说明</w:t>
      </w: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both"/>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阿坝州公务服务中心2025年财政拨款收支总预算861.45万元。</w:t>
      </w: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both"/>
        <w:textAlignment w:val="auto"/>
        <w:rPr>
          <w:rFonts w:hint="default"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支出包括：一般公共服务支出763.5万元，社会保障和就业支出53.1万元，卫生健康支出18.95万元，住房保障支出25.9万元。</w:t>
      </w: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left"/>
        <w:textAlignment w:val="auto"/>
        <w:rPr>
          <w:rFonts w:hint="eastAsia" w:ascii="Times New Roman" w:hAnsi="Times New Roman" w:eastAsia="方正黑体_GBK" w:cs="Times New Roman"/>
          <w:color w:val="auto"/>
          <w:sz w:val="32"/>
          <w:szCs w:val="32"/>
          <w:lang w:val="en-US" w:eastAsia="zh-CN"/>
        </w:rPr>
      </w:pPr>
      <w:r>
        <w:rPr>
          <w:rFonts w:hint="eastAsia" w:ascii="Times New Roman" w:hAnsi="Times New Roman" w:eastAsia="方正黑体_GBK" w:cs="Times New Roman"/>
          <w:color w:val="auto"/>
          <w:sz w:val="32"/>
          <w:szCs w:val="32"/>
          <w:lang w:val="en-US" w:eastAsia="zh-CN"/>
        </w:rPr>
        <w:t>五、一般公共预算当年拨款情况说明</w:t>
      </w:r>
    </w:p>
    <w:p>
      <w:pPr>
        <w:keepNext w:val="0"/>
        <w:keepLines w:val="0"/>
        <w:pageBreakBefore w:val="0"/>
        <w:widowControl w:val="0"/>
        <w:kinsoku/>
        <w:wordWrap/>
        <w:overflowPunct w:val="0"/>
        <w:topLinePunct w:val="0"/>
        <w:autoSpaceDE/>
        <w:autoSpaceDN/>
        <w:bidi w:val="0"/>
        <w:adjustRightInd/>
        <w:snapToGrid/>
        <w:spacing w:line="576" w:lineRule="exact"/>
        <w:ind w:firstLine="642" w:firstLineChars="200"/>
        <w:jc w:val="both"/>
        <w:textAlignment w:val="auto"/>
        <w:rPr>
          <w:rFonts w:hint="eastAsia" w:ascii="Times New Roman" w:hAnsi="Times New Roman" w:eastAsia="方正楷体_GBK" w:cs="Times New Roman"/>
          <w:b/>
          <w:bCs/>
          <w:color w:val="auto"/>
          <w:sz w:val="32"/>
          <w:szCs w:val="32"/>
          <w:lang w:eastAsia="zh-CN"/>
        </w:rPr>
      </w:pPr>
      <w:r>
        <w:rPr>
          <w:rFonts w:hint="eastAsia" w:ascii="Times New Roman" w:hAnsi="Times New Roman" w:eastAsia="方正楷体_GBK" w:cs="Times New Roman"/>
          <w:b/>
          <w:bCs/>
          <w:color w:val="auto"/>
          <w:sz w:val="32"/>
          <w:szCs w:val="32"/>
          <w:lang w:eastAsia="zh-CN"/>
        </w:rPr>
        <w:t>（一）一般公共预算当年拨款规模变化情况</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640" w:firstLineChars="200"/>
        <w:textAlignment w:val="auto"/>
        <w:outlineLvl w:val="9"/>
        <w:rPr>
          <w:rFonts w:hint="default" w:ascii="Times New Roman" w:hAnsi="Times New Roman" w:eastAsia="方正仿宋_GBK" w:cs="Times New Roman"/>
          <w:color w:val="auto"/>
          <w:sz w:val="32"/>
          <w:szCs w:val="32"/>
          <w:highlight w:val="none"/>
          <w:lang w:val="en-US" w:eastAsia="zh-CN"/>
        </w:rPr>
      </w:pPr>
      <w:r>
        <w:rPr>
          <w:rFonts w:hint="eastAsia" w:ascii="仿宋_GB2312" w:hAnsi="仿宋_GB2312" w:eastAsia="仿宋_GB2312" w:cs="仿宋_GB2312"/>
          <w:color w:val="auto"/>
          <w:sz w:val="32"/>
          <w:szCs w:val="32"/>
        </w:rPr>
        <w:t>阿坝州公务服务中心</w:t>
      </w:r>
      <w:r>
        <w:rPr>
          <w:rFonts w:hint="eastAsia" w:ascii="仿宋_GB2312" w:hAnsi="仿宋_GB2312" w:eastAsia="仿宋_GB2312" w:cs="仿宋_GB2312"/>
          <w:color w:val="auto"/>
          <w:sz w:val="32"/>
          <w:szCs w:val="32"/>
          <w:lang w:eastAsia="zh-CN"/>
        </w:rPr>
        <w:t>2025年</w:t>
      </w:r>
      <w:r>
        <w:rPr>
          <w:rFonts w:hint="eastAsia" w:ascii="仿宋_GB2312" w:hAnsi="仿宋_GB2312" w:eastAsia="仿宋_GB2312" w:cs="仿宋_GB2312"/>
          <w:color w:val="auto"/>
          <w:sz w:val="32"/>
          <w:szCs w:val="32"/>
        </w:rPr>
        <w:t>一般公共预算当年拨款</w:t>
      </w:r>
      <w:r>
        <w:rPr>
          <w:rFonts w:hint="eastAsia" w:ascii="Times New Roman" w:hAnsi="Times New Roman" w:eastAsia="方正仿宋_GBK" w:cs="Times New Roman"/>
          <w:color w:val="auto"/>
          <w:sz w:val="32"/>
          <w:szCs w:val="32"/>
          <w:highlight w:val="none"/>
          <w:lang w:val="en-US" w:eastAsia="zh-CN"/>
        </w:rPr>
        <w:t>861.45</w:t>
      </w:r>
      <w:r>
        <w:rPr>
          <w:rFonts w:hint="eastAsia" w:ascii="仿宋_GB2312" w:hAnsi="仿宋_GB2312" w:eastAsia="仿宋_GB2312" w:cs="仿宋_GB2312"/>
          <w:color w:val="auto"/>
          <w:sz w:val="32"/>
          <w:szCs w:val="32"/>
        </w:rPr>
        <w:t>万元</w:t>
      </w:r>
      <w:r>
        <w:rPr>
          <w:rFonts w:hint="eastAsia" w:ascii="Times New Roman" w:hAnsi="Times New Roman" w:eastAsia="方正仿宋_GBK" w:cs="Times New Roman"/>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lang w:val="en-US" w:eastAsia="zh-CN"/>
        </w:rPr>
        <w:t>比</w:t>
      </w:r>
      <w:r>
        <w:rPr>
          <w:rFonts w:hint="eastAsia" w:ascii="Times New Roman" w:hAnsi="Times New Roman" w:eastAsia="方正仿宋_GBK" w:cs="Times New Roman"/>
          <w:color w:val="auto"/>
          <w:sz w:val="32"/>
          <w:szCs w:val="32"/>
          <w:highlight w:val="none"/>
          <w:lang w:val="en-US" w:eastAsia="zh-CN"/>
        </w:rPr>
        <w:t>2024年</w:t>
      </w:r>
      <w:r>
        <w:rPr>
          <w:rFonts w:hint="default" w:ascii="Times New Roman" w:hAnsi="Times New Roman" w:eastAsia="方正仿宋_GBK" w:cs="Times New Roman"/>
          <w:color w:val="auto"/>
          <w:sz w:val="32"/>
          <w:szCs w:val="32"/>
          <w:highlight w:val="none"/>
          <w:lang w:val="en-US" w:eastAsia="zh-CN"/>
        </w:rPr>
        <w:t>收支预算总数</w:t>
      </w:r>
      <w:r>
        <w:rPr>
          <w:rFonts w:hint="eastAsia" w:ascii="Times New Roman" w:hAnsi="Times New Roman" w:eastAsia="方正仿宋_GBK" w:cs="Times New Roman"/>
          <w:color w:val="auto"/>
          <w:sz w:val="32"/>
          <w:szCs w:val="32"/>
          <w:highlight w:val="none"/>
          <w:lang w:val="en-US" w:eastAsia="zh-CN"/>
        </w:rPr>
        <w:t>增加5.16</w:t>
      </w:r>
      <w:r>
        <w:rPr>
          <w:rFonts w:hint="default" w:ascii="Times New Roman" w:hAnsi="Times New Roman" w:eastAsia="方正仿宋_GBK" w:cs="Times New Roman"/>
          <w:color w:val="auto"/>
          <w:sz w:val="32"/>
          <w:szCs w:val="32"/>
          <w:highlight w:val="none"/>
          <w:lang w:val="en-US" w:eastAsia="zh-CN"/>
        </w:rPr>
        <w:t>万元，其主要原因</w:t>
      </w:r>
      <w:r>
        <w:rPr>
          <w:rFonts w:hint="eastAsia" w:ascii="Times New Roman" w:hAnsi="Times New Roman" w:eastAsia="方正仿宋_GBK" w:cs="Times New Roman"/>
          <w:color w:val="auto"/>
          <w:sz w:val="32"/>
          <w:szCs w:val="32"/>
          <w:highlight w:val="none"/>
          <w:lang w:val="en-US" w:eastAsia="zh-CN"/>
        </w:rPr>
        <w:t>是2024年增资及调整五险一金基数导致2025年预算工资</w:t>
      </w:r>
      <w:r>
        <w:rPr>
          <w:rFonts w:hint="default" w:ascii="Times New Roman" w:hAnsi="Times New Roman" w:eastAsia="方正仿宋_GBK" w:cs="Times New Roman"/>
          <w:b w:val="0"/>
          <w:bCs w:val="0"/>
          <w:color w:val="auto"/>
          <w:kern w:val="2"/>
          <w:sz w:val="32"/>
          <w:szCs w:val="32"/>
          <w:lang w:val="en-US" w:eastAsia="zh-CN" w:bidi="ar-SA"/>
        </w:rPr>
        <w:t>、</w:t>
      </w:r>
      <w:r>
        <w:rPr>
          <w:rFonts w:hint="eastAsia" w:ascii="Times New Roman" w:hAnsi="Times New Roman" w:eastAsia="方正仿宋_GBK" w:cs="Times New Roman"/>
          <w:color w:val="auto"/>
          <w:sz w:val="32"/>
          <w:szCs w:val="32"/>
          <w:highlight w:val="none"/>
          <w:lang w:val="en-US" w:eastAsia="zh-CN"/>
        </w:rPr>
        <w:t>单位缴费相应增加。</w:t>
      </w:r>
    </w:p>
    <w:p>
      <w:pPr>
        <w:keepNext w:val="0"/>
        <w:keepLines w:val="0"/>
        <w:pageBreakBefore w:val="0"/>
        <w:widowControl w:val="0"/>
        <w:kinsoku/>
        <w:wordWrap/>
        <w:overflowPunct w:val="0"/>
        <w:topLinePunct w:val="0"/>
        <w:autoSpaceDE/>
        <w:autoSpaceDN/>
        <w:bidi w:val="0"/>
        <w:adjustRightInd/>
        <w:snapToGrid/>
        <w:spacing w:line="576" w:lineRule="exact"/>
        <w:ind w:firstLine="642" w:firstLineChars="200"/>
        <w:jc w:val="both"/>
        <w:textAlignment w:val="auto"/>
        <w:rPr>
          <w:rFonts w:hint="eastAsia" w:ascii="Times New Roman" w:hAnsi="Times New Roman" w:eastAsia="方正楷体_GBK" w:cs="Times New Roman"/>
          <w:b/>
          <w:bCs/>
          <w:color w:val="auto"/>
          <w:sz w:val="32"/>
          <w:szCs w:val="32"/>
          <w:lang w:eastAsia="zh-CN"/>
        </w:rPr>
      </w:pPr>
      <w:r>
        <w:rPr>
          <w:rFonts w:hint="eastAsia" w:ascii="Times New Roman" w:hAnsi="Times New Roman" w:eastAsia="方正楷体_GBK" w:cs="Times New Roman"/>
          <w:b/>
          <w:bCs/>
          <w:color w:val="auto"/>
          <w:sz w:val="32"/>
          <w:szCs w:val="32"/>
          <w:lang w:eastAsia="zh-CN"/>
        </w:rPr>
        <w:t>（二）一般公共预算当年拨款结构情况</w:t>
      </w: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both"/>
        <w:textAlignment w:val="auto"/>
        <w:rPr>
          <w:rFonts w:hint="default" w:ascii="Times New Roman" w:hAnsi="Times New Roman" w:eastAsia="方正仿宋_GBK" w:cs="Times New Roman"/>
          <w:color w:val="auto"/>
          <w:sz w:val="32"/>
          <w:szCs w:val="32"/>
          <w:highlight w:val="none"/>
          <w:lang w:eastAsia="zh-CN"/>
        </w:rPr>
      </w:pPr>
      <w:r>
        <w:rPr>
          <w:rFonts w:hint="eastAsia" w:ascii="Times New Roman" w:hAnsi="Times New Roman" w:eastAsia="方正仿宋_GBK" w:cs="Times New Roman"/>
          <w:color w:val="auto"/>
          <w:sz w:val="32"/>
          <w:szCs w:val="32"/>
          <w:highlight w:val="none"/>
          <w:lang w:val="en-US" w:eastAsia="zh-CN"/>
        </w:rPr>
        <w:t>一般公共服务支出763.5万元，占88.63%；社会保障和就业支出53.1万元，占6.16%；卫生健康支出18.95万元，占2.2%；住房保障支出25.9万元，占3.01%</w:t>
      </w:r>
      <w:r>
        <w:rPr>
          <w:rFonts w:hint="default" w:ascii="Times New Roman" w:hAnsi="Times New Roman" w:eastAsia="方正仿宋_GBK" w:cs="Times New Roman"/>
          <w:color w:val="auto"/>
          <w:sz w:val="32"/>
          <w:szCs w:val="32"/>
          <w:highlight w:val="none"/>
          <w:lang w:eastAsia="zh-CN"/>
        </w:rPr>
        <w:t>。</w:t>
      </w:r>
    </w:p>
    <w:p>
      <w:pPr>
        <w:keepNext w:val="0"/>
        <w:keepLines w:val="0"/>
        <w:pageBreakBefore w:val="0"/>
        <w:widowControl w:val="0"/>
        <w:kinsoku/>
        <w:wordWrap/>
        <w:overflowPunct w:val="0"/>
        <w:topLinePunct w:val="0"/>
        <w:autoSpaceDE/>
        <w:autoSpaceDN/>
        <w:bidi w:val="0"/>
        <w:adjustRightInd/>
        <w:snapToGrid/>
        <w:spacing w:line="576" w:lineRule="exact"/>
        <w:ind w:firstLine="642" w:firstLineChars="200"/>
        <w:jc w:val="both"/>
        <w:textAlignment w:val="auto"/>
        <w:rPr>
          <w:rFonts w:hint="eastAsia" w:ascii="Times New Roman" w:hAnsi="Times New Roman" w:eastAsia="方正楷体_GBK" w:cs="Times New Roman"/>
          <w:b/>
          <w:bCs/>
          <w:color w:val="auto"/>
          <w:sz w:val="32"/>
          <w:szCs w:val="32"/>
          <w:lang w:eastAsia="zh-CN"/>
        </w:rPr>
      </w:pPr>
      <w:r>
        <w:rPr>
          <w:rFonts w:hint="eastAsia" w:ascii="Times New Roman" w:hAnsi="Times New Roman" w:eastAsia="方正楷体_GBK" w:cs="Times New Roman"/>
          <w:b/>
          <w:bCs/>
          <w:color w:val="auto"/>
          <w:sz w:val="32"/>
          <w:szCs w:val="32"/>
          <w:lang w:eastAsia="zh-CN"/>
        </w:rPr>
        <w:t>（三）一般公共预算当年拨款具体使用情况</w:t>
      </w: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both"/>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1．一般公共服务支出763.5万元。主要用于</w:t>
      </w:r>
      <w:r>
        <w:rPr>
          <w:rFonts w:hint="default" w:ascii="Times New Roman" w:hAnsi="Times New Roman" w:eastAsia="方正仿宋_GBK" w:cs="Times New Roman"/>
          <w:color w:val="auto"/>
          <w:sz w:val="32"/>
          <w:szCs w:val="32"/>
          <w:highlight w:val="none"/>
          <w:lang w:val="en-US" w:eastAsia="zh-CN"/>
        </w:rPr>
        <w:t>中心</w:t>
      </w:r>
      <w:r>
        <w:rPr>
          <w:rFonts w:hint="eastAsia" w:ascii="Times New Roman" w:hAnsi="Times New Roman" w:eastAsia="方正仿宋_GBK" w:cs="Times New Roman"/>
          <w:color w:val="auto"/>
          <w:sz w:val="32"/>
          <w:szCs w:val="32"/>
          <w:highlight w:val="none"/>
          <w:lang w:val="en-US" w:eastAsia="zh-CN"/>
        </w:rPr>
        <w:t>日常工作开展。</w:t>
      </w: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both"/>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2．社会保障和就业支出53.1万元。主要用于养老、职业年金保险。</w:t>
      </w: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both"/>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3．卫生健康支出18.95万元。主要用于职工事业单位医疗及事业医疗补助。</w:t>
      </w: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both"/>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4．住房保障支出25.9万元。主要用于职工住房公积金。</w:t>
      </w: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left"/>
        <w:textAlignment w:val="auto"/>
        <w:rPr>
          <w:rFonts w:hint="eastAsia" w:ascii="Times New Roman" w:hAnsi="Times New Roman" w:eastAsia="方正黑体_GBK" w:cs="Times New Roman"/>
          <w:color w:val="auto"/>
          <w:sz w:val="32"/>
          <w:szCs w:val="32"/>
          <w:lang w:val="en-US" w:eastAsia="zh-CN"/>
        </w:rPr>
      </w:pPr>
      <w:r>
        <w:rPr>
          <w:rFonts w:hint="eastAsia" w:ascii="Times New Roman" w:hAnsi="Times New Roman" w:eastAsia="方正黑体_GBK" w:cs="Times New Roman"/>
          <w:color w:val="auto"/>
          <w:sz w:val="32"/>
          <w:szCs w:val="32"/>
          <w:lang w:val="en-US" w:eastAsia="zh-CN"/>
        </w:rPr>
        <w:t>六、一般公共预算基本支出情况说明</w:t>
      </w: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both"/>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阿坝州公务服务中心2025年一般公共预算基本支出431.45万元，其中：人员经费364.55万元，主要包括：基本工资、津贴补贴、奖金、其他社会保障缴费、绩效工资、机关事业单位基本养老保险缴费、职业年金缴费、其他工资福利支出、离休费、奖励金、住房公积金、其他对个人和家庭的补助支出。公用经费66.9万元，主要包括：办公费、印刷费、手续费、水费、电费、邮电费、差旅费、维修（护）费、租赁费、会议费、培训费、劳务费、福利费、</w:t>
      </w:r>
      <w:r>
        <w:rPr>
          <w:rFonts w:hint="default" w:ascii="Times New Roman" w:hAnsi="Times New Roman" w:eastAsia="方正仿宋_GBK" w:cs="Times New Roman"/>
          <w:color w:val="auto"/>
          <w:sz w:val="32"/>
          <w:szCs w:val="32"/>
          <w:highlight w:val="none"/>
          <w:lang w:eastAsia="zh-CN"/>
        </w:rPr>
        <w:t>其他交通工具</w:t>
      </w:r>
      <w:r>
        <w:rPr>
          <w:rFonts w:hint="eastAsia" w:ascii="Times New Roman" w:hAnsi="Times New Roman" w:eastAsia="方正仿宋_GBK" w:cs="Times New Roman"/>
          <w:color w:val="auto"/>
          <w:sz w:val="32"/>
          <w:szCs w:val="32"/>
          <w:highlight w:val="none"/>
          <w:lang w:val="en-US" w:eastAsia="zh-CN"/>
        </w:rPr>
        <w:t>运行维护费、其他商品和服务支出。</w:t>
      </w: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left"/>
        <w:textAlignment w:val="auto"/>
        <w:rPr>
          <w:rFonts w:hint="eastAsia" w:ascii="Times New Roman" w:hAnsi="Times New Roman" w:eastAsia="方正黑体_GBK" w:cs="Times New Roman"/>
          <w:color w:val="auto"/>
          <w:sz w:val="32"/>
          <w:szCs w:val="32"/>
          <w:lang w:val="en-US" w:eastAsia="zh-CN"/>
        </w:rPr>
      </w:pPr>
      <w:r>
        <w:rPr>
          <w:rFonts w:hint="eastAsia" w:ascii="Times New Roman" w:hAnsi="Times New Roman" w:eastAsia="方正黑体_GBK" w:cs="Times New Roman"/>
          <w:color w:val="auto"/>
          <w:sz w:val="32"/>
          <w:szCs w:val="32"/>
          <w:lang w:val="en-US" w:eastAsia="zh-CN"/>
        </w:rPr>
        <w:t>七、“三公”经费财政拨款预算安排情况说明</w:t>
      </w: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both"/>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阿坝州公务服务中心2025年“三公”经费财政拨款预算数402.73万元，其中：因公出国（境）经费0万元，公务接待费381.13万元，公务用车购置及运行维护费21.6万元。</w:t>
      </w:r>
    </w:p>
    <w:p>
      <w:pPr>
        <w:keepNext w:val="0"/>
        <w:keepLines w:val="0"/>
        <w:pageBreakBefore w:val="0"/>
        <w:widowControl w:val="0"/>
        <w:kinsoku/>
        <w:wordWrap/>
        <w:overflowPunct w:val="0"/>
        <w:topLinePunct w:val="0"/>
        <w:autoSpaceDE/>
        <w:autoSpaceDN/>
        <w:bidi w:val="0"/>
        <w:adjustRightInd/>
        <w:snapToGrid/>
        <w:spacing w:line="576" w:lineRule="exact"/>
        <w:ind w:firstLine="642" w:firstLineChars="200"/>
        <w:jc w:val="both"/>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楷体_GBK" w:cs="Times New Roman"/>
          <w:b/>
          <w:bCs/>
          <w:color w:val="auto"/>
          <w:sz w:val="32"/>
          <w:szCs w:val="32"/>
          <w:lang w:val="en-US" w:eastAsia="zh-CN"/>
        </w:rPr>
        <w:t>（一）2025年因公出国（境）经费0万元。</w:t>
      </w:r>
      <w:r>
        <w:rPr>
          <w:rFonts w:hint="eastAsia" w:ascii="Times New Roman" w:hAnsi="Times New Roman" w:eastAsia="方正仿宋_GBK" w:cs="Times New Roman"/>
          <w:color w:val="auto"/>
          <w:sz w:val="32"/>
          <w:szCs w:val="32"/>
          <w:highlight w:val="none"/>
          <w:lang w:val="en-US" w:eastAsia="zh-CN"/>
        </w:rPr>
        <w:t>全年安排因公出国（境）团组0次，出国（境）0人。因公出国（境）支出预算与2024年相同。主要原因是未涉及需因公出国（境）的相关事项。</w:t>
      </w:r>
    </w:p>
    <w:p>
      <w:pPr>
        <w:keepNext w:val="0"/>
        <w:keepLines w:val="0"/>
        <w:pageBreakBefore w:val="0"/>
        <w:widowControl w:val="0"/>
        <w:kinsoku/>
        <w:wordWrap/>
        <w:overflowPunct w:val="0"/>
        <w:topLinePunct w:val="0"/>
        <w:autoSpaceDE/>
        <w:autoSpaceDN/>
        <w:bidi w:val="0"/>
        <w:adjustRightInd/>
        <w:snapToGrid/>
        <w:spacing w:line="576" w:lineRule="exact"/>
        <w:ind w:firstLine="642" w:firstLineChars="200"/>
        <w:jc w:val="both"/>
        <w:textAlignment w:val="auto"/>
        <w:rPr>
          <w:rFonts w:hint="default" w:ascii="Times New Roman" w:hAnsi="Times New Roman" w:eastAsia="方正仿宋_GBK" w:cs="Times New Roman"/>
          <w:color w:val="auto"/>
          <w:sz w:val="32"/>
          <w:szCs w:val="32"/>
          <w:highlight w:val="none"/>
          <w:lang w:val="en-US" w:eastAsia="zh-CN"/>
        </w:rPr>
      </w:pPr>
      <w:r>
        <w:rPr>
          <w:rFonts w:hint="eastAsia" w:ascii="Times New Roman" w:hAnsi="Times New Roman" w:eastAsia="方正楷体_GBK" w:cs="Times New Roman"/>
          <w:b/>
          <w:bCs/>
          <w:color w:val="auto"/>
          <w:sz w:val="32"/>
          <w:szCs w:val="32"/>
          <w:lang w:val="en-US" w:eastAsia="zh-CN"/>
        </w:rPr>
        <w:t>（二）2025年公务接待费381.13万元。</w:t>
      </w:r>
      <w:r>
        <w:rPr>
          <w:rFonts w:hint="eastAsia" w:ascii="Times New Roman" w:hAnsi="Times New Roman" w:eastAsia="方正仿宋_GBK" w:cs="Times New Roman"/>
          <w:color w:val="auto"/>
          <w:sz w:val="32"/>
          <w:szCs w:val="32"/>
          <w:highlight w:val="none"/>
          <w:lang w:val="en-US" w:eastAsia="zh-CN"/>
        </w:rPr>
        <w:t>较2024年预算经费减少19.98万元，下降4.98%。主要原因厉行节约,压减公务接待费。</w:t>
      </w:r>
    </w:p>
    <w:p>
      <w:pPr>
        <w:keepNext w:val="0"/>
        <w:keepLines w:val="0"/>
        <w:pageBreakBefore w:val="0"/>
        <w:widowControl w:val="0"/>
        <w:kinsoku/>
        <w:wordWrap/>
        <w:overflowPunct w:val="0"/>
        <w:topLinePunct w:val="0"/>
        <w:autoSpaceDE/>
        <w:autoSpaceDN/>
        <w:bidi w:val="0"/>
        <w:adjustRightInd/>
        <w:snapToGrid/>
        <w:spacing w:line="576" w:lineRule="exact"/>
        <w:ind w:firstLine="642" w:firstLineChars="200"/>
        <w:jc w:val="both"/>
        <w:textAlignment w:val="auto"/>
        <w:rPr>
          <w:rFonts w:hint="eastAsia" w:ascii="Times New Roman" w:hAnsi="Times New Roman" w:eastAsia="方正仿宋_GBK" w:cs="Times New Roman"/>
          <w:b w:val="0"/>
          <w:bCs/>
          <w:color w:val="auto"/>
          <w:kern w:val="2"/>
          <w:sz w:val="32"/>
          <w:szCs w:val="32"/>
          <w:highlight w:val="none"/>
          <w:lang w:val="en-US" w:eastAsia="zh-CN" w:bidi="ar-SA"/>
        </w:rPr>
      </w:pPr>
      <w:r>
        <w:rPr>
          <w:rFonts w:hint="eastAsia" w:ascii="Times New Roman" w:hAnsi="Times New Roman" w:eastAsia="方正仿宋_GBK" w:cs="Times New Roman"/>
          <w:b/>
          <w:color w:val="auto"/>
          <w:kern w:val="2"/>
          <w:sz w:val="32"/>
          <w:szCs w:val="32"/>
          <w:highlight w:val="none"/>
          <w:lang w:val="en-US" w:eastAsia="zh-CN" w:bidi="ar-SA"/>
        </w:rPr>
        <w:t>国内公务接待支出381.13万元。</w:t>
      </w:r>
      <w:r>
        <w:rPr>
          <w:rFonts w:hint="eastAsia" w:ascii="Times New Roman" w:hAnsi="Times New Roman" w:eastAsia="方正仿宋_GBK" w:cs="Times New Roman"/>
          <w:color w:val="auto"/>
          <w:sz w:val="32"/>
          <w:szCs w:val="32"/>
          <w:highlight w:val="none"/>
          <w:lang w:val="en-US" w:eastAsia="zh-CN"/>
        </w:rPr>
        <w:t>较2024年预算经费经费减少19.98万元，下降4.98%。主要原因厉行节约,压减公务接待费。</w:t>
      </w:r>
      <w:r>
        <w:rPr>
          <w:rFonts w:hint="eastAsia" w:ascii="Times New Roman" w:hAnsi="Times New Roman" w:eastAsia="方正仿宋_GBK" w:cs="Times New Roman"/>
          <w:b w:val="0"/>
          <w:bCs/>
          <w:color w:val="auto"/>
          <w:kern w:val="2"/>
          <w:sz w:val="32"/>
          <w:szCs w:val="32"/>
          <w:highlight w:val="none"/>
          <w:lang w:val="en-US" w:eastAsia="zh-CN" w:bidi="ar-SA"/>
        </w:rPr>
        <w:t>主要用于执行公务、开展业务活动开支的交通费、住宿费、用餐费等。</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color w:val="auto"/>
          <w:lang w:val="en-US" w:eastAsia="zh-CN"/>
        </w:rPr>
      </w:pPr>
      <w:r>
        <w:rPr>
          <w:rFonts w:hint="eastAsia" w:ascii="Times New Roman" w:hAnsi="Times New Roman" w:eastAsia="方正仿宋_GBK" w:cs="Times New Roman"/>
          <w:b/>
          <w:color w:val="auto"/>
          <w:kern w:val="2"/>
          <w:sz w:val="32"/>
          <w:szCs w:val="32"/>
          <w:highlight w:val="none"/>
          <w:lang w:val="en-US" w:eastAsia="zh-CN" w:bidi="ar-SA"/>
        </w:rPr>
        <w:t>国（境）外接待费0万元。</w:t>
      </w:r>
      <w:r>
        <w:rPr>
          <w:rFonts w:hint="eastAsia" w:ascii="Times New Roman" w:hAnsi="Times New Roman" w:eastAsia="方正仿宋_GBK" w:cs="Times New Roman"/>
          <w:color w:val="auto"/>
          <w:sz w:val="32"/>
          <w:szCs w:val="32"/>
          <w:highlight w:val="none"/>
          <w:lang w:val="en-US" w:eastAsia="zh-CN"/>
        </w:rPr>
        <w:t>较2024年预算经费相比持平。主要原因是我中心不涉及国（境）外接待费。国（境）外接待0批次，0人次（不包括陪同人员）共计支出0万元。</w:t>
      </w:r>
    </w:p>
    <w:p>
      <w:pPr>
        <w:keepNext w:val="0"/>
        <w:keepLines w:val="0"/>
        <w:pageBreakBefore w:val="0"/>
        <w:widowControl w:val="0"/>
        <w:kinsoku/>
        <w:wordWrap/>
        <w:overflowPunct w:val="0"/>
        <w:topLinePunct w:val="0"/>
        <w:autoSpaceDE/>
        <w:autoSpaceDN/>
        <w:bidi w:val="0"/>
        <w:adjustRightInd/>
        <w:snapToGrid/>
        <w:spacing w:line="576" w:lineRule="exact"/>
        <w:ind w:firstLine="642" w:firstLineChars="200"/>
        <w:jc w:val="both"/>
        <w:textAlignment w:val="auto"/>
        <w:rPr>
          <w:rFonts w:hint="default"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b/>
          <w:bCs/>
          <w:color w:val="auto"/>
          <w:sz w:val="32"/>
          <w:szCs w:val="32"/>
          <w:highlight w:val="none"/>
          <w:lang w:val="en-US" w:eastAsia="zh-CN"/>
        </w:rPr>
        <w:t>（三）2025年公务用车购置及运行维护费21.6万元。</w:t>
      </w:r>
      <w:r>
        <w:rPr>
          <w:rFonts w:hint="eastAsia" w:ascii="Times New Roman" w:hAnsi="Times New Roman" w:eastAsia="方正仿宋_GBK" w:cs="Times New Roman"/>
          <w:color w:val="auto"/>
          <w:sz w:val="32"/>
          <w:szCs w:val="32"/>
          <w:highlight w:val="none"/>
          <w:lang w:val="en-US" w:eastAsia="zh-CN"/>
        </w:rPr>
        <w:t>较2024年预算经费相比持平。主要原因是我中心2025年与2024年公务用车数一致。其中：</w:t>
      </w:r>
      <w:r>
        <w:rPr>
          <w:rFonts w:hint="eastAsia" w:ascii="Times New Roman" w:hAnsi="Times New Roman" w:eastAsia="方正仿宋_GBK" w:cs="Times New Roman"/>
          <w:b/>
          <w:color w:val="auto"/>
          <w:kern w:val="2"/>
          <w:sz w:val="32"/>
          <w:szCs w:val="32"/>
          <w:highlight w:val="none"/>
          <w:lang w:val="en-US" w:eastAsia="zh-CN" w:bidi="ar-SA"/>
        </w:rPr>
        <w:t>公务用车购置支出0万元。</w:t>
      </w:r>
      <w:r>
        <w:rPr>
          <w:rFonts w:hint="eastAsia" w:ascii="Times New Roman" w:hAnsi="Times New Roman" w:eastAsia="方正仿宋_GBK" w:cs="Times New Roman"/>
          <w:color w:val="auto"/>
          <w:sz w:val="32"/>
          <w:szCs w:val="32"/>
          <w:highlight w:val="none"/>
          <w:lang w:val="en-US" w:eastAsia="zh-CN"/>
        </w:rPr>
        <w:t>较2024年相比无变化。</w:t>
      </w:r>
      <w:r>
        <w:rPr>
          <w:rFonts w:hint="eastAsia" w:ascii="Times New Roman" w:hAnsi="Times New Roman" w:eastAsia="方正仿宋_GBK" w:cs="Times New Roman"/>
          <w:b/>
          <w:color w:val="auto"/>
          <w:kern w:val="2"/>
          <w:sz w:val="32"/>
          <w:szCs w:val="32"/>
          <w:highlight w:val="none"/>
          <w:lang w:val="en-US" w:eastAsia="zh-CN" w:bidi="ar-SA"/>
        </w:rPr>
        <w:t>公务用运行维护费21.6万元。</w:t>
      </w:r>
      <w:r>
        <w:rPr>
          <w:rFonts w:hint="eastAsia" w:ascii="Times New Roman" w:hAnsi="Times New Roman" w:eastAsia="方正仿宋_GBK" w:cs="Times New Roman"/>
          <w:color w:val="auto"/>
          <w:sz w:val="32"/>
          <w:szCs w:val="32"/>
          <w:highlight w:val="none"/>
          <w:lang w:val="en-US" w:eastAsia="zh-CN"/>
        </w:rPr>
        <w:t>较2024年相比无变化。主要用于我中心所需的公务用车燃料费、维修费、过路过桥费、保险费等支出。</w:t>
      </w: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left"/>
        <w:textAlignment w:val="auto"/>
        <w:rPr>
          <w:rFonts w:hint="eastAsia" w:ascii="Times New Roman" w:hAnsi="Times New Roman" w:eastAsia="方正黑体_GBK" w:cs="Times New Roman"/>
          <w:color w:val="auto"/>
          <w:sz w:val="32"/>
          <w:szCs w:val="32"/>
          <w:lang w:val="en-US" w:eastAsia="zh-CN"/>
        </w:rPr>
      </w:pPr>
      <w:r>
        <w:rPr>
          <w:rFonts w:hint="eastAsia" w:ascii="Times New Roman" w:hAnsi="Times New Roman" w:eastAsia="方正黑体_GBK" w:cs="Times New Roman"/>
          <w:color w:val="auto"/>
          <w:sz w:val="32"/>
          <w:szCs w:val="32"/>
          <w:lang w:val="en-US" w:eastAsia="zh-CN"/>
        </w:rPr>
        <w:t>八、政府性基金预算支出情况说明</w:t>
      </w: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left"/>
        <w:textAlignment w:val="auto"/>
        <w:rPr>
          <w:rFonts w:hint="default"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我中心2025年政府性基金预算拨款安排支出0万元。与2024年政府性基金预算支出0万元，无增长变化。主要原因为我中心不涉及政府性基金预算支出项目。</w:t>
      </w: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left"/>
        <w:textAlignment w:val="auto"/>
        <w:rPr>
          <w:rFonts w:hint="eastAsia" w:ascii="Times New Roman" w:hAnsi="Times New Roman" w:eastAsia="方正黑体_GBK" w:cs="Times New Roman"/>
          <w:color w:val="auto"/>
          <w:sz w:val="32"/>
          <w:szCs w:val="32"/>
          <w:lang w:val="en-US" w:eastAsia="zh-CN"/>
        </w:rPr>
      </w:pPr>
      <w:r>
        <w:rPr>
          <w:rFonts w:hint="eastAsia" w:ascii="Times New Roman" w:hAnsi="Times New Roman" w:eastAsia="方正黑体_GBK" w:cs="Times New Roman"/>
          <w:color w:val="auto"/>
          <w:sz w:val="32"/>
          <w:szCs w:val="32"/>
          <w:lang w:val="en-US" w:eastAsia="zh-CN"/>
        </w:rPr>
        <w:t>九、其他重要事项的情况说明</w:t>
      </w:r>
    </w:p>
    <w:p>
      <w:pPr>
        <w:keepNext w:val="0"/>
        <w:keepLines w:val="0"/>
        <w:pageBreakBefore w:val="0"/>
        <w:widowControl w:val="0"/>
        <w:kinsoku/>
        <w:wordWrap/>
        <w:overflowPunct w:val="0"/>
        <w:topLinePunct w:val="0"/>
        <w:autoSpaceDE/>
        <w:autoSpaceDN/>
        <w:bidi w:val="0"/>
        <w:adjustRightInd/>
        <w:snapToGrid/>
        <w:spacing w:line="576" w:lineRule="exact"/>
        <w:ind w:firstLine="642" w:firstLineChars="200"/>
        <w:jc w:val="both"/>
        <w:textAlignment w:val="auto"/>
        <w:rPr>
          <w:rFonts w:hint="eastAsia" w:ascii="Times New Roman" w:hAnsi="Times New Roman" w:eastAsia="方正楷体_GBK" w:cs="Times New Roman"/>
          <w:b/>
          <w:bCs/>
          <w:color w:val="auto"/>
          <w:sz w:val="32"/>
          <w:szCs w:val="32"/>
          <w:lang w:eastAsia="zh-CN"/>
        </w:rPr>
      </w:pPr>
      <w:r>
        <w:rPr>
          <w:rFonts w:hint="eastAsia" w:ascii="Times New Roman" w:hAnsi="Times New Roman" w:eastAsia="方正楷体_GBK" w:cs="Times New Roman"/>
          <w:b/>
          <w:bCs/>
          <w:color w:val="auto"/>
          <w:sz w:val="32"/>
          <w:szCs w:val="32"/>
          <w:lang w:eastAsia="zh-CN"/>
        </w:rPr>
        <w:t>（一）机关运行经费</w:t>
      </w: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both"/>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阿坝州公务服务中心2025年机关运行经费财政拨款预算为66.9万元。比2024年预算减少1.26万元，下降1.85%。其原因是2025年日常公用经费在2024年的基础上进行了压减。</w:t>
      </w:r>
    </w:p>
    <w:p>
      <w:pPr>
        <w:keepNext w:val="0"/>
        <w:keepLines w:val="0"/>
        <w:pageBreakBefore w:val="0"/>
        <w:widowControl w:val="0"/>
        <w:kinsoku/>
        <w:wordWrap/>
        <w:overflowPunct w:val="0"/>
        <w:topLinePunct w:val="0"/>
        <w:autoSpaceDE/>
        <w:autoSpaceDN/>
        <w:bidi w:val="0"/>
        <w:adjustRightInd/>
        <w:snapToGrid/>
        <w:spacing w:line="576" w:lineRule="exact"/>
        <w:ind w:firstLine="642" w:firstLineChars="200"/>
        <w:jc w:val="both"/>
        <w:textAlignment w:val="auto"/>
        <w:rPr>
          <w:rFonts w:hint="eastAsia" w:ascii="Times New Roman" w:hAnsi="Times New Roman" w:eastAsia="方正楷体_GBK" w:cs="Times New Roman"/>
          <w:b/>
          <w:bCs/>
          <w:color w:val="auto"/>
          <w:sz w:val="32"/>
          <w:szCs w:val="32"/>
          <w:lang w:eastAsia="zh-CN"/>
        </w:rPr>
      </w:pPr>
      <w:r>
        <w:rPr>
          <w:rFonts w:hint="eastAsia" w:ascii="Times New Roman" w:hAnsi="Times New Roman" w:eastAsia="方正楷体_GBK" w:cs="Times New Roman"/>
          <w:b/>
          <w:bCs/>
          <w:color w:val="auto"/>
          <w:sz w:val="32"/>
          <w:szCs w:val="32"/>
          <w:lang w:eastAsia="zh-CN"/>
        </w:rPr>
        <w:t>（二）政府采购情况</w:t>
      </w: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both"/>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2025年阿坝州公务服务中心政府采购预算0万元。</w:t>
      </w:r>
    </w:p>
    <w:p>
      <w:pPr>
        <w:keepNext w:val="0"/>
        <w:keepLines w:val="0"/>
        <w:pageBreakBefore w:val="0"/>
        <w:widowControl w:val="0"/>
        <w:kinsoku/>
        <w:wordWrap/>
        <w:overflowPunct w:val="0"/>
        <w:topLinePunct w:val="0"/>
        <w:autoSpaceDE/>
        <w:autoSpaceDN/>
        <w:bidi w:val="0"/>
        <w:adjustRightInd/>
        <w:snapToGrid/>
        <w:spacing w:line="576" w:lineRule="exact"/>
        <w:ind w:firstLine="642" w:firstLineChars="200"/>
        <w:jc w:val="both"/>
        <w:textAlignment w:val="auto"/>
        <w:rPr>
          <w:rFonts w:hint="eastAsia" w:ascii="Times New Roman" w:hAnsi="Times New Roman" w:eastAsia="方正楷体_GBK" w:cs="Times New Roman"/>
          <w:b/>
          <w:bCs/>
          <w:color w:val="auto"/>
          <w:sz w:val="32"/>
          <w:szCs w:val="32"/>
          <w:lang w:eastAsia="zh-CN"/>
        </w:rPr>
      </w:pPr>
      <w:r>
        <w:rPr>
          <w:rFonts w:hint="eastAsia" w:ascii="Times New Roman" w:hAnsi="Times New Roman" w:eastAsia="方正楷体_GBK" w:cs="Times New Roman"/>
          <w:b/>
          <w:bCs/>
          <w:color w:val="auto"/>
          <w:sz w:val="32"/>
          <w:szCs w:val="32"/>
          <w:lang w:eastAsia="zh-CN"/>
        </w:rPr>
        <w:t>（三）国有资产占有使用情况</w:t>
      </w: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both"/>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固定资产原值总额300.69万元。</w:t>
      </w:r>
    </w:p>
    <w:p>
      <w:pPr>
        <w:keepNext w:val="0"/>
        <w:keepLines w:val="0"/>
        <w:pageBreakBefore w:val="0"/>
        <w:widowControl w:val="0"/>
        <w:kinsoku/>
        <w:wordWrap/>
        <w:overflowPunct w:val="0"/>
        <w:topLinePunct w:val="0"/>
        <w:autoSpaceDE/>
        <w:autoSpaceDN/>
        <w:bidi w:val="0"/>
        <w:adjustRightInd/>
        <w:snapToGrid/>
        <w:spacing w:line="576" w:lineRule="exact"/>
        <w:ind w:firstLine="642" w:firstLineChars="200"/>
        <w:jc w:val="both"/>
        <w:textAlignment w:val="auto"/>
        <w:rPr>
          <w:rFonts w:hint="eastAsia" w:ascii="Times New Roman" w:hAnsi="Times New Roman" w:eastAsia="方正楷体_GBK" w:cs="Times New Roman"/>
          <w:b/>
          <w:bCs/>
          <w:color w:val="auto"/>
          <w:sz w:val="32"/>
          <w:szCs w:val="32"/>
          <w:lang w:eastAsia="zh-CN"/>
        </w:rPr>
      </w:pPr>
      <w:r>
        <w:rPr>
          <w:rFonts w:hint="eastAsia" w:ascii="Times New Roman" w:hAnsi="Times New Roman" w:eastAsia="方正楷体_GBK" w:cs="Times New Roman"/>
          <w:b/>
          <w:bCs/>
          <w:color w:val="auto"/>
          <w:sz w:val="32"/>
          <w:szCs w:val="32"/>
          <w:lang w:eastAsia="zh-CN"/>
        </w:rPr>
        <w:t>（四）绩效目标设置情况</w:t>
      </w: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both"/>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2025年阿坝州公务服务中心通用项目和专用项目均按要求实行绩效目标管理，涉及一般公共预算当年拨款430万元。</w:t>
      </w: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left"/>
        <w:textAlignment w:val="auto"/>
        <w:rPr>
          <w:rFonts w:hint="eastAsia" w:ascii="Times New Roman" w:hAnsi="Times New Roman" w:eastAsia="方正黑体_GBK" w:cs="Times New Roman"/>
          <w:color w:val="auto"/>
          <w:sz w:val="32"/>
          <w:szCs w:val="32"/>
          <w:lang w:val="en-US" w:eastAsia="zh-CN"/>
        </w:rPr>
      </w:pPr>
      <w:r>
        <w:rPr>
          <w:rFonts w:hint="eastAsia" w:ascii="Times New Roman" w:hAnsi="Times New Roman" w:eastAsia="方正黑体_GBK" w:cs="Times New Roman"/>
          <w:color w:val="auto"/>
          <w:sz w:val="32"/>
          <w:szCs w:val="32"/>
          <w:lang w:val="en-US" w:eastAsia="zh-CN"/>
        </w:rPr>
        <w:t>十、名词解释</w:t>
      </w: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both"/>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（一）财政拨款收入：指由财政拨款形成的部门收入。按现行管理制度，部门预算中反映的财政拨款仅包括一般公共预算拨款和政府性基金预算拨款。</w:t>
      </w: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both"/>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（二）事业收入：指所属事业单位开展专业业务活动及辅助活动所取得的收入。</w:t>
      </w: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both"/>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（三）事业单位经营收入：指所属事业单位在专业业务活动及其辅助活动之外开展非独立核算经营活动取得的收入。</w:t>
      </w: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both"/>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（四）其他收入：指除上述“财政拨款收入”、“事业收入”、“事业单位经营收入”等以外的收入，主要是所属行政事业单位按规定动用的售房收入、存款利息收入等。</w:t>
      </w: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both"/>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五）用事业基金弥补收支差额：指所属事业单位在预计用当年的“财政拨款收入”、“事业收入”、“事业单位经营收入”、“其他收入”不足以安排当年支出的情况下，使用以前年度积累的事业基金弥补本年度收支缺口的资金。</w:t>
      </w: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both"/>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（六）上年结转：指所属行政事业单位以前年度尚未完成、结转至本年按原规定用途继续使用的资金和以前年度已完成项目剩余资金经批准用于新用途使用的资金。</w:t>
      </w:r>
    </w:p>
    <w:sectPr>
      <w:footerReference r:id="rId5" w:type="default"/>
      <w:pgSz w:w="11906" w:h="16838"/>
      <w:pgMar w:top="1440" w:right="1800" w:bottom="1440" w:left="1800"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华文细黑">
    <w:altName w:val="宋体"/>
    <w:panose1 w:val="02010600040101010101"/>
    <w:charset w:val="00"/>
    <w:family w:val="auto"/>
    <w:pitch w:val="default"/>
    <w:sig w:usb0="00000000" w:usb1="00000000" w:usb2="00000010" w:usb3="00000000" w:csb0="0004009F" w:csb1="00000000"/>
  </w:font>
  <w:font w:name="方正小标宋_GBK">
    <w:panose1 w:val="03000502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eastAsia" w:asciiTheme="minorEastAsia" w:hAnsiTheme="minorEastAsia" w:eastAsiaTheme="minorEastAsia" w:cstheme="minorEastAsia"/>
                              <w:sz w:val="28"/>
                              <w:szCs w:val="44"/>
                            </w:rPr>
                          </w:pPr>
                          <w:r>
                            <w:rPr>
                              <w:rFonts w:hint="eastAsia" w:asciiTheme="minorEastAsia" w:hAnsiTheme="minorEastAsia" w:eastAsiaTheme="minorEastAsia" w:cstheme="minorEastAsia"/>
                              <w:sz w:val="28"/>
                              <w:szCs w:val="44"/>
                            </w:rPr>
                            <w:fldChar w:fldCharType="begin"/>
                          </w:r>
                          <w:r>
                            <w:rPr>
                              <w:rFonts w:hint="eastAsia" w:asciiTheme="minorEastAsia" w:hAnsiTheme="minorEastAsia" w:eastAsiaTheme="minorEastAsia" w:cstheme="minorEastAsia"/>
                              <w:sz w:val="28"/>
                              <w:szCs w:val="44"/>
                            </w:rPr>
                            <w:instrText xml:space="preserve"> PAGE  \* MERGEFORMAT </w:instrText>
                          </w:r>
                          <w:r>
                            <w:rPr>
                              <w:rFonts w:hint="eastAsia" w:asciiTheme="minorEastAsia" w:hAnsiTheme="minorEastAsia" w:eastAsiaTheme="minorEastAsia" w:cstheme="minorEastAsia"/>
                              <w:sz w:val="28"/>
                              <w:szCs w:val="44"/>
                            </w:rPr>
                            <w:fldChar w:fldCharType="separate"/>
                          </w:r>
                          <w:r>
                            <w:rPr>
                              <w:rFonts w:hint="eastAsia" w:asciiTheme="minorEastAsia" w:hAnsiTheme="minorEastAsia" w:eastAsiaTheme="minorEastAsia" w:cstheme="minorEastAsia"/>
                              <w:sz w:val="28"/>
                              <w:szCs w:val="44"/>
                            </w:rPr>
                            <w:t>- 1 -</w:t>
                          </w:r>
                          <w:r>
                            <w:rPr>
                              <w:rFonts w:hint="eastAsia" w:asciiTheme="minorEastAsia" w:hAnsiTheme="minorEastAsia" w:eastAsiaTheme="minorEastAsia" w:cstheme="minorEastAsia"/>
                              <w:sz w:val="28"/>
                              <w:szCs w:val="44"/>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8FiLyGwIAACk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A8FiLyGwIAACkEAAAOAAAAAAAAAAEAIAAAADUBAABkcnMvZTJvRG9jLnhtbFBLBQYA&#10;AAAABgAGAFkBAADCBQAAAAA=&#10;">
              <v:fill on="f" focussize="0,0"/>
              <v:stroke on="f" weight="0.5pt"/>
              <v:imagedata o:title=""/>
              <o:lock v:ext="edit" aspectratio="f"/>
              <v:textbox inset="0mm,0mm,0mm,0mm" style="mso-fit-shape-to-text:t;">
                <w:txbxContent>
                  <w:p>
                    <w:pPr>
                      <w:pStyle w:val="6"/>
                      <w:rPr>
                        <w:rFonts w:hint="eastAsia" w:asciiTheme="minorEastAsia" w:hAnsiTheme="minorEastAsia" w:eastAsiaTheme="minorEastAsia" w:cstheme="minorEastAsia"/>
                        <w:sz w:val="28"/>
                        <w:szCs w:val="44"/>
                      </w:rPr>
                    </w:pPr>
                    <w:r>
                      <w:rPr>
                        <w:rFonts w:hint="eastAsia" w:asciiTheme="minorEastAsia" w:hAnsiTheme="minorEastAsia" w:eastAsiaTheme="minorEastAsia" w:cstheme="minorEastAsia"/>
                        <w:sz w:val="28"/>
                        <w:szCs w:val="44"/>
                      </w:rPr>
                      <w:fldChar w:fldCharType="begin"/>
                    </w:r>
                    <w:r>
                      <w:rPr>
                        <w:rFonts w:hint="eastAsia" w:asciiTheme="minorEastAsia" w:hAnsiTheme="minorEastAsia" w:eastAsiaTheme="minorEastAsia" w:cstheme="minorEastAsia"/>
                        <w:sz w:val="28"/>
                        <w:szCs w:val="44"/>
                      </w:rPr>
                      <w:instrText xml:space="preserve"> PAGE  \* MERGEFORMAT </w:instrText>
                    </w:r>
                    <w:r>
                      <w:rPr>
                        <w:rFonts w:hint="eastAsia" w:asciiTheme="minorEastAsia" w:hAnsiTheme="minorEastAsia" w:eastAsiaTheme="minorEastAsia" w:cstheme="minorEastAsia"/>
                        <w:sz w:val="28"/>
                        <w:szCs w:val="44"/>
                      </w:rPr>
                      <w:fldChar w:fldCharType="separate"/>
                    </w:r>
                    <w:r>
                      <w:rPr>
                        <w:rFonts w:hint="eastAsia" w:asciiTheme="minorEastAsia" w:hAnsiTheme="minorEastAsia" w:eastAsiaTheme="minorEastAsia" w:cstheme="minorEastAsia"/>
                        <w:sz w:val="28"/>
                        <w:szCs w:val="44"/>
                      </w:rPr>
                      <w:t>- 1 -</w:t>
                    </w:r>
                    <w:r>
                      <w:rPr>
                        <w:rFonts w:hint="eastAsia" w:asciiTheme="minorEastAsia" w:hAnsiTheme="minorEastAsia" w:eastAsiaTheme="minorEastAsia" w:cstheme="minorEastAsia"/>
                        <w:sz w:val="28"/>
                        <w:szCs w:val="4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80D35FF"/>
    <w:rsid w:val="03F8652F"/>
    <w:rsid w:val="09B6D3D5"/>
    <w:rsid w:val="0B4DB879"/>
    <w:rsid w:val="0FDBA692"/>
    <w:rsid w:val="13BFB808"/>
    <w:rsid w:val="13F3570C"/>
    <w:rsid w:val="153DE9D8"/>
    <w:rsid w:val="15B5F861"/>
    <w:rsid w:val="177EF699"/>
    <w:rsid w:val="17A7E615"/>
    <w:rsid w:val="17BFC846"/>
    <w:rsid w:val="17DD43EB"/>
    <w:rsid w:val="18D2B3A2"/>
    <w:rsid w:val="19BE788C"/>
    <w:rsid w:val="1CFF5420"/>
    <w:rsid w:val="1DF1CD16"/>
    <w:rsid w:val="1DF4340B"/>
    <w:rsid w:val="1DF59469"/>
    <w:rsid w:val="1E975EDC"/>
    <w:rsid w:val="1EFD5C58"/>
    <w:rsid w:val="1F5DC803"/>
    <w:rsid w:val="1FBDFE53"/>
    <w:rsid w:val="1FEE107F"/>
    <w:rsid w:val="1FFF5D8D"/>
    <w:rsid w:val="25FDA771"/>
    <w:rsid w:val="28D416DD"/>
    <w:rsid w:val="28D66BFD"/>
    <w:rsid w:val="28EA2E0B"/>
    <w:rsid w:val="29EF06E8"/>
    <w:rsid w:val="29FF0BCB"/>
    <w:rsid w:val="2A2FEA23"/>
    <w:rsid w:val="2B3F44A8"/>
    <w:rsid w:val="2BE75CE9"/>
    <w:rsid w:val="2BF6CF52"/>
    <w:rsid w:val="2D7B1A0F"/>
    <w:rsid w:val="2DF7E755"/>
    <w:rsid w:val="2ED6B8A3"/>
    <w:rsid w:val="2EFEC417"/>
    <w:rsid w:val="2FE352D4"/>
    <w:rsid w:val="2FE3A726"/>
    <w:rsid w:val="2FF893B7"/>
    <w:rsid w:val="2FFE1C43"/>
    <w:rsid w:val="2FFFBFC4"/>
    <w:rsid w:val="2FFFE404"/>
    <w:rsid w:val="332F0AE6"/>
    <w:rsid w:val="337F45BD"/>
    <w:rsid w:val="349F9B2D"/>
    <w:rsid w:val="35BE1ED6"/>
    <w:rsid w:val="36EB78DD"/>
    <w:rsid w:val="37773D53"/>
    <w:rsid w:val="37BB4CE8"/>
    <w:rsid w:val="37BD3752"/>
    <w:rsid w:val="37D59E7B"/>
    <w:rsid w:val="37FD6ED3"/>
    <w:rsid w:val="397FFCCE"/>
    <w:rsid w:val="39BF5E3B"/>
    <w:rsid w:val="3BB6E1DB"/>
    <w:rsid w:val="3BDE2B9F"/>
    <w:rsid w:val="3BDF7CAA"/>
    <w:rsid w:val="3BE79AD2"/>
    <w:rsid w:val="3BFDC132"/>
    <w:rsid w:val="3BFE1929"/>
    <w:rsid w:val="3D7F33AB"/>
    <w:rsid w:val="3D8F38CA"/>
    <w:rsid w:val="3DE18914"/>
    <w:rsid w:val="3DE5F8F3"/>
    <w:rsid w:val="3DF6E08F"/>
    <w:rsid w:val="3DFFB4A7"/>
    <w:rsid w:val="3E7DBF34"/>
    <w:rsid w:val="3E8FD879"/>
    <w:rsid w:val="3ED7E8C4"/>
    <w:rsid w:val="3EDD0365"/>
    <w:rsid w:val="3EDEE2AE"/>
    <w:rsid w:val="3EDF1F53"/>
    <w:rsid w:val="3EED03ED"/>
    <w:rsid w:val="3EEE1336"/>
    <w:rsid w:val="3EEF2B39"/>
    <w:rsid w:val="3EF741AB"/>
    <w:rsid w:val="3F16DD54"/>
    <w:rsid w:val="3F4E249B"/>
    <w:rsid w:val="3F6F385B"/>
    <w:rsid w:val="3F76EE96"/>
    <w:rsid w:val="3F77D5E9"/>
    <w:rsid w:val="3F7EC0AF"/>
    <w:rsid w:val="3FBD4EAF"/>
    <w:rsid w:val="3FDD1FFF"/>
    <w:rsid w:val="3FDDFD26"/>
    <w:rsid w:val="3FE962C6"/>
    <w:rsid w:val="3FF5E831"/>
    <w:rsid w:val="3FF70F0B"/>
    <w:rsid w:val="3FF7D4B0"/>
    <w:rsid w:val="3FFC656B"/>
    <w:rsid w:val="3FFE7051"/>
    <w:rsid w:val="4B5EE1BB"/>
    <w:rsid w:val="4BF5BE2A"/>
    <w:rsid w:val="4BF738A6"/>
    <w:rsid w:val="4BFF9CAA"/>
    <w:rsid w:val="4DAF01DE"/>
    <w:rsid w:val="4DFFA3A3"/>
    <w:rsid w:val="4EFD7585"/>
    <w:rsid w:val="4EFDEC8A"/>
    <w:rsid w:val="4EFE369D"/>
    <w:rsid w:val="4F4F18B4"/>
    <w:rsid w:val="4F73B504"/>
    <w:rsid w:val="4F7BF046"/>
    <w:rsid w:val="4FB719F7"/>
    <w:rsid w:val="4FBD7F0C"/>
    <w:rsid w:val="4FBEB26C"/>
    <w:rsid w:val="4FF53DFB"/>
    <w:rsid w:val="4FF714F0"/>
    <w:rsid w:val="50D61CB7"/>
    <w:rsid w:val="51B5C384"/>
    <w:rsid w:val="56E9ABFE"/>
    <w:rsid w:val="577FA254"/>
    <w:rsid w:val="5798B211"/>
    <w:rsid w:val="57CF63D5"/>
    <w:rsid w:val="57E7C5BA"/>
    <w:rsid w:val="57FD763C"/>
    <w:rsid w:val="580D35FF"/>
    <w:rsid w:val="597B42DC"/>
    <w:rsid w:val="5B4DA890"/>
    <w:rsid w:val="5B5E3FEB"/>
    <w:rsid w:val="5B773C30"/>
    <w:rsid w:val="5BDFAF7E"/>
    <w:rsid w:val="5BEC30CF"/>
    <w:rsid w:val="5BEFB3FB"/>
    <w:rsid w:val="5BFD309E"/>
    <w:rsid w:val="5C7FFC7E"/>
    <w:rsid w:val="5CAF4990"/>
    <w:rsid w:val="5DD74E3F"/>
    <w:rsid w:val="5DFF2BD2"/>
    <w:rsid w:val="5DFF9304"/>
    <w:rsid w:val="5EB240CC"/>
    <w:rsid w:val="5EEF4543"/>
    <w:rsid w:val="5EFF6726"/>
    <w:rsid w:val="5F2FC528"/>
    <w:rsid w:val="5F7BA74B"/>
    <w:rsid w:val="5F7D5AB9"/>
    <w:rsid w:val="5F7F6B70"/>
    <w:rsid w:val="5F8C6EE1"/>
    <w:rsid w:val="5FBEE1B7"/>
    <w:rsid w:val="5FD7C4F1"/>
    <w:rsid w:val="5FD8C2CD"/>
    <w:rsid w:val="5FF3FA5D"/>
    <w:rsid w:val="5FFE4031"/>
    <w:rsid w:val="5FFF4905"/>
    <w:rsid w:val="5FFFAB24"/>
    <w:rsid w:val="5FFFCE8F"/>
    <w:rsid w:val="63BFA8BA"/>
    <w:rsid w:val="63FF78BB"/>
    <w:rsid w:val="65AB6172"/>
    <w:rsid w:val="65C79063"/>
    <w:rsid w:val="65EF8246"/>
    <w:rsid w:val="65FE231C"/>
    <w:rsid w:val="66B6BF23"/>
    <w:rsid w:val="66BEADE5"/>
    <w:rsid w:val="66F8F9AD"/>
    <w:rsid w:val="679F44B2"/>
    <w:rsid w:val="67C3366D"/>
    <w:rsid w:val="67CD0D53"/>
    <w:rsid w:val="67D614CC"/>
    <w:rsid w:val="67DF37BC"/>
    <w:rsid w:val="67F6437C"/>
    <w:rsid w:val="67F87B79"/>
    <w:rsid w:val="67FF8178"/>
    <w:rsid w:val="683F3F69"/>
    <w:rsid w:val="69DC0A24"/>
    <w:rsid w:val="69FF0723"/>
    <w:rsid w:val="6A757FE0"/>
    <w:rsid w:val="6AC7A812"/>
    <w:rsid w:val="6AE102C7"/>
    <w:rsid w:val="6AFC6047"/>
    <w:rsid w:val="6B71F400"/>
    <w:rsid w:val="6B7D6B42"/>
    <w:rsid w:val="6BDE9A8A"/>
    <w:rsid w:val="6BDF15CD"/>
    <w:rsid w:val="6BE91838"/>
    <w:rsid w:val="6BFFF077"/>
    <w:rsid w:val="6C4F1828"/>
    <w:rsid w:val="6C6F617C"/>
    <w:rsid w:val="6CDD0014"/>
    <w:rsid w:val="6D761C06"/>
    <w:rsid w:val="6DE770C9"/>
    <w:rsid w:val="6E3F3B74"/>
    <w:rsid w:val="6E6EBA09"/>
    <w:rsid w:val="6EC76D48"/>
    <w:rsid w:val="6ECB9022"/>
    <w:rsid w:val="6EEFF796"/>
    <w:rsid w:val="6EFBC842"/>
    <w:rsid w:val="6EFDAC88"/>
    <w:rsid w:val="6EFE2466"/>
    <w:rsid w:val="6EFE5D71"/>
    <w:rsid w:val="6EFFB281"/>
    <w:rsid w:val="6F559635"/>
    <w:rsid w:val="6F6F78FD"/>
    <w:rsid w:val="6F6FFC43"/>
    <w:rsid w:val="6F7E21E7"/>
    <w:rsid w:val="6F7E9BB9"/>
    <w:rsid w:val="6FDCACBC"/>
    <w:rsid w:val="6FDD478F"/>
    <w:rsid w:val="6FF7CB44"/>
    <w:rsid w:val="6FFB9528"/>
    <w:rsid w:val="6FFBA393"/>
    <w:rsid w:val="6FFBC062"/>
    <w:rsid w:val="6FFBC19E"/>
    <w:rsid w:val="71B3C39C"/>
    <w:rsid w:val="71C67285"/>
    <w:rsid w:val="71DA5B06"/>
    <w:rsid w:val="71DB0585"/>
    <w:rsid w:val="72D93B17"/>
    <w:rsid w:val="737F3EE6"/>
    <w:rsid w:val="73DE7A9F"/>
    <w:rsid w:val="73EF72FF"/>
    <w:rsid w:val="73EFCE1E"/>
    <w:rsid w:val="73FDCB11"/>
    <w:rsid w:val="73FFAE08"/>
    <w:rsid w:val="746F0E04"/>
    <w:rsid w:val="74ED34F4"/>
    <w:rsid w:val="757DE101"/>
    <w:rsid w:val="75BF683E"/>
    <w:rsid w:val="75C3AB6B"/>
    <w:rsid w:val="75FE3BF4"/>
    <w:rsid w:val="75FFDF7B"/>
    <w:rsid w:val="764F5391"/>
    <w:rsid w:val="76BDEC9F"/>
    <w:rsid w:val="76E3AC26"/>
    <w:rsid w:val="76F36540"/>
    <w:rsid w:val="76FD5CDC"/>
    <w:rsid w:val="771E4A80"/>
    <w:rsid w:val="776F65D7"/>
    <w:rsid w:val="779D3CCF"/>
    <w:rsid w:val="77A7D47B"/>
    <w:rsid w:val="77BAE392"/>
    <w:rsid w:val="77BD04C4"/>
    <w:rsid w:val="77BF4052"/>
    <w:rsid w:val="77D63E6B"/>
    <w:rsid w:val="77DE7706"/>
    <w:rsid w:val="77DFDCF6"/>
    <w:rsid w:val="77EEE922"/>
    <w:rsid w:val="77F3853C"/>
    <w:rsid w:val="77FAAE21"/>
    <w:rsid w:val="77FB0790"/>
    <w:rsid w:val="77FE20DD"/>
    <w:rsid w:val="77FF134C"/>
    <w:rsid w:val="77FF1DBE"/>
    <w:rsid w:val="77FF8AD3"/>
    <w:rsid w:val="77FF8D9B"/>
    <w:rsid w:val="77FFCFFE"/>
    <w:rsid w:val="78AF050D"/>
    <w:rsid w:val="78DF85B7"/>
    <w:rsid w:val="78F97E8C"/>
    <w:rsid w:val="796B6EF9"/>
    <w:rsid w:val="799743C6"/>
    <w:rsid w:val="79B64DFB"/>
    <w:rsid w:val="79F72563"/>
    <w:rsid w:val="79FBB747"/>
    <w:rsid w:val="7A7F3436"/>
    <w:rsid w:val="7A9D62C4"/>
    <w:rsid w:val="7ACFC151"/>
    <w:rsid w:val="7AFBE1FD"/>
    <w:rsid w:val="7B37155A"/>
    <w:rsid w:val="7B5AFEC5"/>
    <w:rsid w:val="7B5FCE4B"/>
    <w:rsid w:val="7B6B409C"/>
    <w:rsid w:val="7B6DC0C1"/>
    <w:rsid w:val="7B6DECE6"/>
    <w:rsid w:val="7B6FE896"/>
    <w:rsid w:val="7B7B3324"/>
    <w:rsid w:val="7B7F5D7F"/>
    <w:rsid w:val="7B9F44AA"/>
    <w:rsid w:val="7B9F56ED"/>
    <w:rsid w:val="7BBFDCF2"/>
    <w:rsid w:val="7BDF0488"/>
    <w:rsid w:val="7BEBF6CD"/>
    <w:rsid w:val="7BEFA26C"/>
    <w:rsid w:val="7BF32C45"/>
    <w:rsid w:val="7BFA4220"/>
    <w:rsid w:val="7BFB678F"/>
    <w:rsid w:val="7BFF0ED1"/>
    <w:rsid w:val="7BFF89C3"/>
    <w:rsid w:val="7BFF99D5"/>
    <w:rsid w:val="7C6EDF03"/>
    <w:rsid w:val="7C87976F"/>
    <w:rsid w:val="7CB2C599"/>
    <w:rsid w:val="7CBF133B"/>
    <w:rsid w:val="7CDDED47"/>
    <w:rsid w:val="7CF715ED"/>
    <w:rsid w:val="7CFB6CB3"/>
    <w:rsid w:val="7CFD3253"/>
    <w:rsid w:val="7D3D1C4A"/>
    <w:rsid w:val="7D7D68E6"/>
    <w:rsid w:val="7D7DC192"/>
    <w:rsid w:val="7D9B669E"/>
    <w:rsid w:val="7DBAB7D5"/>
    <w:rsid w:val="7DDE29E7"/>
    <w:rsid w:val="7DF926F2"/>
    <w:rsid w:val="7DFD9CBB"/>
    <w:rsid w:val="7DFF1190"/>
    <w:rsid w:val="7E5D3D8F"/>
    <w:rsid w:val="7E69D867"/>
    <w:rsid w:val="7E6D87E7"/>
    <w:rsid w:val="7E7142BE"/>
    <w:rsid w:val="7E778EED"/>
    <w:rsid w:val="7E7CBA9F"/>
    <w:rsid w:val="7E7DF421"/>
    <w:rsid w:val="7E7F4BFA"/>
    <w:rsid w:val="7E9DD492"/>
    <w:rsid w:val="7EB34111"/>
    <w:rsid w:val="7EB72ED1"/>
    <w:rsid w:val="7EBF3B67"/>
    <w:rsid w:val="7EDB6110"/>
    <w:rsid w:val="7EE38082"/>
    <w:rsid w:val="7EFD2BB5"/>
    <w:rsid w:val="7EFD8B51"/>
    <w:rsid w:val="7EFFC6FA"/>
    <w:rsid w:val="7EFFD207"/>
    <w:rsid w:val="7F3B92E9"/>
    <w:rsid w:val="7F3F0B30"/>
    <w:rsid w:val="7F4E9518"/>
    <w:rsid w:val="7F4F30F5"/>
    <w:rsid w:val="7F4FD433"/>
    <w:rsid w:val="7F5CE558"/>
    <w:rsid w:val="7F7B5F81"/>
    <w:rsid w:val="7F7D27FD"/>
    <w:rsid w:val="7F7E6576"/>
    <w:rsid w:val="7F7FF9EF"/>
    <w:rsid w:val="7F861607"/>
    <w:rsid w:val="7F8F6F85"/>
    <w:rsid w:val="7F97F2AB"/>
    <w:rsid w:val="7F9C6423"/>
    <w:rsid w:val="7F9FB2A2"/>
    <w:rsid w:val="7FAE3426"/>
    <w:rsid w:val="7FBB6A30"/>
    <w:rsid w:val="7FBC5565"/>
    <w:rsid w:val="7FBE1540"/>
    <w:rsid w:val="7FBE5DB2"/>
    <w:rsid w:val="7FCE569C"/>
    <w:rsid w:val="7FCF82DB"/>
    <w:rsid w:val="7FD31AD3"/>
    <w:rsid w:val="7FD5603E"/>
    <w:rsid w:val="7FD9CC76"/>
    <w:rsid w:val="7FDE5F48"/>
    <w:rsid w:val="7FDEBE64"/>
    <w:rsid w:val="7FDF1DC4"/>
    <w:rsid w:val="7FDF72A8"/>
    <w:rsid w:val="7FDFF4DC"/>
    <w:rsid w:val="7FE74740"/>
    <w:rsid w:val="7FE7712A"/>
    <w:rsid w:val="7FEB5842"/>
    <w:rsid w:val="7FEE242F"/>
    <w:rsid w:val="7FF54B34"/>
    <w:rsid w:val="7FF728F8"/>
    <w:rsid w:val="7FFACC53"/>
    <w:rsid w:val="7FFB19DB"/>
    <w:rsid w:val="7FFD258F"/>
    <w:rsid w:val="7FFD9A7A"/>
    <w:rsid w:val="7FFF27F3"/>
    <w:rsid w:val="7FFF56B7"/>
    <w:rsid w:val="7FFF7BC0"/>
    <w:rsid w:val="7FFFB344"/>
    <w:rsid w:val="93FE1A4B"/>
    <w:rsid w:val="95AF1681"/>
    <w:rsid w:val="95DD2252"/>
    <w:rsid w:val="96BE732D"/>
    <w:rsid w:val="975E2904"/>
    <w:rsid w:val="979EE7B2"/>
    <w:rsid w:val="97EA597C"/>
    <w:rsid w:val="9AFD7EAE"/>
    <w:rsid w:val="9BE4D28B"/>
    <w:rsid w:val="9C2BC698"/>
    <w:rsid w:val="9DDFB1A4"/>
    <w:rsid w:val="9DFF8225"/>
    <w:rsid w:val="9F5BCA96"/>
    <w:rsid w:val="9FBA9F23"/>
    <w:rsid w:val="9FDF6248"/>
    <w:rsid w:val="9FF31426"/>
    <w:rsid w:val="A3FDF67B"/>
    <w:rsid w:val="A5FDEF8C"/>
    <w:rsid w:val="A7792EAD"/>
    <w:rsid w:val="AAEDE3BF"/>
    <w:rsid w:val="AAFB29CD"/>
    <w:rsid w:val="AAFF5AB3"/>
    <w:rsid w:val="ABFABA88"/>
    <w:rsid w:val="ADB347D7"/>
    <w:rsid w:val="ADEDC39D"/>
    <w:rsid w:val="AEFF1A18"/>
    <w:rsid w:val="AF0C3A22"/>
    <w:rsid w:val="AF89ADF0"/>
    <w:rsid w:val="AFCED7B6"/>
    <w:rsid w:val="AFE88D0D"/>
    <w:rsid w:val="AFF8C076"/>
    <w:rsid w:val="AFFF8F38"/>
    <w:rsid w:val="B24D0876"/>
    <w:rsid w:val="B3FA8C69"/>
    <w:rsid w:val="B5679CAF"/>
    <w:rsid w:val="B5D50BBF"/>
    <w:rsid w:val="B5F74B42"/>
    <w:rsid w:val="B7AF46E5"/>
    <w:rsid w:val="B9FBA668"/>
    <w:rsid w:val="BA071A26"/>
    <w:rsid w:val="BA6D63F5"/>
    <w:rsid w:val="BAD2A3EE"/>
    <w:rsid w:val="BAED0AB8"/>
    <w:rsid w:val="BB5FA89E"/>
    <w:rsid w:val="BB7D9861"/>
    <w:rsid w:val="BBB788F4"/>
    <w:rsid w:val="BBDF0119"/>
    <w:rsid w:val="BBF33757"/>
    <w:rsid w:val="BBF35B11"/>
    <w:rsid w:val="BBF782BB"/>
    <w:rsid w:val="BBFFEBB5"/>
    <w:rsid w:val="BDE86D56"/>
    <w:rsid w:val="BDF31E5C"/>
    <w:rsid w:val="BDF3DE00"/>
    <w:rsid w:val="BDF3DF24"/>
    <w:rsid w:val="BE7E6B81"/>
    <w:rsid w:val="BEF6AB97"/>
    <w:rsid w:val="BEFBCA14"/>
    <w:rsid w:val="BEFFB8AA"/>
    <w:rsid w:val="BF3D92F4"/>
    <w:rsid w:val="BF72C118"/>
    <w:rsid w:val="BF7F3158"/>
    <w:rsid w:val="BFEF2164"/>
    <w:rsid w:val="BFF288A8"/>
    <w:rsid w:val="BFF7C46E"/>
    <w:rsid w:val="BFFF6C71"/>
    <w:rsid w:val="BFFFAA28"/>
    <w:rsid w:val="C7DC5E10"/>
    <w:rsid w:val="CCB21B5A"/>
    <w:rsid w:val="CD3770B2"/>
    <w:rsid w:val="CDA7B088"/>
    <w:rsid w:val="CDBB6A90"/>
    <w:rsid w:val="CDCD3BCF"/>
    <w:rsid w:val="CDF117F1"/>
    <w:rsid w:val="CE35710E"/>
    <w:rsid w:val="CE655A82"/>
    <w:rsid w:val="CEAFD439"/>
    <w:rsid w:val="CEDF0330"/>
    <w:rsid w:val="CEE5CDB2"/>
    <w:rsid w:val="CEF8EBD9"/>
    <w:rsid w:val="CFBA943A"/>
    <w:rsid w:val="CFD7E2DC"/>
    <w:rsid w:val="D13D20B0"/>
    <w:rsid w:val="D1BFCEB2"/>
    <w:rsid w:val="D1FFEAD8"/>
    <w:rsid w:val="D3677C00"/>
    <w:rsid w:val="D376A282"/>
    <w:rsid w:val="D377B4A7"/>
    <w:rsid w:val="D3D66018"/>
    <w:rsid w:val="D5F77290"/>
    <w:rsid w:val="D5FD0C22"/>
    <w:rsid w:val="D7BE0006"/>
    <w:rsid w:val="D7D3D865"/>
    <w:rsid w:val="D7D4404D"/>
    <w:rsid w:val="D7DF4418"/>
    <w:rsid w:val="D7EA9C3E"/>
    <w:rsid w:val="D8F772AE"/>
    <w:rsid w:val="D8FDAB38"/>
    <w:rsid w:val="D933F32B"/>
    <w:rsid w:val="D953DA51"/>
    <w:rsid w:val="D9FC90C0"/>
    <w:rsid w:val="DA7FAA28"/>
    <w:rsid w:val="DA7FF615"/>
    <w:rsid w:val="DAFB8EC0"/>
    <w:rsid w:val="DB679C5A"/>
    <w:rsid w:val="DB933CD2"/>
    <w:rsid w:val="DBDB1E0D"/>
    <w:rsid w:val="DBFB69E0"/>
    <w:rsid w:val="DCBF239C"/>
    <w:rsid w:val="DD3F25A6"/>
    <w:rsid w:val="DDCB797B"/>
    <w:rsid w:val="DDD9984B"/>
    <w:rsid w:val="DE9B6801"/>
    <w:rsid w:val="DEE55EC7"/>
    <w:rsid w:val="DEFB1B27"/>
    <w:rsid w:val="DF1F77AA"/>
    <w:rsid w:val="DF6AE06A"/>
    <w:rsid w:val="DF6FB9BA"/>
    <w:rsid w:val="DF8F5C30"/>
    <w:rsid w:val="DF907F6C"/>
    <w:rsid w:val="DF97F684"/>
    <w:rsid w:val="DF9F9AFB"/>
    <w:rsid w:val="DFB77B6E"/>
    <w:rsid w:val="DFBF3A4E"/>
    <w:rsid w:val="DFCD95A5"/>
    <w:rsid w:val="DFE0E6B5"/>
    <w:rsid w:val="DFFB15EC"/>
    <w:rsid w:val="DFFF1F74"/>
    <w:rsid w:val="E17156F6"/>
    <w:rsid w:val="E3A5FB50"/>
    <w:rsid w:val="E3C5D380"/>
    <w:rsid w:val="E4FE2284"/>
    <w:rsid w:val="E69F5BDC"/>
    <w:rsid w:val="E73F33A3"/>
    <w:rsid w:val="E79F119C"/>
    <w:rsid w:val="E7BD5FE6"/>
    <w:rsid w:val="E87B75EE"/>
    <w:rsid w:val="E8F3777D"/>
    <w:rsid w:val="E9279C43"/>
    <w:rsid w:val="E9BF10BB"/>
    <w:rsid w:val="EA2B58B4"/>
    <w:rsid w:val="EABD9BDB"/>
    <w:rsid w:val="EAE72E8B"/>
    <w:rsid w:val="EB3FD661"/>
    <w:rsid w:val="EB60D1A4"/>
    <w:rsid w:val="EB7F224E"/>
    <w:rsid w:val="EBABC85C"/>
    <w:rsid w:val="EBD2940A"/>
    <w:rsid w:val="EBDB9508"/>
    <w:rsid w:val="EBEAB85B"/>
    <w:rsid w:val="EBFF2F47"/>
    <w:rsid w:val="ED4EC16F"/>
    <w:rsid w:val="ED68BC9C"/>
    <w:rsid w:val="ED79B61E"/>
    <w:rsid w:val="ED9B1E76"/>
    <w:rsid w:val="EDD71F47"/>
    <w:rsid w:val="EDF41F45"/>
    <w:rsid w:val="EDF644DC"/>
    <w:rsid w:val="EDFB8B46"/>
    <w:rsid w:val="EDFDCA62"/>
    <w:rsid w:val="EDFEACEB"/>
    <w:rsid w:val="EDFF1167"/>
    <w:rsid w:val="EE5BDB7D"/>
    <w:rsid w:val="EE77DE93"/>
    <w:rsid w:val="EE7FA117"/>
    <w:rsid w:val="EEDD0956"/>
    <w:rsid w:val="EEFF0B96"/>
    <w:rsid w:val="EEFF6976"/>
    <w:rsid w:val="EF5EEE1C"/>
    <w:rsid w:val="EF73E1FB"/>
    <w:rsid w:val="EF7B1E88"/>
    <w:rsid w:val="EF7DD3AB"/>
    <w:rsid w:val="EF7F163F"/>
    <w:rsid w:val="EF9D8535"/>
    <w:rsid w:val="EFAF60C2"/>
    <w:rsid w:val="EFAF86C6"/>
    <w:rsid w:val="EFB70F32"/>
    <w:rsid w:val="EFBF6948"/>
    <w:rsid w:val="EFF7CEA2"/>
    <w:rsid w:val="EFFF1BD1"/>
    <w:rsid w:val="EFFFF3DF"/>
    <w:rsid w:val="F379E740"/>
    <w:rsid w:val="F3EE03B9"/>
    <w:rsid w:val="F3EFB106"/>
    <w:rsid w:val="F47F0547"/>
    <w:rsid w:val="F57DDA82"/>
    <w:rsid w:val="F5B22B3A"/>
    <w:rsid w:val="F5C7C258"/>
    <w:rsid w:val="F5F764D8"/>
    <w:rsid w:val="F5FA01FF"/>
    <w:rsid w:val="F696D3A5"/>
    <w:rsid w:val="F6BF324E"/>
    <w:rsid w:val="F6F23BA0"/>
    <w:rsid w:val="F6F3BF74"/>
    <w:rsid w:val="F6FF043B"/>
    <w:rsid w:val="F6FF8B67"/>
    <w:rsid w:val="F77BCE91"/>
    <w:rsid w:val="F79A9EAF"/>
    <w:rsid w:val="F79C5566"/>
    <w:rsid w:val="F7AB5F17"/>
    <w:rsid w:val="F7BE3E94"/>
    <w:rsid w:val="F7D2D8B3"/>
    <w:rsid w:val="F7D3089B"/>
    <w:rsid w:val="F7DF09E8"/>
    <w:rsid w:val="F7ED0380"/>
    <w:rsid w:val="F7EF394F"/>
    <w:rsid w:val="F7EF98DA"/>
    <w:rsid w:val="F7FB2828"/>
    <w:rsid w:val="F7FB3090"/>
    <w:rsid w:val="F7FDD044"/>
    <w:rsid w:val="F7FE33CB"/>
    <w:rsid w:val="F7FE435C"/>
    <w:rsid w:val="F8CF5239"/>
    <w:rsid w:val="F8FEA01A"/>
    <w:rsid w:val="F9A51466"/>
    <w:rsid w:val="F9B695B9"/>
    <w:rsid w:val="F9BECB40"/>
    <w:rsid w:val="F9BFF6D6"/>
    <w:rsid w:val="F9F70E19"/>
    <w:rsid w:val="F9FDD688"/>
    <w:rsid w:val="F9FF379B"/>
    <w:rsid w:val="FA9F08BA"/>
    <w:rsid w:val="FADF3C1C"/>
    <w:rsid w:val="FAE9F9ED"/>
    <w:rsid w:val="FAEF143C"/>
    <w:rsid w:val="FAFADFAC"/>
    <w:rsid w:val="FB4C9EFA"/>
    <w:rsid w:val="FB671E21"/>
    <w:rsid w:val="FB6ADC66"/>
    <w:rsid w:val="FB7FA775"/>
    <w:rsid w:val="FB7FDC5A"/>
    <w:rsid w:val="FBB37767"/>
    <w:rsid w:val="FBB3F1AB"/>
    <w:rsid w:val="FBBDE068"/>
    <w:rsid w:val="FBC7EB53"/>
    <w:rsid w:val="FBD92EAF"/>
    <w:rsid w:val="FBE74D77"/>
    <w:rsid w:val="FBEDBAD1"/>
    <w:rsid w:val="FBF5966F"/>
    <w:rsid w:val="FBF7B93C"/>
    <w:rsid w:val="FBFBCF2D"/>
    <w:rsid w:val="FBFDB6C9"/>
    <w:rsid w:val="FBFDC151"/>
    <w:rsid w:val="FBFF3800"/>
    <w:rsid w:val="FC5F23E5"/>
    <w:rsid w:val="FCFE611F"/>
    <w:rsid w:val="FCFFA031"/>
    <w:rsid w:val="FCFFA634"/>
    <w:rsid w:val="FCFFD0E4"/>
    <w:rsid w:val="FD7101E0"/>
    <w:rsid w:val="FD7FBCC8"/>
    <w:rsid w:val="FD99F1C6"/>
    <w:rsid w:val="FD9BCE42"/>
    <w:rsid w:val="FDA7DB55"/>
    <w:rsid w:val="FDAF2FD5"/>
    <w:rsid w:val="FDCF090D"/>
    <w:rsid w:val="FDF30BD6"/>
    <w:rsid w:val="FDF599E1"/>
    <w:rsid w:val="FDF62E9D"/>
    <w:rsid w:val="FDF770BE"/>
    <w:rsid w:val="FDFF51B5"/>
    <w:rsid w:val="FDFFD6F8"/>
    <w:rsid w:val="FDFFE6B7"/>
    <w:rsid w:val="FDFFEB6A"/>
    <w:rsid w:val="FE670573"/>
    <w:rsid w:val="FE7F4309"/>
    <w:rsid w:val="FEAFCD09"/>
    <w:rsid w:val="FEB6B1BC"/>
    <w:rsid w:val="FEB79C92"/>
    <w:rsid w:val="FEB7B2A2"/>
    <w:rsid w:val="FEC26B02"/>
    <w:rsid w:val="FEDB6BE5"/>
    <w:rsid w:val="FEDEB825"/>
    <w:rsid w:val="FEDF265D"/>
    <w:rsid w:val="FEEB1939"/>
    <w:rsid w:val="FEF8B8B0"/>
    <w:rsid w:val="FEFB57D6"/>
    <w:rsid w:val="FEFBB701"/>
    <w:rsid w:val="FEFD3504"/>
    <w:rsid w:val="FEFDB485"/>
    <w:rsid w:val="FEFDD987"/>
    <w:rsid w:val="FF0D165A"/>
    <w:rsid w:val="FF1F60C4"/>
    <w:rsid w:val="FF3B4A61"/>
    <w:rsid w:val="FF3B6B63"/>
    <w:rsid w:val="FF5295CF"/>
    <w:rsid w:val="FF75A6F2"/>
    <w:rsid w:val="FF77ABDA"/>
    <w:rsid w:val="FF7AB4DE"/>
    <w:rsid w:val="FF7B5C99"/>
    <w:rsid w:val="FF7BB2E6"/>
    <w:rsid w:val="FF7BFD9A"/>
    <w:rsid w:val="FF7EAF2A"/>
    <w:rsid w:val="FF7F92E7"/>
    <w:rsid w:val="FF8FC4FF"/>
    <w:rsid w:val="FF9DD091"/>
    <w:rsid w:val="FF9FEA4C"/>
    <w:rsid w:val="FFAF616F"/>
    <w:rsid w:val="FFB285FB"/>
    <w:rsid w:val="FFB5135D"/>
    <w:rsid w:val="FFB7CF63"/>
    <w:rsid w:val="FFBDFE9F"/>
    <w:rsid w:val="FFBEC07C"/>
    <w:rsid w:val="FFBEDF66"/>
    <w:rsid w:val="FFBF4A2A"/>
    <w:rsid w:val="FFBF50F0"/>
    <w:rsid w:val="FFBFAEC3"/>
    <w:rsid w:val="FFCFA392"/>
    <w:rsid w:val="FFD51BEF"/>
    <w:rsid w:val="FFD5E541"/>
    <w:rsid w:val="FFDB32A0"/>
    <w:rsid w:val="FFDB34D5"/>
    <w:rsid w:val="FFDB693A"/>
    <w:rsid w:val="FFE74A19"/>
    <w:rsid w:val="FFED2E59"/>
    <w:rsid w:val="FFED55C2"/>
    <w:rsid w:val="FFEEF1A5"/>
    <w:rsid w:val="FFEF7706"/>
    <w:rsid w:val="FFEFFAA4"/>
    <w:rsid w:val="FFF6A8EB"/>
    <w:rsid w:val="FFF6B163"/>
    <w:rsid w:val="FFF72185"/>
    <w:rsid w:val="FFF7BA94"/>
    <w:rsid w:val="FFFA2AD2"/>
    <w:rsid w:val="FFFA7B47"/>
    <w:rsid w:val="FFFB31C2"/>
    <w:rsid w:val="FFFB3440"/>
    <w:rsid w:val="FFFBDD3D"/>
    <w:rsid w:val="FFFF5D95"/>
    <w:rsid w:val="FFFF84F6"/>
    <w:rsid w:val="FFFF8688"/>
    <w:rsid w:val="FFFFE8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qFormat/>
    <w:uiPriority w:val="0"/>
    <w:pPr>
      <w:keepNext/>
      <w:keepLines/>
      <w:spacing w:beforeLines="0" w:beforeAutospacing="0" w:afterLines="0" w:afterAutospacing="0" w:line="576" w:lineRule="exact"/>
      <w:jc w:val="center"/>
      <w:outlineLvl w:val="0"/>
    </w:pPr>
    <w:rPr>
      <w:rFonts w:eastAsia="方正小标宋简体" w:asciiTheme="minorAscii" w:hAnsiTheme="minorAscii"/>
      <w:b/>
      <w:kern w:val="44"/>
      <w:sz w:val="44"/>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widowControl/>
      <w:spacing w:after="0" w:line="540" w:lineRule="exact"/>
      <w:ind w:left="0" w:firstLine="200" w:firstLineChars="200"/>
      <w:jc w:val="both"/>
      <w:textAlignment w:val="baseline"/>
    </w:pPr>
    <w:rPr>
      <w:rFonts w:ascii="Calibri" w:hAnsi="Calibri" w:eastAsia="仿宋_GB2312" w:cs="Times New Roman"/>
      <w:color w:val="000000"/>
      <w:kern w:val="0"/>
      <w:sz w:val="32"/>
      <w:szCs w:val="20"/>
      <w:lang w:val="en-US" w:eastAsia="zh-CN" w:bidi="ar-SA"/>
    </w:rPr>
  </w:style>
  <w:style w:type="paragraph" w:styleId="3">
    <w:name w:val="Body Text Indent"/>
    <w:basedOn w:val="1"/>
    <w:next w:val="2"/>
    <w:qFormat/>
    <w:uiPriority w:val="0"/>
    <w:pPr>
      <w:ind w:firstLine="200" w:firstLineChars="200"/>
    </w:pPr>
    <w:rPr>
      <w:rFonts w:ascii="华文细黑" w:eastAsia="华文细黑"/>
      <w:b/>
      <w:sz w:val="32"/>
    </w:rPr>
  </w:style>
  <w:style w:type="paragraph" w:styleId="5">
    <w:name w:val="Body Text"/>
    <w:basedOn w:val="1"/>
    <w:next w:val="1"/>
    <w:qFormat/>
    <w:uiPriority w:val="99"/>
    <w:pPr>
      <w:spacing w:beforeLines="30"/>
    </w:pPr>
    <w:rPr>
      <w:rFonts w:ascii="仿宋_GB2312" w:eastAsia="仿宋_GB2312"/>
      <w:kern w:val="0"/>
      <w:sz w:val="24"/>
      <w:szCs w:val="20"/>
    </w:rPr>
  </w:style>
  <w:style w:type="paragraph" w:styleId="6">
    <w:name w:val="footer"/>
    <w:basedOn w:val="1"/>
    <w:qFormat/>
    <w:uiPriority w:val="0"/>
    <w:pPr>
      <w:widowControl w:val="0"/>
      <w:tabs>
        <w:tab w:val="center" w:pos="4153"/>
        <w:tab w:val="right" w:pos="8306"/>
      </w:tabs>
      <w:snapToGrid w:val="0"/>
      <w:spacing w:line="560" w:lineRule="exact"/>
      <w:ind w:firstLine="200" w:firstLineChars="200"/>
      <w:jc w:val="left"/>
    </w:pPr>
    <w:rPr>
      <w:rFonts w:ascii="Calibri" w:hAnsi="Calibri" w:eastAsia="仿宋_GB2312" w:cs="Times New Roman"/>
      <w:kern w:val="2"/>
      <w:sz w:val="18"/>
      <w:szCs w:val="24"/>
      <w:lang w:val="en-US" w:eastAsia="zh-CN" w:bidi="ar-SA"/>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able of figures"/>
    <w:basedOn w:val="1"/>
    <w:next w:val="1"/>
    <w:qFormat/>
    <w:uiPriority w:val="0"/>
    <w:pPr>
      <w:spacing w:before="100" w:beforeAutospacing="1" w:after="100" w:afterAutospacing="1"/>
      <w:ind w:left="400" w:leftChars="200" w:hanging="200" w:hangingChars="200"/>
    </w:pPr>
    <w:rPr>
      <w:kern w:val="0"/>
      <w:sz w:val="20"/>
      <w:szCs w:val="21"/>
    </w:rPr>
  </w:style>
  <w:style w:type="paragraph" w:styleId="9">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2">
    <w:name w:val="Strong"/>
    <w:basedOn w:val="11"/>
    <w:qFormat/>
    <w:uiPriority w:val="0"/>
    <w:rPr>
      <w:b/>
    </w:rPr>
  </w:style>
  <w:style w:type="paragraph" w:customStyle="1" w:styleId="13">
    <w:name w:val="Body Text First Indent 21"/>
    <w:basedOn w:val="3"/>
    <w:next w:val="1"/>
    <w:qFormat/>
    <w:uiPriority w:val="0"/>
    <w:pPr>
      <w:ind w:firstLine="420"/>
    </w:pPr>
    <w:rPr>
      <w:rFonts w:eastAsia="宋体"/>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Office_11.8.2.1111_F1E327BC-269C-435d-A152-05C5408002CA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2021-06-05T02:11:00Z</dcterms:created>
  <dc:creator>大空翼</dc:creator>
  <cp:lastModifiedBy>user</cp:lastModifiedBy>
  <cp:lastPrinted>2023-09-25T01:28:00Z</cp:lastPrinted>
  <dcterms:modified xsi:type="dcterms:W3CDTF">2025-02-21T14:42:16Z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2052-11.8.2.1111</vt:lpwstr>
  </property>
  <property fmtid="{D5CDD505-2E9C-101B-9397-08002B2CF9AE}" pid="3" name="ICV">
    <vt:lpwstr>6BC0DC726410087AAF81BB635E73786F</vt:lpwstr>
  </property>
</Properties>
</file>