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0"/>
          <w:szCs w:val="40"/>
          <w:lang w:bidi="ar-SA"/>
        </w:rPr>
      </w:pPr>
      <w:r>
        <w:rPr>
          <w:rFonts w:hint="default" w:ascii="Times New Roman" w:hAnsi="Times New Roman" w:eastAsia="方正小标宋简体" w:cs="Times New Roman"/>
          <w:sz w:val="40"/>
          <w:szCs w:val="40"/>
          <w:lang w:eastAsia="zh-CN" w:bidi="ar-SA"/>
        </w:rPr>
        <w:pict>
          <v:shape id="_x0000_s1026" o:spid="_x0000_s1026" o:spt="136" type="#_x0000_t136" style="position:absolute;left:0pt;margin-left:1.35pt;margin-top:0.5pt;height:77.95pt;width:441.85pt;z-index:251659264;mso-width-relative:page;mso-height-relative:page;" fillcolor="#FF0000" filled="t" stroked="t" coordsize="21600,21600" adj="10800">
            <v:path/>
            <v:fill on="t" focussize="0,0"/>
            <v:stroke weight="1.5pt" color="#FF0000"/>
            <v:imagedata o:title=""/>
            <o:lock v:ext="edit"/>
            <v:textpath on="t" fitshape="t" fitpath="t" trim="t" xscale="f" string="阿坝藏族羌族自治州公务服务中心文件" style="font-family:方正小标宋简体;font-size:36pt;v-rotate-letters:f;v-same-letter-heights:f;v-text-align:center;"/>
          </v:shape>
        </w:pic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0"/>
          <w:szCs w:val="40"/>
          <w:lang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_GBK" w:cs="Times New Roman"/>
          <w:sz w:val="44"/>
          <w:szCs w:val="44"/>
        </w:rPr>
      </w:pPr>
      <w:r>
        <w:rPr>
          <w:rFonts w:hint="default" w:ascii="Times New Roman" w:hAnsi="Times New Roman" w:eastAsia="方正小标宋简体" w:cs="Times New Roman"/>
          <w:sz w:val="40"/>
          <w:szCs w:val="40"/>
          <w:lang w:eastAsia="zh-CN" w:bidi="ar-SA"/>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66040</wp:posOffset>
                </wp:positionV>
                <wp:extent cx="5628005" cy="635"/>
                <wp:effectExtent l="0" t="0" r="0" b="0"/>
                <wp:wrapNone/>
                <wp:docPr id="4" name="直接连接符 4"/>
                <wp:cNvGraphicFramePr/>
                <a:graphic xmlns:a="http://schemas.openxmlformats.org/drawingml/2006/main">
                  <a:graphicData uri="http://schemas.microsoft.com/office/word/2010/wordprocessingShape">
                    <wps:wsp>
                      <wps:cNvSpPr/>
                      <wps:spPr>
                        <a:xfrm>
                          <a:off x="0" y="0"/>
                          <a:ext cx="5628005" cy="635"/>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45pt;margin-top:5.2pt;height:0.05pt;width:443.15pt;z-index:251658240;mso-width-relative:page;mso-height-relative:page;" filled="f" stroked="t" coordsize="21600,21600" o:gfxdata="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IqI3ZrVAAAABgEAAA8AAAAAAAAAAQAgAAAAOAAAAGRycy9kb3ducmV2LnhtbFBLAQIU&#10;ABQAAAAIAIdO4kDRrJ5u4AEAAJwDAAAOAAAAAAAAAAEAIAAAADoBAABkcnMvZTJvRG9jLnhtbFBL&#10;BQYAAAAABgAGAFkBAACMBQAAAAA=&#10;">
                <v:fill on="f" focussize="0,0"/>
                <v:stroke weight="1.5pt" color="#FF0000" joinstyle="round"/>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lang w:val="en-US" w:eastAsia="zh-CN"/>
        </w:rPr>
      </w:pPr>
      <w:r>
        <w:rPr>
          <w:rFonts w:hint="eastAsia"/>
          <w:lang w:val="en-US" w:eastAsia="zh-CN"/>
        </w:rPr>
        <w:t>阿坝州公务服务中心</w:t>
      </w:r>
    </w:p>
    <w:p>
      <w:pPr>
        <w:pStyle w:val="4"/>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lang w:val="en-US" w:eastAsia="zh-CN"/>
        </w:rPr>
      </w:pPr>
      <w:r>
        <w:rPr>
          <w:rFonts w:hint="eastAsia"/>
          <w:lang w:val="en-US" w:eastAsia="zh-CN"/>
        </w:rPr>
        <w:t>州庆后勤保障经费绩效评价报告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黑体" w:hAnsi="宋体" w:eastAsia="黑体"/>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黑体" w:hAnsi="宋体" w:eastAsia="黑体"/>
          <w:highlight w:val="none"/>
          <w:lang w:val="zh-CN"/>
        </w:rPr>
      </w:pPr>
      <w:bookmarkStart w:id="1" w:name="_GoBack"/>
      <w:bookmarkEnd w:id="1"/>
      <w:r>
        <w:rPr>
          <w:rFonts w:hint="eastAsia" w:ascii="黑体" w:hAnsi="宋体" w:eastAsia="黑体"/>
          <w:highlight w:val="none"/>
          <w:lang w:val="en-US" w:eastAsia="zh-CN"/>
        </w:rPr>
        <w:t>一、</w:t>
      </w:r>
      <w:r>
        <w:rPr>
          <w:rFonts w:hint="eastAsia" w:ascii="黑体" w:hAnsi="宋体" w:eastAsia="黑体"/>
          <w:highlight w:val="none"/>
          <w:lang w:val="zh-CN"/>
        </w:rPr>
        <w:t>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bCs w:val="0"/>
          <w:color w:val="auto"/>
          <w:sz w:val="32"/>
          <w:szCs w:val="32"/>
          <w:highlight w:val="none"/>
          <w:u w:val="none"/>
          <w:lang w:val="zh-CN"/>
        </w:rPr>
        <w:t>（一）设立背景及基本情况。</w:t>
      </w:r>
      <w:r>
        <w:rPr>
          <w:rFonts w:hint="eastAsia" w:ascii="仿宋_GB2312" w:hAnsi="宋体" w:eastAsia="仿宋_GB2312" w:cs="Times New Roman"/>
          <w:b w:val="0"/>
          <w:bCs w:val="0"/>
          <w:sz w:val="32"/>
          <w:szCs w:val="32"/>
          <w:lang w:eastAsia="zh-CN"/>
        </w:rPr>
        <w:t>为确保建州70周年各项庆祝活动有力有序开展，做好后勤保障工作，</w:t>
      </w:r>
      <w:r>
        <w:rPr>
          <w:rFonts w:hint="eastAsia" w:ascii="仿宋_GB2312" w:hAnsi="宋体" w:cs="Times New Roman"/>
          <w:b w:val="0"/>
          <w:bCs w:val="0"/>
          <w:sz w:val="32"/>
          <w:szCs w:val="32"/>
          <w:lang w:eastAsia="zh-CN"/>
        </w:rPr>
        <w:t>我中心派专人到凉山州实地调研并咨询甘孜州州庆活动后勤保障预算经费相关事宜，结合阿坝州实际情况预算州庆后勤保障经费。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jc w:val="both"/>
        <w:textAlignment w:val="auto"/>
        <w:rPr>
          <w:rFonts w:hint="default" w:ascii="仿宋_GB2312" w:hAnsi="宋体" w:cs="Times New Roman"/>
          <w:b w:val="0"/>
          <w:bCs w:val="0"/>
          <w:sz w:val="32"/>
          <w:szCs w:val="32"/>
          <w:lang w:val="en-US" w:eastAsia="zh-CN"/>
        </w:rPr>
      </w:pPr>
      <w:r>
        <w:rPr>
          <w:rFonts w:hint="eastAsia" w:ascii="楷体_GB2312" w:hAnsi="宋体" w:eastAsia="楷体_GB2312"/>
          <w:b/>
          <w:bCs w:val="0"/>
          <w:color w:val="auto"/>
          <w:sz w:val="32"/>
          <w:szCs w:val="32"/>
          <w:highlight w:val="none"/>
          <w:u w:val="none"/>
          <w:lang w:val="en-US" w:eastAsia="zh-CN"/>
        </w:rPr>
        <w:t>（二）</w:t>
      </w:r>
      <w:r>
        <w:rPr>
          <w:rFonts w:hint="default" w:ascii="楷体_GB2312" w:hAnsi="宋体" w:eastAsia="楷体_GB2312"/>
          <w:b/>
          <w:bCs w:val="0"/>
          <w:color w:val="auto"/>
          <w:sz w:val="32"/>
          <w:szCs w:val="32"/>
          <w:highlight w:val="none"/>
          <w:u w:val="none"/>
          <w:lang w:val="en-US" w:eastAsia="zh-CN"/>
        </w:rPr>
        <w:t>实施目的及支持方向</w:t>
      </w:r>
      <w:r>
        <w:rPr>
          <w:rFonts w:hint="eastAsia" w:ascii="楷体_GB2312" w:hAnsi="宋体" w:eastAsia="楷体_GB2312"/>
          <w:b/>
          <w:bCs w:val="0"/>
          <w:color w:val="auto"/>
          <w:sz w:val="32"/>
          <w:szCs w:val="32"/>
          <w:highlight w:val="none"/>
          <w:u w:val="none"/>
          <w:lang w:val="en-US" w:eastAsia="zh-CN"/>
        </w:rPr>
        <w:t>。</w:t>
      </w:r>
      <w:r>
        <w:rPr>
          <w:rFonts w:hint="eastAsia" w:ascii="仿宋_GB2312" w:hAnsi="宋体" w:cs="Times New Roman"/>
          <w:b w:val="0"/>
          <w:bCs w:val="0"/>
          <w:sz w:val="32"/>
          <w:szCs w:val="32"/>
          <w:lang w:eastAsia="zh-CN"/>
        </w:rPr>
        <w:t>充</w:t>
      </w:r>
      <w:r>
        <w:rPr>
          <w:rFonts w:hint="eastAsia" w:ascii="仿宋_GB2312" w:hAnsi="宋体" w:cs="Times New Roman"/>
          <w:b w:val="0"/>
          <w:bCs w:val="0"/>
          <w:sz w:val="32"/>
          <w:szCs w:val="32"/>
          <w:highlight w:val="none"/>
          <w:lang w:eastAsia="zh-CN"/>
        </w:rPr>
        <w:t>分展示</w:t>
      </w:r>
      <w:r>
        <w:rPr>
          <w:rFonts w:hint="eastAsia" w:ascii="仿宋_GB2312" w:hAnsi="宋体" w:cs="Times New Roman"/>
          <w:b w:val="0"/>
          <w:bCs w:val="0"/>
          <w:sz w:val="32"/>
          <w:szCs w:val="32"/>
          <w:highlight w:val="none"/>
          <w:lang w:val="en-US" w:eastAsia="zh-CN"/>
        </w:rPr>
        <w:t>阿坝</w:t>
      </w:r>
      <w:r>
        <w:rPr>
          <w:rFonts w:hint="eastAsia" w:ascii="仿宋_GB2312" w:hAnsi="宋体" w:cs="Times New Roman"/>
          <w:b w:val="0"/>
          <w:bCs w:val="0"/>
          <w:sz w:val="32"/>
          <w:szCs w:val="32"/>
          <w:lang w:val="en-US" w:eastAsia="zh-CN"/>
        </w:rPr>
        <w:t>州建州以来经济社会发展的艰辛历程，各族群众在党的领导下团结、拼搏、奋发图强，取得的来之不易的成绩，充分展现阿坝儿女豪迈形象。为州庆提供优质后勤保障服务，让参会嘉宾得到热情、细致、周到、贴心的体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ascii="仿宋_GB2312" w:hAnsi="宋体" w:eastAsia="仿宋_GB2312" w:cs="Times New Roman"/>
          <w:b w:val="0"/>
          <w:bCs w:val="0"/>
          <w:sz w:val="32"/>
          <w:szCs w:val="32"/>
          <w:lang w:eastAsia="zh-CN"/>
        </w:rPr>
      </w:pPr>
      <w:r>
        <w:rPr>
          <w:rFonts w:hint="eastAsia" w:ascii="楷体_GB2312" w:hAnsi="宋体" w:eastAsia="楷体_GB2312"/>
          <w:b/>
          <w:bCs w:val="0"/>
          <w:color w:val="auto"/>
          <w:sz w:val="32"/>
          <w:szCs w:val="32"/>
          <w:highlight w:val="none"/>
          <w:u w:val="none"/>
          <w:lang w:val="en-US" w:eastAsia="zh-CN"/>
        </w:rPr>
        <w:t>（三）</w:t>
      </w:r>
      <w:r>
        <w:rPr>
          <w:rFonts w:hint="default" w:ascii="楷体_GB2312" w:hAnsi="宋体" w:eastAsia="楷体_GB2312"/>
          <w:b/>
          <w:bCs w:val="0"/>
          <w:color w:val="auto"/>
          <w:sz w:val="32"/>
          <w:szCs w:val="32"/>
          <w:highlight w:val="none"/>
          <w:u w:val="none"/>
          <w:lang w:val="en-US" w:eastAsia="zh-CN"/>
        </w:rPr>
        <w:t>预算安排及分配管理</w:t>
      </w:r>
      <w:r>
        <w:rPr>
          <w:rFonts w:hint="eastAsia" w:ascii="楷体_GB2312" w:hAnsi="宋体" w:eastAsia="楷体_GB2312"/>
          <w:b/>
          <w:bCs w:val="0"/>
          <w:color w:val="auto"/>
          <w:sz w:val="32"/>
          <w:szCs w:val="32"/>
          <w:highlight w:val="none"/>
          <w:u w:val="none"/>
          <w:lang w:val="zh-CN" w:eastAsia="zh-CN"/>
        </w:rPr>
        <w:t>。</w:t>
      </w:r>
      <w:r>
        <w:rPr>
          <w:rFonts w:hint="eastAsia" w:ascii="仿宋_GB2312" w:hAnsi="宋体" w:eastAsia="仿宋_GB2312" w:cs="Times New Roman"/>
          <w:b w:val="0"/>
          <w:bCs w:val="0"/>
          <w:sz w:val="32"/>
          <w:szCs w:val="32"/>
          <w:lang w:eastAsia="zh-CN"/>
        </w:rPr>
        <w:t>州财政局下达州庆后勤保障预算经费320万元，后期因</w:t>
      </w:r>
      <w:r>
        <w:rPr>
          <w:rFonts w:hint="eastAsia" w:ascii="仿宋_GB2312" w:hAnsi="宋体" w:cs="Times New Roman"/>
          <w:b w:val="0"/>
          <w:bCs w:val="0"/>
          <w:sz w:val="32"/>
          <w:szCs w:val="32"/>
          <w:lang w:eastAsia="zh-CN"/>
        </w:rPr>
        <w:t>嘉宾</w:t>
      </w:r>
      <w:r>
        <w:rPr>
          <w:rFonts w:hint="eastAsia" w:ascii="仿宋_GB2312" w:hAnsi="宋体" w:eastAsia="仿宋_GB2312" w:cs="Times New Roman"/>
          <w:b w:val="0"/>
          <w:bCs w:val="0"/>
          <w:sz w:val="32"/>
          <w:szCs w:val="32"/>
          <w:lang w:eastAsia="zh-CN"/>
        </w:rPr>
        <w:t>人数及工作人员增加300余人，各项经费随之增加，</w:t>
      </w:r>
      <w:r>
        <w:rPr>
          <w:rFonts w:hint="eastAsia" w:ascii="仿宋_GB2312" w:hAnsi="宋体" w:cs="Times New Roman"/>
          <w:b w:val="0"/>
          <w:bCs w:val="0"/>
          <w:sz w:val="32"/>
          <w:szCs w:val="32"/>
          <w:lang w:eastAsia="zh-CN"/>
        </w:rPr>
        <w:t>请求</w:t>
      </w:r>
      <w:r>
        <w:rPr>
          <w:rFonts w:hint="eastAsia" w:ascii="仿宋_GB2312" w:hAnsi="宋体" w:eastAsia="仿宋_GB2312" w:cs="Times New Roman"/>
          <w:b w:val="0"/>
          <w:bCs w:val="0"/>
          <w:sz w:val="32"/>
          <w:szCs w:val="32"/>
          <w:lang w:eastAsia="zh-CN"/>
        </w:rPr>
        <w:t>州财政局追加</w:t>
      </w:r>
      <w:r>
        <w:rPr>
          <w:rFonts w:hint="eastAsia" w:ascii="仿宋_GB2312" w:hAnsi="宋体" w:cs="Times New Roman"/>
          <w:b w:val="0"/>
          <w:bCs w:val="0"/>
          <w:sz w:val="32"/>
          <w:szCs w:val="32"/>
          <w:lang w:eastAsia="zh-CN"/>
        </w:rPr>
        <w:t>经费</w:t>
      </w:r>
      <w:r>
        <w:rPr>
          <w:rFonts w:hint="eastAsia" w:ascii="仿宋_GB2312" w:hAnsi="宋体" w:eastAsia="仿宋_GB2312" w:cs="Times New Roman"/>
          <w:b w:val="0"/>
          <w:bCs w:val="0"/>
          <w:sz w:val="32"/>
          <w:szCs w:val="32"/>
          <w:lang w:val="en-US" w:eastAsia="zh-CN"/>
        </w:rPr>
        <w:t>12万元。总计预算332万元，主要用于接待来宾食宿</w:t>
      </w:r>
      <w:r>
        <w:rPr>
          <w:rFonts w:hint="eastAsia" w:ascii="仿宋_GB2312" w:hAnsi="宋体" w:cs="Times New Roman"/>
          <w:b w:val="0"/>
          <w:bCs w:val="0"/>
          <w:sz w:val="32"/>
          <w:szCs w:val="32"/>
          <w:lang w:val="en-US" w:eastAsia="zh-CN"/>
        </w:rPr>
        <w:t>安排</w:t>
      </w:r>
      <w:r>
        <w:rPr>
          <w:rFonts w:hint="eastAsia" w:ascii="仿宋_GB2312" w:hAnsi="宋体" w:eastAsia="仿宋_GB2312" w:cs="Times New Roman"/>
          <w:b w:val="0"/>
          <w:bCs w:val="0"/>
          <w:sz w:val="32"/>
          <w:szCs w:val="32"/>
          <w:lang w:val="en-US" w:eastAsia="zh-CN"/>
        </w:rPr>
        <w:t>，物资采购、</w:t>
      </w:r>
      <w:r>
        <w:rPr>
          <w:rFonts w:hint="eastAsia" w:ascii="仿宋_GB2312" w:hAnsi="宋体" w:eastAsia="仿宋_GB2312" w:cs="Times New Roman"/>
          <w:b w:val="0"/>
          <w:bCs w:val="0"/>
          <w:sz w:val="32"/>
          <w:szCs w:val="32"/>
          <w:lang w:eastAsia="zh-CN"/>
        </w:rPr>
        <w:t>接待人员抽调培训、接待印刷品设计制作等。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default" w:ascii="仿宋_GB2312" w:hAnsi="宋体" w:eastAsia="仿宋_GB2312" w:cs="Times New Roman"/>
          <w:b w:val="0"/>
          <w:bCs w:val="0"/>
          <w:sz w:val="32"/>
          <w:szCs w:val="32"/>
          <w:lang w:val="zh-CN" w:eastAsia="zh-CN"/>
        </w:rPr>
      </w:pPr>
      <w:r>
        <w:rPr>
          <w:rFonts w:hint="eastAsia" w:ascii="楷体_GB2312" w:hAnsi="宋体" w:eastAsia="楷体_GB2312"/>
          <w:b/>
          <w:bCs w:val="0"/>
          <w:color w:val="auto"/>
          <w:sz w:val="32"/>
          <w:szCs w:val="32"/>
          <w:highlight w:val="none"/>
          <w:u w:val="none"/>
          <w:lang w:val="zh-CN" w:eastAsia="zh-CN"/>
        </w:rPr>
        <w:t>（</w:t>
      </w:r>
      <w:r>
        <w:rPr>
          <w:rFonts w:hint="eastAsia" w:ascii="楷体_GB2312" w:hAnsi="宋体" w:eastAsia="楷体_GB2312"/>
          <w:b/>
          <w:bCs w:val="0"/>
          <w:color w:val="auto"/>
          <w:sz w:val="32"/>
          <w:szCs w:val="32"/>
          <w:highlight w:val="none"/>
          <w:u w:val="none"/>
          <w:lang w:val="en-US" w:eastAsia="zh-CN"/>
        </w:rPr>
        <w:t>四）</w:t>
      </w:r>
      <w:r>
        <w:rPr>
          <w:rFonts w:hint="eastAsia" w:ascii="楷体_GB2312" w:hAnsi="宋体" w:eastAsia="楷体_GB2312"/>
          <w:b/>
          <w:bCs w:val="0"/>
          <w:color w:val="auto"/>
          <w:sz w:val="32"/>
          <w:szCs w:val="32"/>
          <w:highlight w:val="none"/>
          <w:u w:val="none"/>
          <w:lang w:val="zh-CN" w:eastAsia="zh-CN"/>
        </w:rPr>
        <w:t>项目绩效目标设置。</w:t>
      </w:r>
      <w:r>
        <w:rPr>
          <w:rFonts w:hint="eastAsia" w:ascii="仿宋_GB2312" w:hAnsi="宋体" w:eastAsia="仿宋_GB2312" w:cs="Times New Roman"/>
          <w:b w:val="0"/>
          <w:bCs w:val="0"/>
          <w:sz w:val="32"/>
          <w:szCs w:val="32"/>
          <w:lang w:eastAsia="zh-CN"/>
        </w:rPr>
        <w:t>经评估，该项目绩效目标和政策明确且一致，与年度计划相符，满足</w:t>
      </w:r>
      <w:r>
        <w:rPr>
          <w:rFonts w:hint="eastAsia" w:ascii="仿宋_GB2312" w:hAnsi="宋体" w:cs="Times New Roman"/>
          <w:b w:val="0"/>
          <w:bCs w:val="0"/>
          <w:sz w:val="32"/>
          <w:szCs w:val="32"/>
          <w:lang w:eastAsia="zh-CN"/>
        </w:rPr>
        <w:t>实际需要</w:t>
      </w:r>
      <w:r>
        <w:rPr>
          <w:rFonts w:hint="eastAsia" w:ascii="仿宋_GB2312" w:hAnsi="宋体" w:eastAsia="仿宋_GB2312" w:cs="Times New Roman"/>
          <w:b w:val="0"/>
          <w:bCs w:val="0"/>
          <w:sz w:val="32"/>
          <w:szCs w:val="32"/>
          <w:lang w:eastAsia="zh-CN"/>
        </w:rPr>
        <w:t>。指标合理、可考量。</w:t>
      </w:r>
    </w:p>
    <w:p>
      <w:pPr>
        <w:keepNext w:val="0"/>
        <w:keepLines w:val="0"/>
        <w:pageBreakBefore w:val="0"/>
        <w:widowControl w:val="0"/>
        <w:kinsoku/>
        <w:wordWrap/>
        <w:overflowPunct/>
        <w:topLinePunct w:val="0"/>
        <w:autoSpaceDE/>
        <w:autoSpaceDN/>
        <w:bidi w:val="0"/>
        <w:adjustRightInd w:val="0"/>
        <w:snapToGrid w:val="0"/>
        <w:spacing w:line="540" w:lineRule="exact"/>
        <w:ind w:leftChars="0" w:firstLine="640" w:firstLineChars="200"/>
        <w:textAlignment w:val="auto"/>
        <w:outlineLvl w:val="9"/>
        <w:rPr>
          <w:rFonts w:hint="eastAsia" w:ascii="黑体" w:hAnsi="宋体" w:eastAsia="黑体"/>
          <w:highlight w:val="none"/>
          <w:lang w:eastAsia="zh-CN"/>
        </w:rPr>
      </w:pPr>
      <w:r>
        <w:rPr>
          <w:rFonts w:hint="eastAsia" w:ascii="黑体" w:hAnsi="宋体" w:eastAsia="黑体"/>
          <w:highlight w:val="none"/>
        </w:rPr>
        <w:t>二、</w:t>
      </w:r>
      <w:r>
        <w:rPr>
          <w:rFonts w:hint="eastAsia" w:ascii="黑体" w:hAnsi="宋体" w:eastAsia="黑体"/>
          <w:highlight w:val="none"/>
          <w:lang w:eastAsia="zh-CN"/>
        </w:rPr>
        <w:t>评价实施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ascii="仿宋_GB2312" w:hAnsi="宋体" w:eastAsia="仿宋_GB2312" w:cs="Times New Roman"/>
          <w:b w:val="0"/>
          <w:bCs w:val="0"/>
          <w:sz w:val="32"/>
          <w:szCs w:val="32"/>
          <w:highlight w:val="none"/>
          <w:lang w:eastAsia="zh-CN"/>
        </w:rPr>
      </w:pPr>
      <w:r>
        <w:rPr>
          <w:rFonts w:hint="eastAsia" w:ascii="楷体_GB2312" w:hAnsi="宋体" w:eastAsia="楷体_GB2312"/>
          <w:b/>
          <w:bCs w:val="0"/>
          <w:color w:val="auto"/>
          <w:sz w:val="32"/>
          <w:szCs w:val="32"/>
          <w:highlight w:val="none"/>
          <w:u w:val="none"/>
          <w:lang w:val="zh-CN"/>
        </w:rPr>
        <w:t>（一）评价目的。</w:t>
      </w:r>
      <w:r>
        <w:rPr>
          <w:rFonts w:hint="eastAsia" w:cs="Times New Roman"/>
          <w:szCs w:val="32"/>
          <w:highlight w:val="none"/>
          <w:lang w:eastAsia="zh-CN"/>
        </w:rPr>
        <w:t>通</w:t>
      </w:r>
      <w:r>
        <w:rPr>
          <w:rFonts w:hint="eastAsia" w:ascii="仿宋_GB2312" w:hAnsi="宋体" w:eastAsia="仿宋_GB2312" w:cs="Times New Roman"/>
          <w:b w:val="0"/>
          <w:bCs w:val="0"/>
          <w:sz w:val="32"/>
          <w:szCs w:val="32"/>
          <w:highlight w:val="none"/>
          <w:lang w:eastAsia="zh-CN"/>
        </w:rPr>
        <w:t>过项目绩效自评，</w:t>
      </w:r>
      <w:r>
        <w:rPr>
          <w:rFonts w:hint="eastAsia" w:cs="Times New Roman"/>
          <w:szCs w:val="32"/>
          <w:highlight w:val="none"/>
          <w:lang w:eastAsia="zh-CN"/>
        </w:rPr>
        <w:t>州庆预算经费均按照保障需求进行支付，未发现经费乱用、占用现象，</w:t>
      </w:r>
      <w:r>
        <w:rPr>
          <w:rFonts w:hint="eastAsia" w:cs="Times New Roman"/>
          <w:szCs w:val="32"/>
          <w:highlight w:val="none"/>
          <w:lang w:val="en-US" w:eastAsia="zh-CN"/>
        </w:rPr>
        <w:t>确保预算均按照细化科目科学使用。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eastAsia="仿宋_GB2312" w:cs="Times New Roman"/>
          <w:szCs w:val="32"/>
          <w:lang w:val="zh-CN" w:eastAsia="zh-CN"/>
        </w:rPr>
      </w:pPr>
      <w:r>
        <w:rPr>
          <w:rFonts w:hint="eastAsia" w:ascii="楷体_GB2312" w:hAnsi="宋体" w:eastAsia="楷体_GB2312"/>
          <w:b/>
          <w:bCs w:val="0"/>
          <w:color w:val="auto"/>
          <w:sz w:val="32"/>
          <w:szCs w:val="32"/>
          <w:highlight w:val="none"/>
          <w:u w:val="none"/>
          <w:lang w:val="zh-CN"/>
        </w:rPr>
        <w:t>（</w:t>
      </w:r>
      <w:r>
        <w:rPr>
          <w:rFonts w:hint="eastAsia" w:ascii="楷体_GB2312" w:hAnsi="宋体" w:eastAsia="楷体_GB2312"/>
          <w:b/>
          <w:bCs w:val="0"/>
          <w:color w:val="auto"/>
          <w:sz w:val="32"/>
          <w:szCs w:val="32"/>
          <w:highlight w:val="none"/>
          <w:u w:val="none"/>
          <w:lang w:val="en-US" w:eastAsia="zh-CN"/>
        </w:rPr>
        <w:t>二）</w:t>
      </w:r>
      <w:r>
        <w:rPr>
          <w:rFonts w:hint="eastAsia" w:ascii="楷体_GB2312" w:hAnsi="宋体" w:eastAsia="楷体_GB2312"/>
          <w:b/>
          <w:bCs w:val="0"/>
          <w:color w:val="auto"/>
          <w:sz w:val="32"/>
          <w:szCs w:val="32"/>
          <w:highlight w:val="none"/>
          <w:u w:val="none"/>
          <w:lang w:val="zh-CN"/>
        </w:rPr>
        <w:t>评价选点。</w:t>
      </w:r>
      <w:r>
        <w:rPr>
          <w:rFonts w:hint="default" w:eastAsia="仿宋_GB2312" w:cs="Times New Roman"/>
          <w:szCs w:val="32"/>
          <w:lang w:val="en-US" w:eastAsia="zh-CN"/>
        </w:rPr>
        <w:t>根据阿坝州财政局《关于开展</w:t>
      </w:r>
      <w:r>
        <w:rPr>
          <w:rFonts w:hint="eastAsia" w:eastAsia="仿宋_GB2312" w:cs="Times New Roman"/>
          <w:szCs w:val="32"/>
          <w:lang w:val="en-US" w:eastAsia="zh-CN"/>
        </w:rPr>
        <w:t>2024</w:t>
      </w:r>
      <w:r>
        <w:rPr>
          <w:rFonts w:hint="default" w:eastAsia="仿宋_GB2312" w:cs="Times New Roman"/>
          <w:szCs w:val="32"/>
          <w:lang w:val="en-US" w:eastAsia="zh-CN"/>
        </w:rPr>
        <w:t>年</w:t>
      </w:r>
      <w:r>
        <w:rPr>
          <w:rFonts w:hint="eastAsia" w:eastAsia="仿宋_GB2312" w:cs="Times New Roman"/>
          <w:szCs w:val="32"/>
          <w:lang w:val="en-US" w:eastAsia="zh-CN"/>
        </w:rPr>
        <w:t>州级部门绩效自评工作的通知</w:t>
      </w:r>
      <w:r>
        <w:rPr>
          <w:rFonts w:hint="default" w:eastAsia="仿宋_GB2312" w:cs="Times New Roman"/>
          <w:szCs w:val="32"/>
          <w:lang w:val="en-US" w:eastAsia="zh-CN"/>
        </w:rPr>
        <w:t>》(阿州</w:t>
      </w:r>
      <w:r>
        <w:rPr>
          <w:rFonts w:hint="eastAsia" w:eastAsia="仿宋_GB2312" w:cs="Times New Roman"/>
          <w:szCs w:val="32"/>
          <w:lang w:val="en-US" w:eastAsia="zh-CN"/>
        </w:rPr>
        <w:t>财监绩</w:t>
      </w:r>
      <w:r>
        <w:rPr>
          <w:rFonts w:hint="default" w:eastAsia="仿宋_GB2312" w:cs="Times New Roman"/>
          <w:szCs w:val="32"/>
          <w:lang w:val="en-US" w:eastAsia="zh-CN"/>
        </w:rPr>
        <w:t>（2024）</w:t>
      </w:r>
      <w:r>
        <w:rPr>
          <w:rFonts w:hint="eastAsia" w:eastAsia="仿宋_GB2312" w:cs="Times New Roman"/>
          <w:szCs w:val="32"/>
          <w:lang w:val="en-US" w:eastAsia="zh-CN"/>
        </w:rPr>
        <w:t>19</w:t>
      </w:r>
      <w:r>
        <w:rPr>
          <w:rFonts w:hint="default" w:eastAsia="仿宋_GB2312" w:cs="Times New Roman"/>
          <w:szCs w:val="32"/>
          <w:lang w:val="en-US" w:eastAsia="zh-CN"/>
        </w:rPr>
        <w:t>号）文件要求</w:t>
      </w:r>
      <w:r>
        <w:rPr>
          <w:rFonts w:hint="eastAsia" w:eastAsia="仿宋_GB2312" w:cs="Times New Roman"/>
          <w:szCs w:val="32"/>
          <w:lang w:val="en-US" w:eastAsia="zh-CN"/>
        </w:rPr>
        <w:t>，对专项资金预算项目（州庆后勤保障经费）进行自评。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eastAsia="仿宋_GB2312" w:cs="Times New Roman"/>
          <w:szCs w:val="32"/>
          <w:lang w:val="en-US" w:eastAsia="zh-CN"/>
        </w:rPr>
      </w:pPr>
      <w:r>
        <w:rPr>
          <w:rFonts w:hint="eastAsia" w:ascii="楷体_GB2312" w:hAnsi="宋体" w:eastAsia="楷体_GB2312"/>
          <w:b/>
          <w:bCs w:val="0"/>
          <w:color w:val="auto"/>
          <w:sz w:val="32"/>
          <w:szCs w:val="32"/>
          <w:highlight w:val="none"/>
          <w:u w:val="none"/>
          <w:lang w:val="zh-CN"/>
        </w:rPr>
        <w:t>（</w:t>
      </w:r>
      <w:r>
        <w:rPr>
          <w:rFonts w:hint="eastAsia" w:ascii="楷体_GB2312" w:hAnsi="宋体" w:eastAsia="楷体_GB2312"/>
          <w:b/>
          <w:bCs w:val="0"/>
          <w:color w:val="auto"/>
          <w:sz w:val="32"/>
          <w:szCs w:val="32"/>
          <w:highlight w:val="none"/>
          <w:u w:val="none"/>
          <w:lang w:val="en-US" w:eastAsia="zh-CN"/>
        </w:rPr>
        <w:t>三）</w:t>
      </w:r>
      <w:r>
        <w:rPr>
          <w:rFonts w:hint="eastAsia" w:ascii="楷体_GB2312" w:hAnsi="宋体" w:eastAsia="楷体_GB2312"/>
          <w:b/>
          <w:bCs w:val="0"/>
          <w:color w:val="auto"/>
          <w:sz w:val="32"/>
          <w:szCs w:val="32"/>
          <w:highlight w:val="none"/>
          <w:u w:val="none"/>
          <w:lang w:val="zh-CN"/>
        </w:rPr>
        <w:t>评价方法。</w:t>
      </w:r>
      <w:r>
        <w:rPr>
          <w:rFonts w:hint="eastAsia" w:eastAsia="仿宋_GB2312" w:cs="Times New Roman"/>
          <w:szCs w:val="32"/>
          <w:lang w:val="zh-CN" w:eastAsia="zh-CN"/>
        </w:rPr>
        <w:t>项目绩效评价按照前期准备阶段、自评阶段、实施评价阶段、报告撰写阶段、结果运用阶段五个阶段的工作流程，以现场评价为主，非现场评价为辅，开展绩效评价工作。通过</w:t>
      </w:r>
      <w:r>
        <w:rPr>
          <w:rFonts w:hint="default" w:eastAsia="仿宋_GB2312" w:cs="Times New Roman"/>
          <w:szCs w:val="32"/>
          <w:lang w:val="en-US" w:eastAsia="zh-CN"/>
        </w:rPr>
        <w:t>单位自评法</w:t>
      </w:r>
      <w:r>
        <w:rPr>
          <w:rFonts w:hint="eastAsia" w:eastAsia="仿宋_GB2312" w:cs="Times New Roman"/>
          <w:szCs w:val="32"/>
          <w:lang w:val="en-US" w:eastAsia="zh-CN"/>
        </w:rPr>
        <w:t>、</w:t>
      </w:r>
      <w:r>
        <w:rPr>
          <w:rFonts w:hint="default" w:eastAsia="仿宋_GB2312" w:cs="Times New Roman"/>
          <w:szCs w:val="32"/>
          <w:lang w:val="en-US" w:eastAsia="zh-CN"/>
        </w:rPr>
        <w:t>座谈调研法等多种方法</w:t>
      </w:r>
      <w:r>
        <w:rPr>
          <w:rFonts w:hint="eastAsia" w:eastAsia="仿宋_GB2312" w:cs="Times New Roman"/>
          <w:szCs w:val="32"/>
          <w:lang w:val="en-US" w:eastAsia="zh-CN"/>
        </w:rPr>
        <w:t>，获取充分依据以客观公正评价项目实现情况。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Chars="0" w:firstLine="642" w:firstLineChars="200"/>
        <w:textAlignment w:val="auto"/>
        <w:rPr>
          <w:rFonts w:hint="eastAsia" w:eastAsia="仿宋_GB2312" w:cs="Times New Roman"/>
          <w:szCs w:val="32"/>
          <w:lang w:val="zh-CN" w:eastAsia="zh-CN"/>
        </w:rPr>
      </w:pPr>
      <w:r>
        <w:rPr>
          <w:rFonts w:hint="eastAsia" w:ascii="楷体_GB2312" w:hAnsi="宋体" w:eastAsia="楷体_GB2312"/>
          <w:b/>
          <w:bCs w:val="0"/>
          <w:color w:val="auto"/>
          <w:sz w:val="32"/>
          <w:szCs w:val="32"/>
          <w:highlight w:val="none"/>
          <w:u w:val="none"/>
          <w:lang w:val="zh-CN"/>
        </w:rPr>
        <w:t>（</w:t>
      </w:r>
      <w:r>
        <w:rPr>
          <w:rFonts w:hint="eastAsia" w:ascii="楷体_GB2312" w:hAnsi="宋体" w:eastAsia="楷体_GB2312"/>
          <w:b/>
          <w:bCs w:val="0"/>
          <w:color w:val="auto"/>
          <w:sz w:val="32"/>
          <w:szCs w:val="32"/>
          <w:highlight w:val="none"/>
          <w:u w:val="none"/>
          <w:lang w:val="en-US" w:eastAsia="zh-CN"/>
        </w:rPr>
        <w:t>四）</w:t>
      </w:r>
      <w:r>
        <w:rPr>
          <w:rFonts w:hint="eastAsia" w:ascii="楷体_GB2312" w:hAnsi="宋体" w:eastAsia="楷体_GB2312"/>
          <w:b/>
          <w:bCs w:val="0"/>
          <w:color w:val="auto"/>
          <w:sz w:val="32"/>
          <w:szCs w:val="32"/>
          <w:highlight w:val="none"/>
          <w:u w:val="none"/>
          <w:lang w:val="zh-CN"/>
        </w:rPr>
        <w:t>评价组织。</w:t>
      </w:r>
      <w:r>
        <w:rPr>
          <w:rFonts w:hint="eastAsia" w:eastAsia="仿宋_GB2312" w:cs="Times New Roman"/>
          <w:szCs w:val="32"/>
          <w:lang w:val="zh-CN" w:eastAsia="zh-CN"/>
        </w:rPr>
        <w:t>为加强项目绩效目标管理，切实提高资金使用效益，我中心领导高度重视绩效自评工作，及时部署，安排专人负责开展自评工作，确保做到自评结果真实、准确、客观。</w:t>
      </w:r>
    </w:p>
    <w:p>
      <w:pPr>
        <w:keepNext w:val="0"/>
        <w:keepLines w:val="0"/>
        <w:pageBreakBefore w:val="0"/>
        <w:kinsoku/>
        <w:wordWrap/>
        <w:overflowPunct/>
        <w:topLinePunct w:val="0"/>
        <w:autoSpaceDE/>
        <w:autoSpaceDN/>
        <w:bidi w:val="0"/>
        <w:adjustRightInd w:val="0"/>
        <w:snapToGrid w:val="0"/>
        <w:spacing w:line="540" w:lineRule="exact"/>
        <w:ind w:leftChars="0" w:firstLine="640" w:firstLineChars="200"/>
        <w:textAlignment w:val="auto"/>
        <w:rPr>
          <w:rFonts w:hint="eastAsia" w:eastAsia="仿宋_GB2312" w:cs="Times New Roman"/>
          <w:szCs w:val="32"/>
          <w:lang w:val="en-US" w:eastAsia="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p>
    <w:p>
      <w:pPr>
        <w:keepNext w:val="0"/>
        <w:keepLines w:val="0"/>
        <w:pageBreakBefore w:val="0"/>
        <w:numPr>
          <w:ilvl w:val="0"/>
          <w:numId w:val="0"/>
        </w:numPr>
        <w:kinsoku/>
        <w:wordWrap/>
        <w:overflowPunct/>
        <w:topLinePunct w:val="0"/>
        <w:autoSpaceDE/>
        <w:autoSpaceDN/>
        <w:bidi w:val="0"/>
        <w:adjustRightInd w:val="0"/>
        <w:snapToGrid w:val="0"/>
        <w:spacing w:line="540" w:lineRule="exact"/>
        <w:ind w:leftChars="200"/>
        <w:textAlignment w:val="auto"/>
        <w:rPr>
          <w:rFonts w:hint="eastAsia" w:ascii="楷体_GB2312" w:hAnsi="宋体" w:eastAsia="楷体_GB2312"/>
          <w:b/>
          <w:bCs w:val="0"/>
          <w:color w:val="auto"/>
          <w:sz w:val="32"/>
          <w:szCs w:val="32"/>
          <w:highlight w:val="none"/>
          <w:u w:val="none"/>
          <w:lang w:val="en-US" w:eastAsia="zh-CN"/>
        </w:rPr>
      </w:pPr>
      <w:r>
        <w:rPr>
          <w:rFonts w:hint="eastAsia" w:ascii="楷体_GB2312" w:hAnsi="宋体" w:eastAsia="楷体_GB2312"/>
          <w:b/>
          <w:bCs w:val="0"/>
          <w:color w:val="auto"/>
          <w:sz w:val="32"/>
          <w:szCs w:val="32"/>
          <w:highlight w:val="none"/>
          <w:u w:val="none"/>
          <w:lang w:val="zh-CN" w:eastAsia="zh-CN"/>
        </w:rPr>
        <w:t>（一）项目决策</w:t>
      </w:r>
    </w:p>
    <w:p>
      <w:pPr>
        <w:keepNext w:val="0"/>
        <w:keepLines w:val="0"/>
        <w:pageBreakBefore w:val="0"/>
        <w:kinsoku/>
        <w:wordWrap/>
        <w:overflowPunct/>
        <w:topLinePunct w:val="0"/>
        <w:autoSpaceDE/>
        <w:autoSpaceDN/>
        <w:bidi w:val="0"/>
        <w:adjustRightInd w:val="0"/>
        <w:snapToGrid w:val="0"/>
        <w:spacing w:line="540" w:lineRule="exact"/>
        <w:ind w:leftChars="0" w:firstLine="642" w:firstLineChars="200"/>
        <w:textAlignment w:val="auto"/>
        <w:rPr>
          <w:rFonts w:hint="eastAsia" w:ascii="仿宋_GB2312"/>
          <w:sz w:val="32"/>
          <w:szCs w:val="32"/>
          <w:lang w:eastAsia="zh-CN"/>
        </w:rPr>
      </w:pPr>
      <w:r>
        <w:rPr>
          <w:rFonts w:hint="eastAsia" w:ascii="仿宋_GB2312"/>
          <w:b/>
          <w:bCs w:val="0"/>
          <w:sz w:val="32"/>
          <w:szCs w:val="32"/>
          <w:lang w:val="en-US" w:eastAsia="zh-CN"/>
        </w:rPr>
        <w:t>1.</w:t>
      </w:r>
      <w:r>
        <w:rPr>
          <w:rFonts w:hint="eastAsia" w:ascii="仿宋_GB2312" w:eastAsia="仿宋_GB2312"/>
          <w:b/>
          <w:bCs w:val="0"/>
          <w:sz w:val="32"/>
          <w:szCs w:val="32"/>
        </w:rPr>
        <w:t>绩效目标情况</w:t>
      </w:r>
      <w:r>
        <w:rPr>
          <w:rFonts w:hint="eastAsia" w:ascii="仿宋_GB2312"/>
          <w:b/>
          <w:bCs w:val="0"/>
          <w:sz w:val="32"/>
          <w:szCs w:val="32"/>
          <w:lang w:eastAsia="zh-CN"/>
        </w:rPr>
        <w:t>。</w:t>
      </w:r>
      <w:r>
        <w:rPr>
          <w:rFonts w:hint="eastAsia" w:ascii="仿宋_GB2312"/>
          <w:sz w:val="32"/>
          <w:szCs w:val="32"/>
          <w:lang w:eastAsia="zh-CN"/>
        </w:rPr>
        <w:t>圆满地完成了州庆后勤保障任务。</w:t>
      </w:r>
      <w:r>
        <w:rPr>
          <w:rFonts w:hint="eastAsia" w:ascii="仿宋_GB2312"/>
          <w:b/>
          <w:bCs/>
          <w:sz w:val="32"/>
          <w:szCs w:val="32"/>
          <w:lang w:eastAsia="zh-CN"/>
        </w:rPr>
        <w:t>一是</w:t>
      </w:r>
      <w:r>
        <w:rPr>
          <w:rFonts w:hint="eastAsia" w:ascii="仿宋_GB2312"/>
          <w:sz w:val="32"/>
          <w:szCs w:val="32"/>
          <w:lang w:eastAsia="zh-CN"/>
        </w:rPr>
        <w:t>制定《阿坝州成立70周年庆祝活动后勤接待组工作方案》，成立了综合、报到、食宿、车辆、礼仪、物资、食品及特种设备安全、通信及水电气保障、气象服务等9个专项组，组建机构、落实职责。</w:t>
      </w:r>
      <w:r>
        <w:rPr>
          <w:rFonts w:hint="eastAsia" w:ascii="仿宋_GB2312"/>
          <w:b/>
          <w:bCs/>
          <w:sz w:val="32"/>
          <w:szCs w:val="32"/>
          <w:lang w:eastAsia="zh-CN"/>
        </w:rPr>
        <w:t>二是</w:t>
      </w:r>
      <w:r>
        <w:rPr>
          <w:rFonts w:hint="eastAsia" w:ascii="仿宋_GB2312"/>
          <w:sz w:val="32"/>
          <w:szCs w:val="32"/>
          <w:lang w:eastAsia="zh-CN"/>
        </w:rPr>
        <w:t>建立“一月一调度”“一事一商议”的动态推进机制，先后召开调度会7次，研究解决事宜50项，安排部署工作62项，做到工作前置、机制健全、推进有序。</w:t>
      </w:r>
      <w:r>
        <w:rPr>
          <w:rFonts w:hint="eastAsia" w:ascii="仿宋_GB2312"/>
          <w:b/>
          <w:bCs/>
          <w:sz w:val="32"/>
          <w:szCs w:val="32"/>
          <w:lang w:eastAsia="zh-CN"/>
        </w:rPr>
        <w:t>三是</w:t>
      </w:r>
      <w:r>
        <w:rPr>
          <w:rFonts w:hint="eastAsia" w:ascii="仿宋_GB2312"/>
          <w:sz w:val="32"/>
          <w:szCs w:val="32"/>
          <w:lang w:eastAsia="zh-CN"/>
        </w:rPr>
        <w:t>探索制定“1长+N员”点长责任制，构建了“点长统一指挥调度，网络化模块管理，小分队管家式服务”的指挥体系，统筹接待点位工作。</w:t>
      </w:r>
      <w:r>
        <w:rPr>
          <w:rFonts w:hint="eastAsia" w:ascii="仿宋_GB2312"/>
          <w:b/>
          <w:bCs/>
          <w:sz w:val="32"/>
          <w:szCs w:val="32"/>
          <w:lang w:eastAsia="zh-CN"/>
        </w:rPr>
        <w:t>四是</w:t>
      </w:r>
      <w:r>
        <w:rPr>
          <w:rFonts w:hint="eastAsia" w:ascii="仿宋_GB2312"/>
          <w:sz w:val="32"/>
          <w:szCs w:val="32"/>
          <w:lang w:eastAsia="zh-CN"/>
        </w:rPr>
        <w:t>组织全州公务服务系统业务骨干赴成都、眉山、凉山学习考察公务服务和州庆活动后勤服务保障工作好的经验做法，结合我州实际谋划工作思路。同时物色选定全州公务服务系统骨干96名，开展实操与理论有机融合的集中培训，为全力保障州庆活动打下坚实基础。</w:t>
      </w:r>
      <w:r>
        <w:rPr>
          <w:rFonts w:hint="eastAsia" w:ascii="仿宋_GB2312"/>
          <w:b/>
          <w:bCs/>
          <w:sz w:val="32"/>
          <w:szCs w:val="32"/>
          <w:lang w:eastAsia="zh-CN"/>
        </w:rPr>
        <w:t>五是</w:t>
      </w:r>
      <w:r>
        <w:rPr>
          <w:rFonts w:hint="eastAsia" w:ascii="仿宋_GB2312"/>
          <w:sz w:val="32"/>
          <w:szCs w:val="32"/>
          <w:lang w:eastAsia="zh-CN"/>
        </w:rPr>
        <w:t>深度挖掘本土特色，储备特色食材100余种，分类甄选出281道藏、羌、回、汉阿坝美食列入大会菜品，不同餐点分别收集整理确定12套特色菜单，通过土菜细做、精做，展现独具魅力的阿坝饮食文化，按照“驻地用餐”的大原则保障嘉宾日常用餐。</w:t>
      </w:r>
      <w:r>
        <w:rPr>
          <w:rFonts w:hint="eastAsia" w:ascii="仿宋_GB2312"/>
          <w:b/>
          <w:bCs/>
          <w:sz w:val="32"/>
          <w:szCs w:val="32"/>
          <w:lang w:eastAsia="zh-CN"/>
        </w:rPr>
        <w:t>六是</w:t>
      </w:r>
      <w:r>
        <w:rPr>
          <w:rFonts w:hint="eastAsia" w:ascii="仿宋_GB2312"/>
          <w:sz w:val="32"/>
          <w:szCs w:val="32"/>
          <w:lang w:eastAsia="zh-CN"/>
        </w:rPr>
        <w:t>对马尔康城区酒店分布情况进行了实地调研，摸清酒店房间数、餐容量、停车位等情况，为1183位嘉宾及工作人员提供了舒适的住宿安排。</w:t>
      </w:r>
      <w:r>
        <w:rPr>
          <w:rFonts w:hint="eastAsia" w:ascii="仿宋_GB2312"/>
          <w:b/>
          <w:bCs/>
          <w:sz w:val="32"/>
          <w:szCs w:val="32"/>
          <w:lang w:eastAsia="zh-CN"/>
        </w:rPr>
        <w:t>七是</w:t>
      </w:r>
      <w:r>
        <w:rPr>
          <w:rFonts w:hint="eastAsia" w:ascii="仿宋_GB2312"/>
          <w:sz w:val="32"/>
          <w:szCs w:val="32"/>
          <w:lang w:eastAsia="zh-CN"/>
        </w:rPr>
        <w:t>与安保组共同商议，合理安排嘉宾出行保障。</w:t>
      </w:r>
    </w:p>
    <w:p>
      <w:pPr>
        <w:keepNext w:val="0"/>
        <w:keepLines w:val="0"/>
        <w:pageBreakBefore w:val="0"/>
        <w:kinsoku/>
        <w:wordWrap/>
        <w:overflowPunct/>
        <w:topLinePunct w:val="0"/>
        <w:autoSpaceDE/>
        <w:autoSpaceDN/>
        <w:bidi w:val="0"/>
        <w:adjustRightInd w:val="0"/>
        <w:snapToGrid w:val="0"/>
        <w:spacing w:line="540" w:lineRule="exact"/>
        <w:ind w:leftChars="0" w:firstLine="642" w:firstLineChars="200"/>
        <w:textAlignment w:val="auto"/>
        <w:rPr>
          <w:rFonts w:hint="eastAsia" w:ascii="仿宋_GB2312" w:eastAsia="仿宋_GB2312"/>
          <w:sz w:val="32"/>
          <w:szCs w:val="32"/>
        </w:rPr>
      </w:pPr>
      <w:r>
        <w:rPr>
          <w:rFonts w:hint="eastAsia" w:ascii="仿宋_GB2312" w:hAnsi="仿宋_GB2312" w:cs="仿宋_GB2312"/>
          <w:b/>
          <w:bCs w:val="0"/>
          <w:color w:val="auto"/>
          <w:sz w:val="32"/>
          <w:szCs w:val="32"/>
          <w:highlight w:val="none"/>
          <w:u w:val="none"/>
          <w:lang w:val="en-US" w:eastAsia="zh-CN"/>
        </w:rPr>
        <w:t>2.</w:t>
      </w:r>
      <w:r>
        <w:rPr>
          <w:rFonts w:hint="eastAsia" w:ascii="仿宋_GB2312" w:hAnsi="仿宋_GB2312" w:eastAsia="仿宋_GB2312" w:cs="仿宋_GB2312"/>
          <w:b/>
          <w:bCs w:val="0"/>
          <w:color w:val="auto"/>
          <w:sz w:val="32"/>
          <w:szCs w:val="32"/>
          <w:highlight w:val="none"/>
          <w:u w:val="none"/>
          <w:lang w:val="zh-CN" w:eastAsia="zh-CN"/>
        </w:rPr>
        <w:t>决策依据。</w:t>
      </w:r>
      <w:r>
        <w:rPr>
          <w:rFonts w:hint="eastAsia" w:ascii="楷体_GB2312" w:hAnsi="宋体" w:eastAsia="楷体_GB2312"/>
          <w:b/>
          <w:bCs w:val="0"/>
          <w:color w:val="auto"/>
          <w:sz w:val="32"/>
          <w:szCs w:val="32"/>
          <w:highlight w:val="none"/>
          <w:u w:val="none"/>
          <w:lang w:val="zh-CN" w:eastAsia="zh-CN"/>
        </w:rPr>
        <w:t>2</w:t>
      </w:r>
      <w:r>
        <w:rPr>
          <w:rFonts w:hint="eastAsia" w:ascii="仿宋_GB2312" w:eastAsia="仿宋_GB2312"/>
          <w:sz w:val="32"/>
          <w:szCs w:val="32"/>
        </w:rPr>
        <w:t>02</w:t>
      </w:r>
      <w:r>
        <w:rPr>
          <w:rFonts w:hint="eastAsia" w:ascii="仿宋_GB2312"/>
          <w:sz w:val="32"/>
          <w:szCs w:val="32"/>
          <w:lang w:val="en-US" w:eastAsia="zh-CN"/>
        </w:rPr>
        <w:t>3</w:t>
      </w:r>
      <w:r>
        <w:rPr>
          <w:rFonts w:hint="eastAsia" w:ascii="仿宋_GB2312" w:eastAsia="仿宋_GB2312"/>
          <w:sz w:val="32"/>
          <w:szCs w:val="32"/>
        </w:rPr>
        <w:t>年部门预算及政府相关部门的审批。</w:t>
      </w:r>
    </w:p>
    <w:p>
      <w:pPr>
        <w:keepNext w:val="0"/>
        <w:keepLines w:val="0"/>
        <w:pageBreakBefore w:val="0"/>
        <w:widowControl w:val="0"/>
        <w:kinsoku/>
        <w:wordWrap/>
        <w:overflowPunct/>
        <w:topLinePunct w:val="0"/>
        <w:autoSpaceDE/>
        <w:autoSpaceDN/>
        <w:bidi w:val="0"/>
        <w:adjustRightInd/>
        <w:snapToGrid/>
        <w:spacing w:line="540" w:lineRule="exact"/>
        <w:ind w:leftChars="0" w:firstLine="642" w:firstLineChars="200"/>
        <w:textAlignment w:val="auto"/>
        <w:outlineLvl w:val="9"/>
        <w:rPr>
          <w:rFonts w:hint="eastAsia" w:ascii="Times New Roman" w:hAnsi="Times New Roman" w:cs="Times New Roman"/>
          <w:color w:val="auto"/>
          <w:szCs w:val="32"/>
          <w:lang w:eastAsia="zh-CN"/>
        </w:rPr>
      </w:pPr>
      <w:r>
        <w:rPr>
          <w:rFonts w:hint="eastAsia" w:ascii="楷体_GB2312" w:hAnsi="宋体" w:eastAsia="楷体_GB2312"/>
          <w:b/>
          <w:bCs w:val="0"/>
          <w:color w:val="auto"/>
          <w:sz w:val="32"/>
          <w:szCs w:val="32"/>
          <w:highlight w:val="none"/>
          <w:u w:val="none"/>
          <w:lang w:val="en-US" w:eastAsia="zh-CN"/>
        </w:rPr>
        <w:t>（二）项目管理。</w:t>
      </w:r>
      <w:r>
        <w:rPr>
          <w:rFonts w:hint="eastAsia" w:cs="Times New Roman"/>
          <w:color w:val="auto"/>
          <w:szCs w:val="32"/>
          <w:lang w:eastAsia="zh-CN"/>
        </w:rPr>
        <w:t>该项目严格执行财务管理制度、账务处理及时、会计核算规范。</w:t>
      </w:r>
    </w:p>
    <w:p>
      <w:pPr>
        <w:keepNext w:val="0"/>
        <w:keepLines w:val="0"/>
        <w:pageBreakBefore w:val="0"/>
        <w:widowControl w:val="0"/>
        <w:kinsoku/>
        <w:wordWrap/>
        <w:overflowPunct/>
        <w:topLinePunct w:val="0"/>
        <w:autoSpaceDE/>
        <w:autoSpaceDN/>
        <w:bidi w:val="0"/>
        <w:adjustRightInd/>
        <w:snapToGrid/>
        <w:spacing w:line="540" w:lineRule="exact"/>
        <w:ind w:leftChars="0" w:firstLine="642" w:firstLineChars="200"/>
        <w:textAlignment w:val="auto"/>
        <w:outlineLvl w:val="9"/>
        <w:rPr>
          <w:rFonts w:hint="eastAsia" w:ascii="楷体_GB2312" w:hAnsi="宋体" w:eastAsia="楷体_GB2312"/>
          <w:b/>
          <w:bCs w:val="0"/>
          <w:color w:val="auto"/>
          <w:sz w:val="32"/>
          <w:szCs w:val="32"/>
          <w:highlight w:val="none"/>
          <w:u w:val="none"/>
          <w:lang w:val="en-US" w:eastAsia="zh-CN"/>
        </w:rPr>
      </w:pPr>
      <w:r>
        <w:rPr>
          <w:rFonts w:hint="eastAsia" w:ascii="楷体_GB2312" w:hAnsi="宋体" w:eastAsia="楷体_GB2312"/>
          <w:b/>
          <w:bCs w:val="0"/>
          <w:color w:val="auto"/>
          <w:sz w:val="32"/>
          <w:szCs w:val="32"/>
          <w:highlight w:val="none"/>
          <w:u w:val="none"/>
          <w:lang w:val="en-US" w:eastAsia="zh-CN"/>
        </w:rPr>
        <w:t>（三）项目实施。</w:t>
      </w:r>
    </w:p>
    <w:p>
      <w:pPr>
        <w:keepNext w:val="0"/>
        <w:keepLines w:val="0"/>
        <w:pageBreakBefore w:val="0"/>
        <w:kinsoku/>
        <w:wordWrap/>
        <w:overflowPunct/>
        <w:topLinePunct w:val="0"/>
        <w:autoSpaceDE/>
        <w:autoSpaceDN/>
        <w:bidi w:val="0"/>
        <w:spacing w:line="540" w:lineRule="exact"/>
        <w:ind w:leftChars="0" w:firstLine="642" w:firstLineChars="200"/>
        <w:textAlignment w:val="auto"/>
        <w:rPr>
          <w:rFonts w:hint="eastAsia" w:ascii="仿宋_GB2312"/>
          <w:b/>
          <w:sz w:val="32"/>
          <w:szCs w:val="32"/>
          <w:lang w:eastAsia="zh-CN"/>
        </w:rPr>
      </w:pPr>
      <w:r>
        <w:rPr>
          <w:rFonts w:hint="eastAsia" w:ascii="仿宋_GB2312"/>
          <w:b/>
          <w:sz w:val="32"/>
          <w:szCs w:val="32"/>
          <w:lang w:val="en-US" w:eastAsia="zh-CN"/>
        </w:rPr>
        <w:t>1.</w:t>
      </w:r>
      <w:r>
        <w:rPr>
          <w:rFonts w:hint="eastAsia" w:ascii="仿宋_GB2312" w:eastAsia="仿宋_GB2312"/>
          <w:b/>
          <w:sz w:val="32"/>
          <w:szCs w:val="32"/>
        </w:rPr>
        <w:t>资金到位情况</w:t>
      </w:r>
      <w:r>
        <w:rPr>
          <w:rFonts w:hint="eastAsia" w:ascii="仿宋_GB2312"/>
          <w:b/>
          <w:sz w:val="32"/>
          <w:szCs w:val="32"/>
          <w:lang w:eastAsia="zh-CN"/>
        </w:rPr>
        <w:t>。</w:t>
      </w:r>
    </w:p>
    <w:p>
      <w:pPr>
        <w:keepNext w:val="0"/>
        <w:keepLines w:val="0"/>
        <w:pageBreakBefore w:val="0"/>
        <w:kinsoku/>
        <w:wordWrap/>
        <w:overflowPunct/>
        <w:topLinePunct w:val="0"/>
        <w:autoSpaceDE/>
        <w:autoSpaceDN/>
        <w:bidi w:val="0"/>
        <w:spacing w:line="540" w:lineRule="exact"/>
        <w:ind w:lef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公务接待工作经费</w:t>
      </w:r>
      <w:r>
        <w:rPr>
          <w:rFonts w:hint="eastAsia" w:ascii="仿宋_GB2312" w:eastAsia="仿宋_GB2312"/>
          <w:sz w:val="32"/>
          <w:szCs w:val="32"/>
        </w:rPr>
        <w:t>到位资金</w:t>
      </w:r>
      <w:r>
        <w:rPr>
          <w:rFonts w:hint="eastAsia" w:ascii="仿宋_GB2312"/>
          <w:sz w:val="32"/>
          <w:szCs w:val="32"/>
          <w:lang w:val="en-US" w:eastAsia="zh-CN"/>
        </w:rPr>
        <w:t>332</w:t>
      </w:r>
      <w:r>
        <w:rPr>
          <w:rFonts w:hint="eastAsia" w:ascii="仿宋_GB2312" w:eastAsia="仿宋_GB2312"/>
          <w:sz w:val="32"/>
          <w:szCs w:val="32"/>
        </w:rPr>
        <w:t>万元</w:t>
      </w:r>
      <w:r>
        <w:rPr>
          <w:rFonts w:hint="eastAsia" w:ascii="仿宋_GB2312"/>
          <w:sz w:val="32"/>
          <w:szCs w:val="32"/>
          <w:lang w:eastAsia="zh-CN"/>
        </w:rPr>
        <w:t>。</w:t>
      </w:r>
    </w:p>
    <w:p>
      <w:pPr>
        <w:keepNext w:val="0"/>
        <w:keepLines w:val="0"/>
        <w:pageBreakBefore w:val="0"/>
        <w:kinsoku/>
        <w:wordWrap/>
        <w:overflowPunct/>
        <w:topLinePunct w:val="0"/>
        <w:autoSpaceDE/>
        <w:autoSpaceDN/>
        <w:bidi w:val="0"/>
        <w:spacing w:line="540" w:lineRule="exact"/>
        <w:ind w:leftChars="0" w:firstLine="642" w:firstLineChars="200"/>
        <w:textAlignment w:val="auto"/>
        <w:rPr>
          <w:rFonts w:hint="eastAsia" w:ascii="仿宋_GB2312" w:hAnsi="仿宋_GB2312" w:eastAsia="仿宋_GB2312" w:cs="仿宋_GB2312"/>
          <w:sz w:val="32"/>
          <w:szCs w:val="32"/>
          <w:lang w:eastAsia="zh-CN"/>
        </w:rPr>
      </w:pPr>
      <w:r>
        <w:rPr>
          <w:rFonts w:hint="eastAsia" w:ascii="仿宋_GB2312"/>
          <w:b/>
          <w:sz w:val="32"/>
          <w:szCs w:val="32"/>
          <w:lang w:val="en-US" w:eastAsia="zh-CN"/>
        </w:rPr>
        <w:t>2.</w:t>
      </w:r>
      <w:r>
        <w:rPr>
          <w:rFonts w:hint="eastAsia" w:ascii="仿宋_GB2312" w:eastAsia="仿宋_GB2312"/>
          <w:b/>
          <w:sz w:val="32"/>
          <w:szCs w:val="32"/>
        </w:rPr>
        <w:t>资金管理情况</w:t>
      </w:r>
      <w:r>
        <w:rPr>
          <w:rFonts w:hint="eastAsia" w:ascii="仿宋_GB2312"/>
          <w:b/>
          <w:sz w:val="32"/>
          <w:szCs w:val="32"/>
          <w:lang w:eastAsia="zh-CN"/>
        </w:rPr>
        <w:t>。</w:t>
      </w:r>
      <w:r>
        <w:rPr>
          <w:rFonts w:hint="eastAsia" w:ascii="仿宋_GB2312" w:hAnsi="仿宋_GB2312" w:eastAsia="仿宋_GB2312" w:cs="仿宋_GB2312"/>
          <w:sz w:val="32"/>
          <w:szCs w:val="32"/>
          <w:lang w:eastAsia="zh-CN"/>
        </w:rPr>
        <w:t>该项目资金实行专款专用，资金使用规范，严格执行相关财务管理制度，资金转付严格按照财务审批程序进行，会计核算结果真实、准确</w:t>
      </w:r>
      <w:r>
        <w:rPr>
          <w:rFonts w:hint="eastAsia" w:ascii="仿宋_GB2312" w:hAnsi="仿宋_GB2312" w:cs="仿宋_GB2312"/>
          <w:sz w:val="32"/>
          <w:szCs w:val="32"/>
          <w:lang w:eastAsia="zh-CN"/>
        </w:rPr>
        <w:t>。</w:t>
      </w:r>
    </w:p>
    <w:p>
      <w:pPr>
        <w:keepNext w:val="0"/>
        <w:keepLines w:val="0"/>
        <w:pageBreakBefore w:val="0"/>
        <w:kinsoku/>
        <w:wordWrap/>
        <w:overflowPunct/>
        <w:topLinePunct w:val="0"/>
        <w:autoSpaceDE/>
        <w:autoSpaceDN/>
        <w:bidi w:val="0"/>
        <w:spacing w:line="540" w:lineRule="exact"/>
        <w:ind w:leftChars="0" w:firstLine="642" w:firstLineChars="200"/>
        <w:textAlignment w:val="auto"/>
        <w:rPr>
          <w:rFonts w:hint="eastAsia" w:ascii="仿宋_GB2312" w:hAnsi="仿宋_GB2312" w:eastAsia="仿宋_GB2312" w:cs="仿宋_GB2312"/>
          <w:color w:val="auto"/>
          <w:szCs w:val="32"/>
          <w:lang w:eastAsia="zh-CN"/>
        </w:rPr>
      </w:pPr>
      <w:r>
        <w:rPr>
          <w:rFonts w:hint="eastAsia" w:ascii="仿宋_GB2312"/>
          <w:b/>
          <w:bCs/>
          <w:sz w:val="32"/>
          <w:szCs w:val="32"/>
          <w:lang w:val="en-US" w:eastAsia="zh-CN"/>
        </w:rPr>
        <w:t>3.</w:t>
      </w:r>
      <w:r>
        <w:rPr>
          <w:rFonts w:hint="eastAsia" w:ascii="仿宋_GB2312" w:eastAsia="仿宋_GB2312"/>
          <w:b/>
          <w:bCs/>
          <w:sz w:val="32"/>
          <w:szCs w:val="32"/>
        </w:rPr>
        <w:t>资金使用情况</w:t>
      </w:r>
      <w:r>
        <w:rPr>
          <w:rFonts w:hint="eastAsia" w:ascii="仿宋_GB2312"/>
          <w:b/>
          <w:bCs/>
          <w:sz w:val="32"/>
          <w:szCs w:val="32"/>
          <w:lang w:eastAsia="zh-CN"/>
        </w:rPr>
        <w:t>。</w:t>
      </w:r>
      <w:r>
        <w:rPr>
          <w:rFonts w:hint="eastAsia" w:ascii="仿宋_GB2312" w:hAnsi="仿宋_GB2312" w:eastAsia="仿宋_GB2312" w:cs="仿宋_GB2312"/>
          <w:sz w:val="32"/>
          <w:szCs w:val="32"/>
          <w:lang w:eastAsia="zh-CN"/>
        </w:rPr>
        <w:t>该资金使用符合中央八项规定精神，省委、省政府十项规定和有关公务接待法规，符合有关财经制度规定，符合州委、州政府工作大局和部门年度工作计划。州庆后勤保障经费到位及时，支出合法合规、及时，审批程序符合有关财经规定，不存在挪用、挤占、截留和虚列支出等情况，不存在超标准开支情况。总计支付</w:t>
      </w:r>
      <w:r>
        <w:rPr>
          <w:rFonts w:hint="eastAsia" w:ascii="仿宋_GB2312" w:hAnsi="仿宋_GB2312" w:eastAsia="仿宋_GB2312" w:cs="仿宋_GB2312"/>
          <w:color w:val="auto"/>
          <w:szCs w:val="32"/>
          <w:lang w:eastAsia="zh-CN"/>
        </w:rPr>
        <w:t>332万元，其中酒店住宿费93万元、酒店餐饮费96万元、酒店氛围营造费10万元、物资采购86万元、打印费30万元、培训费15万元、搬运清扫费2万元。</w:t>
      </w:r>
    </w:p>
    <w:p>
      <w:pPr>
        <w:keepNext w:val="0"/>
        <w:keepLines w:val="0"/>
        <w:pageBreakBefore w:val="0"/>
        <w:kinsoku/>
        <w:wordWrap/>
        <w:overflowPunct/>
        <w:topLinePunct w:val="0"/>
        <w:autoSpaceDE/>
        <w:autoSpaceDN/>
        <w:bidi w:val="0"/>
        <w:spacing w:line="540" w:lineRule="exact"/>
        <w:ind w:leftChars="0" w:firstLine="642" w:firstLineChars="200"/>
        <w:textAlignment w:val="auto"/>
        <w:rPr>
          <w:rFonts w:hint="eastAsia" w:ascii="Times New Roman" w:hAnsi="Times New Roman" w:cs="Times New Roman"/>
          <w:color w:val="auto"/>
          <w:szCs w:val="32"/>
          <w:lang w:val="zh-CN" w:eastAsia="zh-CN"/>
        </w:rPr>
      </w:pPr>
      <w:r>
        <w:rPr>
          <w:rFonts w:hint="eastAsia" w:ascii="楷体_GB2312" w:hAnsi="宋体" w:eastAsia="楷体_GB2312"/>
          <w:b/>
          <w:bCs w:val="0"/>
          <w:color w:val="auto"/>
          <w:sz w:val="32"/>
          <w:szCs w:val="32"/>
          <w:highlight w:val="none"/>
          <w:u w:val="none"/>
          <w:lang w:val="en-US" w:eastAsia="zh-CN"/>
        </w:rPr>
        <w:t>（四）项目结果。</w:t>
      </w:r>
      <w:r>
        <w:rPr>
          <w:rFonts w:hint="eastAsia" w:ascii="Times New Roman" w:hAnsi="Times New Roman" w:cs="Times New Roman"/>
          <w:color w:val="auto"/>
          <w:szCs w:val="32"/>
          <w:lang w:val="zh-CN" w:eastAsia="zh-CN"/>
        </w:rPr>
        <w:t>项目预期基本实现</w:t>
      </w:r>
      <w:r>
        <w:rPr>
          <w:rFonts w:hint="eastAsia" w:ascii="Times New Roman" w:hAnsi="Times New Roman" w:cs="Times New Roman"/>
          <w:color w:val="auto"/>
          <w:szCs w:val="32"/>
          <w:lang w:val="en-US" w:eastAsia="zh-CN"/>
        </w:rPr>
        <w:t>，并根据资金管理规定，及时进行支付。</w:t>
      </w:r>
    </w:p>
    <w:p>
      <w:pPr>
        <w:pStyle w:val="5"/>
        <w:keepNext w:val="0"/>
        <w:keepLines w:val="0"/>
        <w:pageBreakBefore w:val="0"/>
        <w:numPr>
          <w:ilvl w:val="0"/>
          <w:numId w:val="0"/>
        </w:numPr>
        <w:kinsoku/>
        <w:wordWrap/>
        <w:overflowPunct/>
        <w:topLinePunct w:val="0"/>
        <w:autoSpaceDE/>
        <w:autoSpaceDN/>
        <w:bidi w:val="0"/>
        <w:adjustRightInd/>
        <w:spacing w:line="540" w:lineRule="exact"/>
        <w:ind w:leftChars="0"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keepNext w:val="0"/>
        <w:keepLines w:val="0"/>
        <w:pageBreakBefore w:val="0"/>
        <w:kinsoku/>
        <w:wordWrap/>
        <w:overflowPunct/>
        <w:topLinePunct w:val="0"/>
        <w:autoSpaceDE/>
        <w:autoSpaceDN/>
        <w:bidi w:val="0"/>
        <w:spacing w:line="540" w:lineRule="exact"/>
        <w:ind w:leftChars="0" w:firstLine="640" w:firstLineChars="200"/>
        <w:textAlignment w:val="auto"/>
        <w:rPr>
          <w:rFonts w:hint="eastAsia" w:ascii="Times New Roman" w:hAnsi="Times New Roman" w:cs="Times New Roman"/>
          <w:color w:val="auto"/>
          <w:szCs w:val="32"/>
          <w:lang w:val="zh-CN" w:eastAsia="zh-CN"/>
        </w:rPr>
      </w:pPr>
      <w:r>
        <w:rPr>
          <w:rFonts w:hint="eastAsia" w:ascii="Times New Roman" w:hAnsi="Times New Roman" w:cs="Times New Roman"/>
          <w:color w:val="auto"/>
          <w:szCs w:val="32"/>
          <w:lang w:val="zh-CN" w:eastAsia="zh-CN"/>
        </w:rPr>
        <w:t>州公务服务中心克服时间紧、任务重、要求高、基础差的情况，创新实施“点长责任制”工作方法，采取“1点长+N员”的工作模式，确保了整个庆祝活动的后勤保障科学、规范、高效，得到了国家、省、州各级来宾的一致赞扬。绩效评价得分100分。</w:t>
      </w:r>
    </w:p>
    <w:p>
      <w:pPr>
        <w:pStyle w:val="5"/>
        <w:keepNext w:val="0"/>
        <w:keepLines w:val="0"/>
        <w:pageBreakBefore w:val="0"/>
        <w:numPr>
          <w:ilvl w:val="0"/>
          <w:numId w:val="0"/>
        </w:numPr>
        <w:kinsoku/>
        <w:wordWrap/>
        <w:overflowPunct/>
        <w:topLinePunct w:val="0"/>
        <w:autoSpaceDE/>
        <w:autoSpaceDN/>
        <w:bidi w:val="0"/>
        <w:adjustRightInd/>
        <w:spacing w:line="480" w:lineRule="exact"/>
        <w:ind w:leftChars="0"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cs="Times New Roman"/>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pPr>
        <w:pStyle w:val="5"/>
        <w:keepNext w:val="0"/>
        <w:keepLines w:val="0"/>
        <w:pageBreakBefore w:val="0"/>
        <w:numPr>
          <w:ilvl w:val="0"/>
          <w:numId w:val="0"/>
        </w:numPr>
        <w:kinsoku/>
        <w:wordWrap/>
        <w:overflowPunct/>
        <w:topLinePunct w:val="0"/>
        <w:autoSpaceDE/>
        <w:autoSpaceDN/>
        <w:bidi w:val="0"/>
        <w:adjustRightInd/>
        <w:spacing w:line="480" w:lineRule="exact"/>
        <w:ind w:leftChars="0"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pPr>
        <w:pStyle w:val="5"/>
        <w:keepNext w:val="0"/>
        <w:keepLines w:val="0"/>
        <w:pageBreakBefore w:val="0"/>
        <w:numPr>
          <w:ilvl w:val="0"/>
          <w:numId w:val="0"/>
        </w:numPr>
        <w:kinsoku/>
        <w:wordWrap/>
        <w:overflowPunct/>
        <w:topLinePunct w:val="0"/>
        <w:autoSpaceDE/>
        <w:autoSpaceDN/>
        <w:bidi w:val="0"/>
        <w:adjustRightInd/>
        <w:spacing w:line="480" w:lineRule="exact"/>
        <w:ind w:leftChars="0"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keepNext w:val="0"/>
        <w:keepLines w:val="0"/>
        <w:pageBreakBefore w:val="0"/>
        <w:tabs>
          <w:tab w:val="left" w:pos="1911"/>
        </w:tabs>
        <w:kinsoku/>
        <w:wordWrap/>
        <w:overflowPunct/>
        <w:topLinePunct w:val="0"/>
        <w:autoSpaceDE/>
        <w:autoSpaceDN/>
        <w:bidi w:val="0"/>
        <w:adjustRightInd/>
        <w:spacing w:line="480" w:lineRule="exact"/>
        <w:ind w:leftChars="0" w:firstLine="640" w:firstLineChars="200"/>
        <w:jc w:val="left"/>
        <w:textAlignment w:val="auto"/>
        <w:rPr>
          <w:rFonts w:hint="eastAsia" w:ascii="仿宋_GB2312" w:hAnsi="仿宋_GB2312" w:eastAsia="仿宋_GB2312" w:cs="仿宋_GB2312"/>
          <w:b w:val="0"/>
          <w:bCs w:val="0"/>
          <w:kern w:val="0"/>
          <w:position w:val="0"/>
          <w:sz w:val="32"/>
          <w:szCs w:val="32"/>
          <w:highlight w:val="none"/>
          <w:lang w:val="en" w:eastAsia="zh-CN" w:bidi="ar-SA"/>
        </w:rPr>
      </w:pPr>
      <w:bookmarkStart w:id="0" w:name="_Hlk110546638"/>
      <w:r>
        <w:rPr>
          <w:rFonts w:hint="eastAsia" w:ascii="仿宋_GB2312" w:hAnsi="仿宋_GB2312" w:cs="仿宋_GB2312"/>
          <w:b w:val="0"/>
          <w:bCs w:val="0"/>
          <w:kern w:val="0"/>
          <w:position w:val="0"/>
          <w:sz w:val="32"/>
          <w:szCs w:val="32"/>
          <w:highlight w:val="none"/>
          <w:lang w:val="en-US" w:eastAsia="zh-CN" w:bidi="ar-SA"/>
        </w:rPr>
        <w:t>无</w:t>
      </w:r>
    </w:p>
    <w:bookmarkEnd w:id="0"/>
    <w:p>
      <w:pPr>
        <w:keepNext w:val="0"/>
        <w:keepLines w:val="0"/>
        <w:pageBreakBefore w:val="0"/>
        <w:kinsoku/>
        <w:wordWrap/>
        <w:overflowPunct/>
        <w:topLinePunct w:val="0"/>
        <w:autoSpaceDE/>
        <w:autoSpaceDN/>
        <w:bidi w:val="0"/>
        <w:adjustRightInd/>
        <w:snapToGrid w:val="0"/>
        <w:spacing w:line="480" w:lineRule="exact"/>
        <w:ind w:left="0" w:leftChars="0" w:firstLine="64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pPr>
        <w:keepNext w:val="0"/>
        <w:keepLines w:val="0"/>
        <w:pageBreakBefore w:val="0"/>
        <w:kinsoku/>
        <w:wordWrap/>
        <w:overflowPunct/>
        <w:topLinePunct w:val="0"/>
        <w:autoSpaceDE/>
        <w:autoSpaceDN/>
        <w:bidi w:val="0"/>
        <w:adjustRightInd/>
        <w:snapToGrid w:val="0"/>
        <w:spacing w:line="480" w:lineRule="exact"/>
        <w:ind w:left="0" w:leftChars="0" w:firstLine="640" w:firstLineChars="200"/>
        <w:textAlignment w:val="auto"/>
        <w:outlineLvl w:val="9"/>
        <w:rPr>
          <w:rFonts w:hint="eastAsia"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附</w:t>
      </w:r>
      <w:r>
        <w:rPr>
          <w:rFonts w:hint="eastAsia" w:cs="Times New Roman"/>
          <w:color w:val="000000"/>
          <w:kern w:val="0"/>
          <w:szCs w:val="32"/>
          <w:highlight w:val="none"/>
          <w:shd w:val="clear" w:color="auto" w:fill="FFFFFF"/>
          <w:lang w:val="en-US" w:eastAsia="zh-CN"/>
        </w:rPr>
        <w:t>件</w:t>
      </w:r>
      <w:r>
        <w:rPr>
          <w:rFonts w:hint="eastAsia" w:ascii="Times New Roman" w:hAnsi="Times New Roman" w:cs="Times New Roman"/>
          <w:color w:val="000000"/>
          <w:kern w:val="0"/>
          <w:szCs w:val="32"/>
          <w:highlight w:val="none"/>
          <w:shd w:val="clear" w:color="auto" w:fill="FFFFFF"/>
          <w:lang w:val="en-US" w:eastAsia="zh-CN"/>
        </w:rPr>
        <w:t>1.项目资金分配涉及所有点位自评得分情况表</w:t>
      </w:r>
    </w:p>
    <w:p>
      <w:pPr>
        <w:keepNext w:val="0"/>
        <w:keepLines w:val="0"/>
        <w:pageBreakBefore w:val="0"/>
        <w:widowControl w:val="0"/>
        <w:numPr>
          <w:ilvl w:val="0"/>
          <w:numId w:val="1"/>
        </w:numPr>
        <w:kinsoku/>
        <w:wordWrap/>
        <w:overflowPunct/>
        <w:topLinePunct w:val="0"/>
        <w:autoSpaceDE/>
        <w:autoSpaceDN/>
        <w:bidi w:val="0"/>
        <w:adjustRightInd/>
        <w:snapToGrid w:val="0"/>
        <w:spacing w:line="480" w:lineRule="exact"/>
        <w:ind w:left="0" w:leftChars="0" w:firstLine="1376" w:firstLineChars="43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专项预算项目绩效目标完成情况自评表</w:t>
      </w:r>
    </w:p>
    <w:p>
      <w:pPr>
        <w:keepNext w:val="0"/>
        <w:keepLines w:val="0"/>
        <w:pageBreakBefore w:val="0"/>
        <w:widowControl w:val="0"/>
        <w:numPr>
          <w:ilvl w:val="0"/>
          <w:numId w:val="1"/>
        </w:numPr>
        <w:kinsoku/>
        <w:wordWrap/>
        <w:overflowPunct/>
        <w:topLinePunct w:val="0"/>
        <w:autoSpaceDE/>
        <w:autoSpaceDN/>
        <w:bidi w:val="0"/>
        <w:adjustRightInd/>
        <w:snapToGrid w:val="0"/>
        <w:spacing w:line="480" w:lineRule="exact"/>
        <w:ind w:left="0" w:leftChars="0" w:firstLine="1376" w:firstLineChars="43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专项预算项目绩效评价指标体系</w:t>
      </w:r>
    </w:p>
    <w:p>
      <w:pPr>
        <w:pStyle w:val="2"/>
        <w:widowControl w:val="0"/>
        <w:numPr>
          <w:numId w:val="0"/>
        </w:numPr>
        <w:spacing w:after="120"/>
        <w:jc w:val="both"/>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r>
        <w:rPr>
          <w:rFonts w:hint="eastAsia" w:cs="Times New Roman"/>
          <w:sz w:val="32"/>
          <w:szCs w:val="32"/>
          <w:lang w:val="en-US" w:eastAsia="zh-CN"/>
        </w:rPr>
        <w:t xml:space="preserve">                        </w:t>
      </w:r>
      <w:r>
        <w:rPr>
          <w:rFonts w:hint="default" w:ascii="Times New Roman" w:hAnsi="Times New Roman" w:eastAsia="仿宋_GB2312" w:cs="Times New Roman"/>
          <w:sz w:val="32"/>
          <w:szCs w:val="32"/>
          <w:lang w:eastAsia="zh-CN"/>
        </w:rPr>
        <w:t>阿坝州公务服务中心</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2024年8月</w:t>
      </w:r>
      <w:r>
        <w:rPr>
          <w:rFonts w:hint="eastAsia" w:cs="Times New Roman"/>
          <w:sz w:val="32"/>
          <w:szCs w:val="32"/>
          <w:lang w:val="en-US" w:eastAsia="zh-CN"/>
        </w:rPr>
        <w:t>7</w:t>
      </w:r>
      <w:r>
        <w:rPr>
          <w:rFonts w:hint="default" w:ascii="Times New Roman" w:hAnsi="Times New Roman" w:eastAsia="仿宋_GB2312" w:cs="Times New Roman"/>
          <w:sz w:val="32"/>
          <w:szCs w:val="32"/>
          <w:lang w:val="en-US" w:eastAsia="zh-CN"/>
        </w:rPr>
        <w:t>日</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cs="Times New Roman"/>
          <w:sz w:val="32"/>
          <w:szCs w:val="32"/>
          <w:lang w:val="en-US" w:eastAsia="zh-CN"/>
        </w:rPr>
      </w:pPr>
    </w:p>
    <w:p>
      <w:pPr>
        <w:rPr>
          <w:rFonts w:hint="default"/>
          <w:lang w:val="en-US" w:eastAsia="zh-CN"/>
        </w:rPr>
      </w:pPr>
    </w:p>
    <w:p>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r>
        <w:rPr>
          <w:rFonts w:hint="eastAsia" w:ascii="Times New Roman" w:hAnsi="Times New Roman" w:cs="Times New Roman"/>
          <w:color w:val="000000"/>
          <w:kern w:val="0"/>
          <w:szCs w:val="32"/>
          <w:highlight w:val="none"/>
          <w:shd w:val="clear" w:color="auto" w:fill="FFFFFF"/>
          <w:lang w:val="zh-CN" w:eastAsia="zh-CN"/>
        </w:rPr>
        <w:br w:type="page"/>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rPr>
          <w:rFonts w:hint="eastAsia" w:ascii="黑体" w:hAnsi="黑体" w:eastAsia="黑体" w:cs="黑体"/>
          <w:b w:val="0"/>
          <w:bCs w:val="0"/>
          <w:color w:val="auto"/>
          <w:kern w:val="0"/>
          <w:sz w:val="32"/>
          <w:szCs w:val="32"/>
          <w:highlight w:val="none"/>
          <w:u w:val="none"/>
          <w:shd w:val="clear" w:color="auto" w:fill="FFFFFF"/>
          <w:lang w:val="en-US" w:eastAsia="zh-CN"/>
        </w:rPr>
      </w:pPr>
      <w:r>
        <w:rPr>
          <w:rFonts w:hint="eastAsia" w:ascii="黑体" w:hAnsi="黑体" w:eastAsia="黑体" w:cs="黑体"/>
          <w:b w:val="0"/>
          <w:bCs w:val="0"/>
          <w:color w:val="auto"/>
          <w:kern w:val="0"/>
          <w:sz w:val="32"/>
          <w:szCs w:val="32"/>
          <w:highlight w:val="none"/>
          <w:u w:val="none"/>
          <w:shd w:val="clear" w:color="auto" w:fill="FFFFFF"/>
          <w:lang w:val="zh-CN" w:eastAsia="zh-CN"/>
        </w:rPr>
        <w:t>附件</w:t>
      </w:r>
      <w:r>
        <w:rPr>
          <w:rFonts w:hint="eastAsia" w:ascii="黑体" w:hAnsi="黑体" w:eastAsia="黑体" w:cs="黑体"/>
          <w:b w:val="0"/>
          <w:bCs w:val="0"/>
          <w:color w:val="auto"/>
          <w:kern w:val="0"/>
          <w:sz w:val="32"/>
          <w:szCs w:val="32"/>
          <w:highlight w:val="none"/>
          <w:u w:val="none"/>
          <w:shd w:val="clear" w:color="auto" w:fill="FFFFFF"/>
          <w:lang w:val="en-US" w:eastAsia="zh-CN"/>
        </w:rPr>
        <w:t>1：</w:t>
      </w:r>
    </w:p>
    <w:p>
      <w:pPr>
        <w:pStyle w:val="2"/>
        <w:rPr>
          <w:rFonts w:hint="eastAsia"/>
          <w:lang w:val="zh-CN" w:eastAsia="zh-CN"/>
        </w:rPr>
      </w:pPr>
    </w:p>
    <w:p>
      <w:pPr>
        <w:keepNext w:val="0"/>
        <w:keepLines w:val="0"/>
        <w:pageBreakBefore w:val="0"/>
        <w:kinsoku/>
        <w:wordWrap/>
        <w:overflowPunct/>
        <w:topLinePunct w:val="0"/>
        <w:autoSpaceDE/>
        <w:autoSpaceDN/>
        <w:bidi w:val="0"/>
        <w:spacing w:line="578" w:lineRule="exact"/>
        <w:ind w:left="0" w:leftChars="0"/>
        <w:jc w:val="center"/>
        <w:textAlignment w:val="auto"/>
        <w:rPr>
          <w:rFonts w:hint="eastAsia" w:ascii="方正小标宋_GBK" w:hAnsi="方正小标宋_GBK" w:eastAsia="方正小标宋_GBK" w:cs="方正小标宋_GBK"/>
          <w:b w:val="0"/>
          <w:bCs w:val="0"/>
          <w:color w:val="auto"/>
          <w:sz w:val="40"/>
          <w:szCs w:val="40"/>
          <w:highlight w:val="none"/>
          <w:u w:val="none"/>
          <w:lang w:val="en-US" w:eastAsia="zh-CN"/>
        </w:rPr>
      </w:pPr>
      <w:r>
        <w:rPr>
          <w:rFonts w:hint="eastAsia" w:ascii="方正小标宋_GBK" w:hAnsi="方正小标宋_GBK" w:eastAsia="方正小标宋_GBK" w:cs="方正小标宋_GBK"/>
          <w:b w:val="0"/>
          <w:bCs w:val="0"/>
          <w:color w:val="auto"/>
          <w:sz w:val="40"/>
          <w:szCs w:val="40"/>
          <w:highlight w:val="none"/>
          <w:u w:val="none"/>
          <w:lang w:val="en-US" w:eastAsia="zh-CN"/>
        </w:rPr>
        <w:t>项目资金分配涉及所有点位自评得分情况表</w:t>
      </w:r>
    </w:p>
    <w:tbl>
      <w:tblPr>
        <w:tblStyle w:val="12"/>
        <w:tblW w:w="8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3860"/>
        <w:gridCol w:w="2873"/>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序号</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u w:val="none"/>
                <w:vertAlign w:val="baseline"/>
                <w:lang w:val="en" w:eastAsia="zh-CN"/>
              </w:rPr>
            </w:pPr>
            <w:r>
              <w:rPr>
                <w:rFonts w:hint="eastAsia" w:ascii="黑体" w:hAnsi="黑体" w:eastAsia="黑体" w:cs="黑体"/>
                <w:b w:val="0"/>
                <w:bCs w:val="0"/>
                <w:color w:val="auto"/>
                <w:sz w:val="24"/>
                <w:szCs w:val="24"/>
                <w:highlight w:val="none"/>
                <w:u w:val="none"/>
                <w:vertAlign w:val="baseline"/>
                <w:lang w:val="en-US" w:eastAsia="zh-CN"/>
              </w:rPr>
              <w:t>项目资金末端分配点位</w:t>
            </w: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 w:eastAsia="zh-CN"/>
              </w:rPr>
              <w:t>自评得分（百分制）</w:t>
            </w: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黑体" w:hAnsi="黑体" w:eastAsia="黑体" w:cs="黑体"/>
                <w:b w:val="0"/>
                <w:bCs w:val="0"/>
                <w:color w:val="auto"/>
                <w:sz w:val="24"/>
                <w:szCs w:val="24"/>
                <w:highlight w:val="none"/>
                <w:u w:val="none"/>
                <w:vertAlign w:val="baseline"/>
                <w:lang w:val="en-US" w:eastAsia="zh-CN"/>
              </w:rPr>
            </w:pPr>
            <w:r>
              <w:rPr>
                <w:rFonts w:hint="eastAsia" w:ascii="黑体" w:hAnsi="黑体" w:eastAsia="黑体" w:cs="黑体"/>
                <w:b w:val="0"/>
                <w:bCs w:val="0"/>
                <w:color w:val="auto"/>
                <w:sz w:val="24"/>
                <w:szCs w:val="24"/>
                <w:highlight w:val="none"/>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r>
              <w:rPr>
                <w:rFonts w:hint="eastAsia" w:ascii="宋体" w:hAnsi="宋体" w:cs="宋体"/>
                <w:color w:val="auto"/>
                <w:sz w:val="24"/>
                <w:szCs w:val="24"/>
                <w:highlight w:val="none"/>
                <w:u w:val="none"/>
                <w:vertAlign w:val="baseline"/>
                <w:lang w:val="en" w:eastAsia="zh-CN"/>
              </w:rPr>
              <w:t>阿坝州公务服务中心</w:t>
            </w: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宋体" w:hAnsi="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优</w:t>
            </w: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12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w:t>
            </w:r>
          </w:p>
        </w:tc>
        <w:tc>
          <w:tcPr>
            <w:tcW w:w="386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287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 w:eastAsia="zh-CN"/>
              </w:rPr>
            </w:pPr>
          </w:p>
        </w:tc>
        <w:tc>
          <w:tcPr>
            <w:tcW w:w="99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cs="宋体"/>
                <w:color w:val="auto"/>
                <w:sz w:val="24"/>
                <w:szCs w:val="24"/>
                <w:highlight w:val="none"/>
                <w:u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备注：1.项目资金末端分配点位包括州本级、县（市）、州级部门下属单位及一次性单位等。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630" w:firstLineChars="300"/>
        <w:jc w:val="left"/>
        <w:textAlignment w:val="auto"/>
        <w:rPr>
          <w:rFonts w:hint="eastAsia" w:ascii="宋体" w:hAnsi="宋体" w:eastAsia="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sz w:val="21"/>
          <w:szCs w:val="21"/>
          <w:highlight w:val="none"/>
          <w:u w:val="none"/>
          <w:vertAlign w:val="baseline"/>
          <w:lang w:val="en-US" w:eastAsia="zh-CN"/>
        </w:rPr>
        <w:t>2.自评得分（百分制）从高到低划分为优、良、中、差四个档次，各个档次数量占比分别为20%、20%、55%、5%，且不同档次间得分分值应体现差异化，同档次得分分值相同的比例不超过该档次总数量的10%。</w:t>
      </w:r>
    </w:p>
    <w:p>
      <w:pPr>
        <w:rPr>
          <w:rFonts w:hint="eastAsia" w:ascii="Times New Roman" w:hAnsi="Times New Roman" w:eastAsia="仿宋_GB2312" w:cs="Times New Roman"/>
          <w:kern w:val="2"/>
          <w:sz w:val="32"/>
          <w:szCs w:val="24"/>
          <w:highlight w:val="none"/>
          <w:lang w:val="en-US" w:eastAsia="zh-CN" w:bidi="ar-SA"/>
        </w:rPr>
      </w:pPr>
      <w:r>
        <w:rPr>
          <w:rFonts w:hint="eastAsia" w:ascii="Times New Roman" w:hAnsi="Times New Roman" w:eastAsia="仿宋_GB2312" w:cs="Times New Roman"/>
          <w:kern w:val="2"/>
          <w:sz w:val="32"/>
          <w:szCs w:val="24"/>
          <w:highlight w:val="none"/>
          <w:lang w:val="en-US" w:eastAsia="zh-CN" w:bidi="ar-SA"/>
        </w:rPr>
        <w:br w:type="page"/>
      </w:r>
    </w:p>
    <w:p>
      <w:pPr>
        <w:pStyle w:val="10"/>
        <w:keepNext w:val="0"/>
        <w:keepLines w:val="0"/>
        <w:pageBreakBefore w:val="0"/>
        <w:kinsoku/>
        <w:wordWrap/>
        <w:overflowPunct/>
        <w:topLinePunct w:val="0"/>
        <w:autoSpaceDE/>
        <w:autoSpaceDN/>
        <w:bidi w:val="0"/>
        <w:spacing w:after="0" w:line="578" w:lineRule="exact"/>
        <w:ind w:left="0" w:leftChars="0" w:firstLine="0" w:firstLineChars="0"/>
        <w:rPr>
          <w:rFonts w:hint="eastAsia" w:asci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w:t>
      </w:r>
      <w:r>
        <w:rPr>
          <w:rFonts w:hint="eastAsia" w:ascii="Times New Roman" w:eastAsia="黑体" w:cs="Times New Roman"/>
          <w:kern w:val="2"/>
          <w:sz w:val="32"/>
          <w:szCs w:val="24"/>
          <w:highlight w:val="none"/>
          <w:lang w:val="en-US" w:eastAsia="zh-CN" w:bidi="ar-SA"/>
        </w:rPr>
        <w:t>件</w:t>
      </w:r>
      <w:r>
        <w:rPr>
          <w:rFonts w:hint="default" w:ascii="Times New Roman" w:hAnsi="Times New Roman" w:eastAsia="黑体" w:cs="Times New Roman"/>
          <w:kern w:val="2"/>
          <w:sz w:val="32"/>
          <w:szCs w:val="24"/>
          <w:highlight w:val="none"/>
          <w:lang w:val="en-US" w:eastAsia="zh-CN" w:bidi="ar-SA"/>
        </w:rPr>
        <w:t>2</w:t>
      </w:r>
      <w:r>
        <w:rPr>
          <w:rFonts w:hint="eastAsia" w:ascii="Times New Roman" w:eastAsia="黑体" w:cs="Times New Roman"/>
          <w:kern w:val="2"/>
          <w:sz w:val="32"/>
          <w:szCs w:val="24"/>
          <w:highlight w:val="none"/>
          <w:lang w:val="en-US" w:eastAsia="zh-CN" w:bidi="ar-SA"/>
        </w:rPr>
        <w:t>：</w:t>
      </w:r>
    </w:p>
    <w:p>
      <w:pPr>
        <w:pStyle w:val="10"/>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eastAsia="黑体" w:cs="Times New Roman"/>
          <w:kern w:val="2"/>
          <w:sz w:val="32"/>
          <w:szCs w:val="24"/>
          <w:highlight w:val="none"/>
          <w:lang w:val="en-US" w:eastAsia="zh-CN" w:bidi="ar-SA"/>
        </w:rPr>
      </w:pPr>
    </w:p>
    <w:tbl>
      <w:tblPr>
        <w:tblStyle w:val="11"/>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州庆后勤保障经费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阿坝州公务服务中心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特定目标类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sym w:font="Wingdings 2" w:char="0052"/>
            </w: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eastAsia="zh-CN"/>
              </w:rPr>
              <w:t>中共阿坝州委办公室、阿坝州人民政府关于调整阿坝州建州</w:t>
            </w:r>
            <w:r>
              <w:rPr>
                <w:rFonts w:hint="eastAsia" w:ascii="宋体" w:hAnsi="宋体" w:eastAsia="宋体" w:cs="宋体"/>
                <w:i w:val="0"/>
                <w:color w:val="000000"/>
                <w:sz w:val="24"/>
                <w:szCs w:val="24"/>
                <w:u w:val="none"/>
                <w:lang w:val="en-US" w:eastAsia="zh-CN"/>
              </w:rPr>
              <w:t>70周年庆祝活动筹备工作领导小组和建州70周年项目推进指挥部成员的通知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来宾、工作人员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tabs>
                <w:tab w:val="left" w:pos="857"/>
              </w:tabs>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both"/>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righ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阿坝州成立70周年庆祝活动圆满完成，支付州庆后勤保障经费总计332万元，其中酒店住宿费93万元、酒店餐饮费96万元、酒店氛围营造费10万元、物资采购86万元、打印费30万元、培训费15万元、搬运清扫费2万元。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及时性</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如期完成</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40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资金实际支付率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30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ind w:left="0" w:leftChars="0"/>
              <w:jc w:val="center"/>
              <w:rPr>
                <w:rFonts w:hint="eastAsia" w:ascii="宋体" w:hAnsi="宋体" w:eastAsia="宋体" w:cs="宋体"/>
                <w:i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费用控超支率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未超支</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未超支</w:t>
            </w:r>
          </w:p>
        </w:tc>
      </w:tr>
    </w:tbl>
    <w:p>
      <w:pPr>
        <w:pStyle w:val="10"/>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sectPr>
      <w:headerReference r:id="rId3" w:type="default"/>
      <w:footerReference r:id="rId4" w:type="default"/>
      <w:pgSz w:w="11906" w:h="16838"/>
      <w:pgMar w:top="2154" w:right="1474" w:bottom="1984" w:left="1587" w:header="851" w:footer="1587"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仿宋"/>
    <w:panose1 w:val="00000000000000000000"/>
    <w:charset w:val="00"/>
    <w:family w:val="roman"/>
    <w:pitch w:val="default"/>
    <w:sig w:usb0="00000000" w:usb1="00000000" w:usb2="00000000" w:usb3="00000000" w:csb0="00000000" w:csb1="00000000"/>
  </w:font>
  <w:font w:name="方正小标宋_GBK">
    <w:panose1 w:val="03000502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4837430</wp:posOffset>
              </wp:positionH>
              <wp:positionV relativeFrom="paragraph">
                <wp:posOffset>0</wp:posOffset>
              </wp:positionV>
              <wp:extent cx="779145"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791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380.9pt;margin-top:0pt;height:144pt;width:61.35pt;mso-position-horizontal-relative:margin;z-index:251659264;mso-width-relative:page;mso-height-relative:page;" filled="f" stroked="f" coordsize="21600,21600" o:gfxdata="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AlopBO1wAAAAgBAAAPAAAAAAAAAAEAIAAAADgAAABkcnMvZG93bnJl&#10;di54bWxQSwECFAAUAAAACACHTuJA7bZ0tCECAAAqBAAADgAAAAAAAAABACAAAAA8AQAAZHJzL2Uy&#10;b0RvYy54bWxQSwUGAAAAAAYABgBZAQAAzw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D60BE"/>
    <w:multiLevelType w:val="singleLevel"/>
    <w:tmpl w:val="FB7D60B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MmExNTBjODE3YzYwN2M5MTc4MGU5NzFiNjBiZDUifQ=="/>
  </w:docVars>
  <w:rsids>
    <w:rsidRoot w:val="771D4D51"/>
    <w:rsid w:val="09AF42C9"/>
    <w:rsid w:val="146D9C78"/>
    <w:rsid w:val="15BA21C2"/>
    <w:rsid w:val="1B6B9675"/>
    <w:rsid w:val="1C25106F"/>
    <w:rsid w:val="1CFD8DF6"/>
    <w:rsid w:val="1DFF24EF"/>
    <w:rsid w:val="1DFF64E6"/>
    <w:rsid w:val="1F3DC9ED"/>
    <w:rsid w:val="1FDD7081"/>
    <w:rsid w:val="1FFB2773"/>
    <w:rsid w:val="1FFF9AD9"/>
    <w:rsid w:val="22AD555F"/>
    <w:rsid w:val="255EF1FD"/>
    <w:rsid w:val="26CF2DB3"/>
    <w:rsid w:val="2AF86ED7"/>
    <w:rsid w:val="2AFDF212"/>
    <w:rsid w:val="2B385C88"/>
    <w:rsid w:val="2B6BF484"/>
    <w:rsid w:val="2BDC4752"/>
    <w:rsid w:val="2ED27BA3"/>
    <w:rsid w:val="2F3CEA3C"/>
    <w:rsid w:val="2FB7834B"/>
    <w:rsid w:val="2FFF7DE7"/>
    <w:rsid w:val="33F748AD"/>
    <w:rsid w:val="35835C47"/>
    <w:rsid w:val="35874596"/>
    <w:rsid w:val="35F2A362"/>
    <w:rsid w:val="36CFA101"/>
    <w:rsid w:val="36EA2AC9"/>
    <w:rsid w:val="371715B7"/>
    <w:rsid w:val="371A51D2"/>
    <w:rsid w:val="373BBD0C"/>
    <w:rsid w:val="37BF55C8"/>
    <w:rsid w:val="37F6AE45"/>
    <w:rsid w:val="39BFEDBA"/>
    <w:rsid w:val="39CFED07"/>
    <w:rsid w:val="39DBABD8"/>
    <w:rsid w:val="3AED12ED"/>
    <w:rsid w:val="3AFF6A5D"/>
    <w:rsid w:val="3BDD34D2"/>
    <w:rsid w:val="3BDDFF97"/>
    <w:rsid w:val="3BED2D01"/>
    <w:rsid w:val="3BFFD43B"/>
    <w:rsid w:val="3C632A50"/>
    <w:rsid w:val="3C7BD5C9"/>
    <w:rsid w:val="3D4CB1BF"/>
    <w:rsid w:val="3D6E2E16"/>
    <w:rsid w:val="3D9FA345"/>
    <w:rsid w:val="3EDF2215"/>
    <w:rsid w:val="3F7D3882"/>
    <w:rsid w:val="3F7F5BDB"/>
    <w:rsid w:val="3F9B85E5"/>
    <w:rsid w:val="3FBF9251"/>
    <w:rsid w:val="3FD945A2"/>
    <w:rsid w:val="3FED612A"/>
    <w:rsid w:val="3FED766E"/>
    <w:rsid w:val="3FF7AC6A"/>
    <w:rsid w:val="3FFC4BE7"/>
    <w:rsid w:val="3FFD10A4"/>
    <w:rsid w:val="3FFEBBCB"/>
    <w:rsid w:val="3FFEEAD9"/>
    <w:rsid w:val="3FFFE931"/>
    <w:rsid w:val="44D5CDD3"/>
    <w:rsid w:val="457F07F2"/>
    <w:rsid w:val="4B325064"/>
    <w:rsid w:val="4CC6FDBD"/>
    <w:rsid w:val="4D7FA4F2"/>
    <w:rsid w:val="4DDC3DC7"/>
    <w:rsid w:val="4E07F45D"/>
    <w:rsid w:val="4EFFE832"/>
    <w:rsid w:val="4FF59AF5"/>
    <w:rsid w:val="503D00E8"/>
    <w:rsid w:val="50FFCF69"/>
    <w:rsid w:val="527B77B8"/>
    <w:rsid w:val="55FE10A2"/>
    <w:rsid w:val="56EF6619"/>
    <w:rsid w:val="57AF1E73"/>
    <w:rsid w:val="5AB21C33"/>
    <w:rsid w:val="5B778EC0"/>
    <w:rsid w:val="5B8DC4B5"/>
    <w:rsid w:val="5BFD93EC"/>
    <w:rsid w:val="5CBA8FF2"/>
    <w:rsid w:val="5D5F7E21"/>
    <w:rsid w:val="5F5B35E4"/>
    <w:rsid w:val="5F5EE247"/>
    <w:rsid w:val="5FBE634D"/>
    <w:rsid w:val="5FBF1A4A"/>
    <w:rsid w:val="5FCF4C1C"/>
    <w:rsid w:val="609FA7B0"/>
    <w:rsid w:val="6327C14E"/>
    <w:rsid w:val="63F73020"/>
    <w:rsid w:val="653D7854"/>
    <w:rsid w:val="67FF7A63"/>
    <w:rsid w:val="69FB00A6"/>
    <w:rsid w:val="69FCE5E7"/>
    <w:rsid w:val="6AFED42E"/>
    <w:rsid w:val="6B1ACC8E"/>
    <w:rsid w:val="6BCDA9CC"/>
    <w:rsid w:val="6BD11F7E"/>
    <w:rsid w:val="6BDFACF3"/>
    <w:rsid w:val="6BEF2624"/>
    <w:rsid w:val="6C6FB0E8"/>
    <w:rsid w:val="6CFDC544"/>
    <w:rsid w:val="6D7F7675"/>
    <w:rsid w:val="6D9F2765"/>
    <w:rsid w:val="6DB508E5"/>
    <w:rsid w:val="6DDFA6BD"/>
    <w:rsid w:val="6DF809B8"/>
    <w:rsid w:val="6DFF3506"/>
    <w:rsid w:val="6E767ACE"/>
    <w:rsid w:val="6E781687"/>
    <w:rsid w:val="6EDD1C20"/>
    <w:rsid w:val="6EEE3ED1"/>
    <w:rsid w:val="6EFF6BF0"/>
    <w:rsid w:val="6EFFED40"/>
    <w:rsid w:val="6F1B2166"/>
    <w:rsid w:val="6F5FC1DE"/>
    <w:rsid w:val="6F7C7374"/>
    <w:rsid w:val="6F7F01CA"/>
    <w:rsid w:val="6FB3E1FD"/>
    <w:rsid w:val="6FBF57AA"/>
    <w:rsid w:val="6FBFAB3C"/>
    <w:rsid w:val="6FD768E4"/>
    <w:rsid w:val="6FDFE033"/>
    <w:rsid w:val="6FEB96D6"/>
    <w:rsid w:val="6FEFA487"/>
    <w:rsid w:val="6FF341F1"/>
    <w:rsid w:val="6FFDF977"/>
    <w:rsid w:val="6FFEBD86"/>
    <w:rsid w:val="70FD260A"/>
    <w:rsid w:val="72576831"/>
    <w:rsid w:val="72D5BE10"/>
    <w:rsid w:val="73644CBA"/>
    <w:rsid w:val="73A90A87"/>
    <w:rsid w:val="73DC3601"/>
    <w:rsid w:val="73FF1F09"/>
    <w:rsid w:val="73FF684B"/>
    <w:rsid w:val="74A708C5"/>
    <w:rsid w:val="75B44525"/>
    <w:rsid w:val="75FF182B"/>
    <w:rsid w:val="764EEE15"/>
    <w:rsid w:val="76DFCB7D"/>
    <w:rsid w:val="771D4D51"/>
    <w:rsid w:val="7735A28E"/>
    <w:rsid w:val="773F814B"/>
    <w:rsid w:val="77778F6D"/>
    <w:rsid w:val="777EB7C7"/>
    <w:rsid w:val="779CE391"/>
    <w:rsid w:val="779F9FE8"/>
    <w:rsid w:val="77ABFD6B"/>
    <w:rsid w:val="77B7A121"/>
    <w:rsid w:val="77C748BA"/>
    <w:rsid w:val="77D6B824"/>
    <w:rsid w:val="77DD24F1"/>
    <w:rsid w:val="77EBC7DF"/>
    <w:rsid w:val="77F10335"/>
    <w:rsid w:val="77F7E860"/>
    <w:rsid w:val="77FB8D34"/>
    <w:rsid w:val="77FF247B"/>
    <w:rsid w:val="797D0128"/>
    <w:rsid w:val="7997DF6D"/>
    <w:rsid w:val="79B4CEB3"/>
    <w:rsid w:val="79EDB415"/>
    <w:rsid w:val="79FE5208"/>
    <w:rsid w:val="7ABBCDAB"/>
    <w:rsid w:val="7AFCAD25"/>
    <w:rsid w:val="7AFEB9B4"/>
    <w:rsid w:val="7B5E0C37"/>
    <w:rsid w:val="7B63F034"/>
    <w:rsid w:val="7B735637"/>
    <w:rsid w:val="7B7370CB"/>
    <w:rsid w:val="7B7DE504"/>
    <w:rsid w:val="7BC53459"/>
    <w:rsid w:val="7BEBBD91"/>
    <w:rsid w:val="7BEFE715"/>
    <w:rsid w:val="7BF78897"/>
    <w:rsid w:val="7BF9C03A"/>
    <w:rsid w:val="7BFEC4F8"/>
    <w:rsid w:val="7C5F482D"/>
    <w:rsid w:val="7C61C9BB"/>
    <w:rsid w:val="7CBE0A19"/>
    <w:rsid w:val="7DA14F75"/>
    <w:rsid w:val="7DB57A61"/>
    <w:rsid w:val="7DC7DC1F"/>
    <w:rsid w:val="7DEB419B"/>
    <w:rsid w:val="7DEB9CD6"/>
    <w:rsid w:val="7DF34CA1"/>
    <w:rsid w:val="7DF95E12"/>
    <w:rsid w:val="7DFDF40F"/>
    <w:rsid w:val="7DFF9BC7"/>
    <w:rsid w:val="7DFFA900"/>
    <w:rsid w:val="7E893ABA"/>
    <w:rsid w:val="7EB51ADF"/>
    <w:rsid w:val="7EB645E3"/>
    <w:rsid w:val="7EB6B7AB"/>
    <w:rsid w:val="7EB6F20D"/>
    <w:rsid w:val="7EDEF702"/>
    <w:rsid w:val="7EDFEA59"/>
    <w:rsid w:val="7EE54239"/>
    <w:rsid w:val="7EFD6908"/>
    <w:rsid w:val="7EFF8787"/>
    <w:rsid w:val="7EFFB273"/>
    <w:rsid w:val="7F1C270D"/>
    <w:rsid w:val="7F1FDF05"/>
    <w:rsid w:val="7F4F074F"/>
    <w:rsid w:val="7F5F4807"/>
    <w:rsid w:val="7F5F6BD5"/>
    <w:rsid w:val="7F67035C"/>
    <w:rsid w:val="7F722518"/>
    <w:rsid w:val="7F7CF90E"/>
    <w:rsid w:val="7F8DCA50"/>
    <w:rsid w:val="7F9255E9"/>
    <w:rsid w:val="7F97F5E6"/>
    <w:rsid w:val="7F9E3557"/>
    <w:rsid w:val="7FBBF33A"/>
    <w:rsid w:val="7FBF2857"/>
    <w:rsid w:val="7FBF63E0"/>
    <w:rsid w:val="7FD3B1BB"/>
    <w:rsid w:val="7FD584B8"/>
    <w:rsid w:val="7FDA2CC8"/>
    <w:rsid w:val="7FE7031F"/>
    <w:rsid w:val="7FEC5D3B"/>
    <w:rsid w:val="7FEE1390"/>
    <w:rsid w:val="7FEF37E2"/>
    <w:rsid w:val="7FF567FC"/>
    <w:rsid w:val="7FF6DF31"/>
    <w:rsid w:val="7FF70813"/>
    <w:rsid w:val="7FF7B584"/>
    <w:rsid w:val="7FFBFAF9"/>
    <w:rsid w:val="7FFDFB4B"/>
    <w:rsid w:val="7FFF1910"/>
    <w:rsid w:val="7FFF8C1D"/>
    <w:rsid w:val="7FFF92F0"/>
    <w:rsid w:val="7FFFEC38"/>
    <w:rsid w:val="7FFFF07C"/>
    <w:rsid w:val="92BE3454"/>
    <w:rsid w:val="96FF3EBF"/>
    <w:rsid w:val="97F77626"/>
    <w:rsid w:val="9BF3195D"/>
    <w:rsid w:val="9DFDF46B"/>
    <w:rsid w:val="9EBFD3E1"/>
    <w:rsid w:val="9EEF7EFD"/>
    <w:rsid w:val="9F6E2DF0"/>
    <w:rsid w:val="9F6F880F"/>
    <w:rsid w:val="A5DB4128"/>
    <w:rsid w:val="A6E375DB"/>
    <w:rsid w:val="A6EFA809"/>
    <w:rsid w:val="A6F7CC0B"/>
    <w:rsid w:val="A6FBBECD"/>
    <w:rsid w:val="A7733023"/>
    <w:rsid w:val="A7AD7E46"/>
    <w:rsid w:val="AABFBDFA"/>
    <w:rsid w:val="AB7EEAA5"/>
    <w:rsid w:val="AC9F305C"/>
    <w:rsid w:val="AF7DE88E"/>
    <w:rsid w:val="AF7FBB73"/>
    <w:rsid w:val="AFED1DC0"/>
    <w:rsid w:val="AFFBB299"/>
    <w:rsid w:val="AFFF21D4"/>
    <w:rsid w:val="B3ECA4C8"/>
    <w:rsid w:val="B4D7E8EA"/>
    <w:rsid w:val="B4EF3795"/>
    <w:rsid w:val="B4FD2D2B"/>
    <w:rsid w:val="B5E79B51"/>
    <w:rsid w:val="B69F96AD"/>
    <w:rsid w:val="B6CFE5B2"/>
    <w:rsid w:val="B6E7F02A"/>
    <w:rsid w:val="B797ED78"/>
    <w:rsid w:val="B7DB2571"/>
    <w:rsid w:val="B9DF4DD8"/>
    <w:rsid w:val="BA9F8D1D"/>
    <w:rsid w:val="BB0F97CC"/>
    <w:rsid w:val="BB4D38AA"/>
    <w:rsid w:val="BB75119C"/>
    <w:rsid w:val="BBD3B774"/>
    <w:rsid w:val="BBDF02B2"/>
    <w:rsid w:val="BCFB0575"/>
    <w:rsid w:val="BD7B1B47"/>
    <w:rsid w:val="BE5EC634"/>
    <w:rsid w:val="BEA7D4A7"/>
    <w:rsid w:val="BEC77393"/>
    <w:rsid w:val="BEEE8562"/>
    <w:rsid w:val="BEFECBAE"/>
    <w:rsid w:val="BF2F7DA9"/>
    <w:rsid w:val="BF7EF6FF"/>
    <w:rsid w:val="BF7F7592"/>
    <w:rsid w:val="BF9DA4FB"/>
    <w:rsid w:val="BFB71281"/>
    <w:rsid w:val="BFBDF2DF"/>
    <w:rsid w:val="BFE4DD88"/>
    <w:rsid w:val="BFF9117D"/>
    <w:rsid w:val="BFFB14E2"/>
    <w:rsid w:val="BFFF6947"/>
    <w:rsid w:val="BFFFD63C"/>
    <w:rsid w:val="C8FDA203"/>
    <w:rsid w:val="CEF79301"/>
    <w:rsid w:val="CEFBB93B"/>
    <w:rsid w:val="CEFF30FD"/>
    <w:rsid w:val="CF7C6158"/>
    <w:rsid w:val="CF9D4E98"/>
    <w:rsid w:val="CFBFEC5E"/>
    <w:rsid w:val="CFDF20B1"/>
    <w:rsid w:val="D3BF4696"/>
    <w:rsid w:val="D3CF8868"/>
    <w:rsid w:val="D3F63A9A"/>
    <w:rsid w:val="D4C7AB35"/>
    <w:rsid w:val="D4DDAB19"/>
    <w:rsid w:val="D65BF816"/>
    <w:rsid w:val="D73F10CF"/>
    <w:rsid w:val="D977C3BB"/>
    <w:rsid w:val="D977C9A6"/>
    <w:rsid w:val="D9FF310B"/>
    <w:rsid w:val="DBF57698"/>
    <w:rsid w:val="DBF7455F"/>
    <w:rsid w:val="DBFFAB54"/>
    <w:rsid w:val="DC0FE1FB"/>
    <w:rsid w:val="DDEBBBB7"/>
    <w:rsid w:val="DDFB721C"/>
    <w:rsid w:val="DDFF5069"/>
    <w:rsid w:val="DECF83A1"/>
    <w:rsid w:val="DEEBD176"/>
    <w:rsid w:val="DEED29CB"/>
    <w:rsid w:val="DEFF6025"/>
    <w:rsid w:val="DF4E686F"/>
    <w:rsid w:val="DF7F78BD"/>
    <w:rsid w:val="DF90B31F"/>
    <w:rsid w:val="DF9750A8"/>
    <w:rsid w:val="DFC5D6F0"/>
    <w:rsid w:val="DFDFC0CD"/>
    <w:rsid w:val="DFF7F21C"/>
    <w:rsid w:val="DFFA3B38"/>
    <w:rsid w:val="DFFE4986"/>
    <w:rsid w:val="E28F5BB2"/>
    <w:rsid w:val="E376BCD2"/>
    <w:rsid w:val="E3F74AB8"/>
    <w:rsid w:val="E5FD7CF6"/>
    <w:rsid w:val="E7FBC534"/>
    <w:rsid w:val="E7FE6222"/>
    <w:rsid w:val="E97FF571"/>
    <w:rsid w:val="E9BB2A12"/>
    <w:rsid w:val="EB3B2C2F"/>
    <w:rsid w:val="EBDFF275"/>
    <w:rsid w:val="EBEE1A0B"/>
    <w:rsid w:val="EDDF69E1"/>
    <w:rsid w:val="EDF76BB3"/>
    <w:rsid w:val="EE25E285"/>
    <w:rsid w:val="EEF68640"/>
    <w:rsid w:val="EF5B02CB"/>
    <w:rsid w:val="EFEE9DA5"/>
    <w:rsid w:val="EFF41AC0"/>
    <w:rsid w:val="EFF76D95"/>
    <w:rsid w:val="EFFA8186"/>
    <w:rsid w:val="EFFF2C87"/>
    <w:rsid w:val="EFFFA435"/>
    <w:rsid w:val="F1DF82E1"/>
    <w:rsid w:val="F1F64F55"/>
    <w:rsid w:val="F2E22473"/>
    <w:rsid w:val="F35D14F0"/>
    <w:rsid w:val="F36F378E"/>
    <w:rsid w:val="F3BF1A5C"/>
    <w:rsid w:val="F3F4C349"/>
    <w:rsid w:val="F3F64609"/>
    <w:rsid w:val="F43BCC0C"/>
    <w:rsid w:val="F4E96614"/>
    <w:rsid w:val="F4F54B3B"/>
    <w:rsid w:val="F57E9B64"/>
    <w:rsid w:val="F58EBBB0"/>
    <w:rsid w:val="F59DE0D0"/>
    <w:rsid w:val="F5CBD2AD"/>
    <w:rsid w:val="F5EBF677"/>
    <w:rsid w:val="F5FF2E2F"/>
    <w:rsid w:val="F6B747C1"/>
    <w:rsid w:val="F6DEE96F"/>
    <w:rsid w:val="F6F3FBF3"/>
    <w:rsid w:val="F6FE0D0F"/>
    <w:rsid w:val="F776F6F3"/>
    <w:rsid w:val="F78E7F11"/>
    <w:rsid w:val="F7F5F07E"/>
    <w:rsid w:val="F7FBED1D"/>
    <w:rsid w:val="F7FE368E"/>
    <w:rsid w:val="F7FE766C"/>
    <w:rsid w:val="F7FEE1D7"/>
    <w:rsid w:val="F7FF4F06"/>
    <w:rsid w:val="F9B8FDC3"/>
    <w:rsid w:val="F9BF4E89"/>
    <w:rsid w:val="F9F64774"/>
    <w:rsid w:val="F9FF56B9"/>
    <w:rsid w:val="F9FFFCCB"/>
    <w:rsid w:val="FA7469AF"/>
    <w:rsid w:val="FA79E738"/>
    <w:rsid w:val="FA7FFB53"/>
    <w:rsid w:val="FAD729CA"/>
    <w:rsid w:val="FB1B5977"/>
    <w:rsid w:val="FB7B495E"/>
    <w:rsid w:val="FBC6B126"/>
    <w:rsid w:val="FBE92501"/>
    <w:rsid w:val="FBF62448"/>
    <w:rsid w:val="FBF76486"/>
    <w:rsid w:val="FBFB7624"/>
    <w:rsid w:val="FBFBA770"/>
    <w:rsid w:val="FBFD2E45"/>
    <w:rsid w:val="FBFE5F18"/>
    <w:rsid w:val="FBFF7DC7"/>
    <w:rsid w:val="FC37AF17"/>
    <w:rsid w:val="FC3A27C8"/>
    <w:rsid w:val="FCDE5A6F"/>
    <w:rsid w:val="FCFE5638"/>
    <w:rsid w:val="FCFF1FE1"/>
    <w:rsid w:val="FD7C7175"/>
    <w:rsid w:val="FDBF7389"/>
    <w:rsid w:val="FDBFA6D4"/>
    <w:rsid w:val="FDD7319B"/>
    <w:rsid w:val="FDDE4FF7"/>
    <w:rsid w:val="FDE3247C"/>
    <w:rsid w:val="FDEDD80B"/>
    <w:rsid w:val="FDF61794"/>
    <w:rsid w:val="FDF8F696"/>
    <w:rsid w:val="FE1F835E"/>
    <w:rsid w:val="FE67B905"/>
    <w:rsid w:val="FE6FB097"/>
    <w:rsid w:val="FE7B38A4"/>
    <w:rsid w:val="FE7EBDAF"/>
    <w:rsid w:val="FEAF5424"/>
    <w:rsid w:val="FEBBE2E3"/>
    <w:rsid w:val="FECB8DB0"/>
    <w:rsid w:val="FECF948F"/>
    <w:rsid w:val="FEDCE487"/>
    <w:rsid w:val="FEE592BC"/>
    <w:rsid w:val="FEED62B0"/>
    <w:rsid w:val="FEEFF60E"/>
    <w:rsid w:val="FEF3905D"/>
    <w:rsid w:val="FEFB966F"/>
    <w:rsid w:val="FEFD6F73"/>
    <w:rsid w:val="FEFF9F00"/>
    <w:rsid w:val="FF0F1500"/>
    <w:rsid w:val="FF338A0A"/>
    <w:rsid w:val="FF5995C2"/>
    <w:rsid w:val="FF6B552C"/>
    <w:rsid w:val="FF6F74D4"/>
    <w:rsid w:val="FF7635F1"/>
    <w:rsid w:val="FFA9D265"/>
    <w:rsid w:val="FFACBE5D"/>
    <w:rsid w:val="FFBB4B28"/>
    <w:rsid w:val="FFBD2AE1"/>
    <w:rsid w:val="FFCEEDAA"/>
    <w:rsid w:val="FFCFE300"/>
    <w:rsid w:val="FFD58A98"/>
    <w:rsid w:val="FFDD382A"/>
    <w:rsid w:val="FFDFD60A"/>
    <w:rsid w:val="FFE6F78D"/>
    <w:rsid w:val="FFE7AB11"/>
    <w:rsid w:val="FFEBBD1A"/>
    <w:rsid w:val="FFEE5E3B"/>
    <w:rsid w:val="FFEF3B9A"/>
    <w:rsid w:val="FFF171B6"/>
    <w:rsid w:val="FFF33D76"/>
    <w:rsid w:val="FFF3C5BB"/>
    <w:rsid w:val="FFF6B8BD"/>
    <w:rsid w:val="FFF6F3FC"/>
    <w:rsid w:val="FFFA984C"/>
    <w:rsid w:val="FFFB4651"/>
    <w:rsid w:val="FFFD90B9"/>
    <w:rsid w:val="FFFF2620"/>
    <w:rsid w:val="FFFF5C30"/>
    <w:rsid w:val="FFFF9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4">
    <w:name w:val="heading 1"/>
    <w:basedOn w:val="1"/>
    <w:next w:val="1"/>
    <w:qFormat/>
    <w:uiPriority w:val="0"/>
    <w:pPr>
      <w:spacing w:before="0" w:beforeAutospacing="0" w:afterAutospacing="0" w:line="700" w:lineRule="exact"/>
      <w:ind w:firstLine="0" w:firstLineChars="0"/>
      <w:jc w:val="center"/>
      <w:outlineLvl w:val="0"/>
    </w:pPr>
    <w:rPr>
      <w:rFonts w:hint="eastAsia" w:ascii="宋体" w:hAnsi="宋体" w:eastAsia="方正小标宋简体" w:cs="宋体"/>
      <w:bCs/>
      <w:kern w:val="44"/>
      <w:sz w:val="44"/>
      <w:szCs w:val="4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1"/>
    <w:qFormat/>
    <w:uiPriority w:val="0"/>
    <w:rPr>
      <w:rFonts w:eastAsia="宋体"/>
    </w:rPr>
  </w:style>
  <w:style w:type="paragraph" w:styleId="3">
    <w:name w:val="Body Text Indent"/>
    <w:basedOn w:val="1"/>
    <w:next w:val="2"/>
    <w:qFormat/>
    <w:uiPriority w:val="0"/>
    <w:pPr>
      <w:spacing w:after="120"/>
      <w:ind w:leftChars="200"/>
    </w:pPr>
    <w:rPr>
      <w:rFonts w:ascii="仿宋_GB2312"/>
      <w:szCs w:val="32"/>
    </w:rPr>
  </w:style>
  <w:style w:type="paragraph" w:styleId="5">
    <w:name w:val="Body Text"/>
    <w:basedOn w:val="1"/>
    <w:qFormat/>
    <w:uiPriority w:val="99"/>
    <w:pPr>
      <w:widowControl/>
      <w:tabs>
        <w:tab w:val="left" w:pos="2160"/>
      </w:tabs>
      <w:spacing w:line="480" w:lineRule="auto"/>
      <w:jc w:val="left"/>
    </w:pPr>
    <w:rPr>
      <w:rFonts w:ascii="楷体_GB2312" w:eastAsia="黑体"/>
      <w:kern w:val="0"/>
      <w:position w:val="3"/>
      <w:sz w:val="20"/>
      <w:szCs w:val="20"/>
      <w:lang w:eastAsia="en-US"/>
    </w:rPr>
  </w:style>
  <w:style w:type="paragraph" w:styleId="6">
    <w:name w:val="footer"/>
    <w:basedOn w:val="1"/>
    <w:unhideWhenUsed/>
    <w:qFormat/>
    <w:uiPriority w:val="99"/>
    <w:pPr>
      <w:tabs>
        <w:tab w:val="center" w:pos="4153"/>
        <w:tab w:val="right" w:pos="8306"/>
      </w:tabs>
      <w:snapToGrid w:val="0"/>
      <w:jc w:val="left"/>
    </w:pPr>
    <w:rPr>
      <w:sz w:val="18"/>
      <w:szCs w:val="18"/>
      <w:lang w:val="zh-CN" w:eastAsia="zh-CN"/>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8">
    <w:name w:val="toc 1"/>
    <w:basedOn w:val="1"/>
    <w:next w:val="1"/>
    <w:qFormat/>
    <w:uiPriority w:val="0"/>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0">
    <w:name w:val="Body Text First Indent 2"/>
    <w:basedOn w:val="3"/>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2576</Words>
  <Characters>2665</Characters>
  <Lines>0</Lines>
  <Paragraphs>0</Paragraphs>
  <TotalTime>1</TotalTime>
  <ScaleCrop>false</ScaleCrop>
  <LinksUpToDate>false</LinksUpToDate>
  <CharactersWithSpaces>2694</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2020-07-15T08:13:00Z</dcterms:created>
  <dc:creator>Administrator</dc:creator>
  <cp:lastModifiedBy>user</cp:lastModifiedBy>
  <cp:lastPrinted>2016-02-16T11:32:00Z</cp:lastPrinted>
  <dcterms:modified xsi:type="dcterms:W3CDTF">2024-08-07T11:54:04Z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FD65ACE9ECD42879F7879466AF52A2C4</vt:lpwstr>
  </property>
</Properties>
</file>