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Times New Roman"/>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sz w:val="40"/>
          <w:szCs w:val="40"/>
          <w:lang w:bidi="ar-SA"/>
        </w:rPr>
      </w:pPr>
      <w:r>
        <w:rPr>
          <w:rFonts w:hint="default" w:ascii="Times New Roman" w:hAnsi="Times New Roman" w:eastAsia="方正小标宋简体" w:cs="Times New Roman"/>
          <w:sz w:val="40"/>
          <w:szCs w:val="40"/>
          <w:lang w:eastAsia="zh-CN" w:bidi="ar-SA"/>
        </w:rPr>
        <w:pict>
          <v:shape id="_x0000_s1028" o:spid="_x0000_s1028" o:spt="136" type="#_x0000_t136" style="position:absolute;left:0pt;margin-left:1.35pt;margin-top:0.5pt;height:77.95pt;width:441.85pt;z-index:251659264;mso-width-relative:page;mso-height-relative:page;" fillcolor="#FF0000" filled="t" stroked="t" coordsize="21600,21600" adj="10800">
            <v:path/>
            <v:fill on="t" focussize="0,0"/>
            <v:stroke weight="1.5pt" color="#FF0000"/>
            <v:imagedata o:title=""/>
            <o:lock v:ext="edit"/>
            <v:textpath on="t" fitshape="t" fitpath="t" trim="t" xscale="f" string="阿坝藏族羌族自治州公务服务中心文件" style="font-family:方正小标宋简体;font-size:36pt;v-rotate-letters:f;v-same-letter-heights:f;v-text-align:center;"/>
          </v:shape>
        </w:pic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0"/>
          <w:szCs w:val="40"/>
          <w:lang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sz w:val="40"/>
          <w:szCs w:val="40"/>
          <w:lang w:eastAsia="zh-CN" w:bidi="ar-SA"/>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66040</wp:posOffset>
                </wp:positionV>
                <wp:extent cx="562800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28005" cy="635"/>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45pt;margin-top:5.2pt;height:0.05pt;width:443.15pt;z-index:251658240;mso-width-relative:page;mso-height-relative:page;" filled="f" stroked="t" coordsize="21600,21600" o:gfxdata="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KiN2a1QAAAAYBAAAPAAAAAAAAAAEAIAAAADgAAABkcnMvZG93bnJldi54bWxQSwEC&#10;FAAUAAAACACHTuJAU4Hxm+EBAACcAwAADgAAAAAAAAABACAAAAA6AQAAZHJzL2Uyb0RvYy54bWxQ&#10;SwUGAAAAAAYABgBZAQAAjQ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阿坝州公务服务中心</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color w:val="auto"/>
          <w:sz w:val="44"/>
          <w:szCs w:val="44"/>
        </w:rPr>
      </w:pPr>
      <w:r>
        <w:rPr>
          <w:rFonts w:hint="eastAsia" w:eastAsia="方正小标宋简体" w:cs="Times New Roman"/>
          <w:color w:val="auto"/>
          <w:sz w:val="44"/>
          <w:szCs w:val="44"/>
          <w:lang w:val="en-US" w:eastAsia="zh-CN"/>
        </w:rPr>
        <w:t>2023年</w:t>
      </w:r>
      <w:r>
        <w:rPr>
          <w:rFonts w:hint="default" w:ascii="Times New Roman" w:hAnsi="Times New Roman" w:eastAsia="方正小标宋简体" w:cs="Times New Roman"/>
          <w:color w:val="auto"/>
          <w:sz w:val="44"/>
          <w:szCs w:val="44"/>
        </w:rPr>
        <w:t>部门</w:t>
      </w:r>
      <w:r>
        <w:rPr>
          <w:rFonts w:hint="eastAsia" w:eastAsia="方正小标宋简体" w:cs="Times New Roman"/>
          <w:color w:val="auto"/>
          <w:sz w:val="44"/>
          <w:szCs w:val="44"/>
          <w:lang w:eastAsia="zh-CN"/>
        </w:rPr>
        <w:t>预算</w:t>
      </w:r>
      <w:r>
        <w:rPr>
          <w:rFonts w:hint="default" w:ascii="Times New Roman" w:hAnsi="Times New Roman" w:eastAsia="方正小标宋简体" w:cs="Times New Roman"/>
          <w:color w:val="auto"/>
          <w:sz w:val="44"/>
          <w:szCs w:val="44"/>
        </w:rPr>
        <w:t>绩效评价报告</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州财政局：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根据阿坝州财政局《关于开展</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2024</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年</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州级部门绩效自评工作的通知</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》(阿州</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财监绩</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（2024）</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号）文件要求，</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我中心</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对2023年度项目支出绩效情况进行了自评工作，本次评价遵循了“科学规范、公正公开、分类管理、绩效相关”的原则，运用科学、合理的绩效评价方法，对本单位2023年度绩效情况进行客观、公正的评价，现就相关情况报告如下。</w:t>
      </w:r>
    </w:p>
    <w:p>
      <w:pPr>
        <w:keepNext w:val="0"/>
        <w:keepLines w:val="0"/>
        <w:pageBreakBefore w:val="0"/>
        <w:widowControl/>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黑体" w:cs="Times New Roman"/>
          <w:color w:val="auto"/>
          <w:spacing w:val="-2"/>
          <w:kern w:val="0"/>
          <w:sz w:val="32"/>
          <w:szCs w:val="32"/>
          <w:lang w:val="en-US" w:eastAsia="zh-CN"/>
        </w:rPr>
      </w:pPr>
      <w:r>
        <w:rPr>
          <w:rFonts w:hint="default" w:ascii="Times New Roman" w:hAnsi="Times New Roman" w:eastAsia="黑体" w:cs="Times New Roman"/>
          <w:color w:val="auto"/>
          <w:spacing w:val="-2"/>
          <w:kern w:val="0"/>
          <w:sz w:val="32"/>
          <w:szCs w:val="32"/>
        </w:rPr>
        <w:t>一、部门概况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cs="Times New Roman"/>
          <w:i w:val="0"/>
          <w:caps w:val="0"/>
          <w:color w:val="auto"/>
          <w:spacing w:val="0"/>
          <w:kern w:val="0"/>
          <w:sz w:val="32"/>
          <w:szCs w:val="32"/>
          <w:shd w:val="clear" w:color="auto" w:fill="FFFFFF"/>
          <w:lang w:val="en-US" w:eastAsia="zh-CN" w:bidi="ar"/>
        </w:rPr>
      </w:pPr>
      <w:r>
        <w:rPr>
          <w:rFonts w:hint="default" w:ascii="Times New Roman" w:hAnsi="Times New Roman" w:eastAsia="楷体_GB2312" w:cs="Times New Roman"/>
          <w:b/>
          <w:bCs/>
          <w:color w:val="auto"/>
          <w:kern w:val="0"/>
          <w:szCs w:val="32"/>
          <w:highlight w:val="none"/>
          <w:shd w:val="clear" w:color="auto" w:fill="FFFFFF"/>
          <w:lang w:val="zh-CN"/>
        </w:rPr>
        <w:t>（一）机构组成</w:t>
      </w:r>
      <w:r>
        <w:rPr>
          <w:rFonts w:hint="eastAsia" w:eastAsia="楷体_GB2312" w:cs="Times New Roman"/>
          <w:b/>
          <w:bCs/>
          <w:color w:val="auto"/>
          <w:kern w:val="0"/>
          <w:szCs w:val="32"/>
          <w:highlight w:val="none"/>
          <w:shd w:val="clear" w:color="auto" w:fill="FFFFFF"/>
          <w:lang w:val="zh-CN"/>
        </w:rPr>
        <w:t>。</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州公务服务中心为</w:t>
      </w:r>
      <w:r>
        <w:rPr>
          <w:rFonts w:hint="eastAsia" w:cs="Times New Roman"/>
          <w:i w:val="0"/>
          <w:caps w:val="0"/>
          <w:color w:val="auto"/>
          <w:spacing w:val="0"/>
          <w:kern w:val="0"/>
          <w:sz w:val="32"/>
          <w:szCs w:val="32"/>
          <w:shd w:val="clear" w:color="auto" w:fill="FFFFFF"/>
          <w:lang w:val="en-US" w:eastAsia="zh-CN" w:bidi="ar"/>
        </w:rPr>
        <w:t>州委直属正县级公益一类事业单位，参照公务员管理，下设综合科、公务服务一科、公务服务二科、公务服务三科。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楷体_GB2312" w:cs="Times New Roman"/>
          <w:b/>
          <w:bCs/>
          <w:color w:val="auto"/>
          <w:kern w:val="0"/>
          <w:szCs w:val="32"/>
          <w:highlight w:val="none"/>
          <w:shd w:val="clear" w:color="auto" w:fill="FFFFFF"/>
          <w:lang w:val="zh-CN"/>
        </w:rPr>
      </w:pPr>
      <w:r>
        <w:rPr>
          <w:rFonts w:hint="eastAsia" w:ascii="Times New Roman" w:hAnsi="Times New Roman" w:eastAsia="楷体_GB2312" w:cs="Times New Roman"/>
          <w:b/>
          <w:bCs/>
          <w:color w:val="auto"/>
          <w:kern w:val="0"/>
          <w:szCs w:val="32"/>
          <w:highlight w:val="none"/>
          <w:shd w:val="clear" w:color="auto" w:fill="FFFFFF"/>
          <w:lang w:val="zh-CN" w:eastAsia="zh-CN"/>
        </w:rPr>
        <w:t>（二）</w:t>
      </w:r>
      <w:r>
        <w:rPr>
          <w:rFonts w:hint="default" w:ascii="Times New Roman" w:hAnsi="Times New Roman" w:eastAsia="楷体_GB2312" w:cs="Times New Roman"/>
          <w:b/>
          <w:bCs/>
          <w:color w:val="auto"/>
          <w:kern w:val="0"/>
          <w:szCs w:val="32"/>
          <w:highlight w:val="none"/>
          <w:shd w:val="clear" w:color="auto" w:fill="FFFFFF"/>
          <w:lang w:val="zh-CN"/>
        </w:rPr>
        <w:t>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负责党和国家领导人(含曾经担任)、省委、省人大、省政府、省政协副省级以上领导(含曾经担任)来州的服务保障。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按照有关规定负责和参与党中央、国务院、省委、省政府巡视、检查、督查(督导、督察)、考察、调研、考核、审计等工作组来州的服务保障。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3.</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负责外省(区、市、州)党委、政府正、副省级领导干部来州的服务保障;会同州级有关部门承担中央和国家机关各部委正、副部级领导干部、省委、省政府正、副省级领导干部来州的服务保障;参与州人大常委会办公室、州政协办公室牵头对口接待正、副部(省)级领导干部来州的服务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4.</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负责或参与外省(区、市、州)党政代表团来州考察的协调联络和服务保障。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负责我州党政代表团赴外省(州、市、区)考察的协调联络和服务保障。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6.</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负责州委、州政府交办的由州公务服务中心承担的外事接待和招商引资事项的服务保障。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7.</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按照中央八项规定和省委、省政府十项规定及其实施细则要求，负责联系协调州级有关部门及关联单位承办州委、州政府重大公务活动的服务工作。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8.</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会同州级有关部门承担州委、州政府交办的大型会议、活动的接待服务保障工作。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指导县(市)、州级部门的公务活动服务保障工作，参与拟订全州公务服务相关规定。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负责办理中办警卫局、省警卫局安排的有关在州事务。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完成州委、州政府交办的其他任务。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楷体_GB2312" w:cs="Times New Roman"/>
          <w:b/>
          <w:bCs/>
          <w:color w:val="auto"/>
          <w:kern w:val="0"/>
          <w:szCs w:val="32"/>
          <w:highlight w:val="none"/>
          <w:shd w:val="clear" w:color="auto" w:fill="FFFFFF"/>
          <w:lang w:val="zh-CN" w:eastAsia="zh-CN"/>
        </w:rPr>
        <w:t>（三）人员概况</w:t>
      </w:r>
      <w:r>
        <w:rPr>
          <w:rFonts w:hint="eastAsia" w:eastAsia="楷体_GB2312" w:cs="Times New Roman"/>
          <w:b/>
          <w:bCs/>
          <w:color w:val="auto"/>
          <w:kern w:val="0"/>
          <w:szCs w:val="32"/>
          <w:highlight w:val="none"/>
          <w:shd w:val="clear" w:color="auto" w:fill="FFFFFF"/>
          <w:lang w:val="zh-CN"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在职人员总数</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15</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人，其中：</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参公事业13</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人</w:t>
      </w:r>
      <w:r>
        <w:rPr>
          <w:rFonts w:hint="eastAsia" w:ascii="方正隶书_GBK" w:hAnsi="方正隶书_GBK" w:eastAsia="方正隶书_GBK" w:cs="方正隶书_GBK"/>
          <w:i w:val="0"/>
          <w:caps w:val="0"/>
          <w:color w:val="auto"/>
          <w:spacing w:val="0"/>
          <w:kern w:val="0"/>
          <w:sz w:val="32"/>
          <w:szCs w:val="32"/>
          <w:highlight w:val="none"/>
          <w:shd w:val="clear" w:color="auto" w:fill="FFFFFF"/>
          <w:lang w:val="en-US" w:eastAsia="zh-CN" w:bidi="ar"/>
        </w:rPr>
        <w:t>〔</w:t>
      </w:r>
      <w:r>
        <w:rPr>
          <w:rFonts w:hint="eastAsia" w:cs="Times New Roman"/>
          <w:i w:val="0"/>
          <w:caps w:val="0"/>
          <w:color w:val="auto"/>
          <w:spacing w:val="0"/>
          <w:kern w:val="0"/>
          <w:sz w:val="32"/>
          <w:szCs w:val="32"/>
          <w:highlight w:val="none"/>
          <w:shd w:val="clear" w:color="auto" w:fill="FFFFFF"/>
          <w:lang w:val="en-US" w:eastAsia="zh-CN" w:bidi="ar"/>
        </w:rPr>
        <w:t>班子成员3人，四级调研员2人（含1名正科级）,正科3人，副科1人，一般干部4人</w:t>
      </w:r>
      <w:r>
        <w:rPr>
          <w:rFonts w:hint="eastAsia" w:ascii="方正隶书_GBK" w:hAnsi="方正隶书_GBK" w:eastAsia="方正隶书_GBK" w:cs="方正隶书_GBK"/>
          <w:i w:val="0"/>
          <w:caps w:val="0"/>
          <w:color w:val="auto"/>
          <w:spacing w:val="0"/>
          <w:kern w:val="0"/>
          <w:sz w:val="32"/>
          <w:szCs w:val="32"/>
          <w:highlight w:val="none"/>
          <w:shd w:val="clear" w:color="auto" w:fill="FFFFFF"/>
          <w:lang w:val="en-US" w:eastAsia="zh-CN" w:bidi="ar"/>
        </w:rPr>
        <w:t>〕,</w:t>
      </w:r>
      <w:r>
        <w:rPr>
          <w:rFonts w:hint="eastAsia" w:ascii="Times New Roman" w:hAnsi="Times New Roman" w:eastAsia="仿宋_GB2312" w:cs="Times New Roman"/>
          <w:i w:val="0"/>
          <w:caps w:val="0"/>
          <w:color w:val="auto"/>
          <w:spacing w:val="0"/>
          <w:kern w:val="0"/>
          <w:sz w:val="32"/>
          <w:szCs w:val="32"/>
          <w:highlight w:val="none"/>
          <w:shd w:val="clear" w:color="auto" w:fill="FFFFFF"/>
          <w:lang w:val="en-US" w:eastAsia="zh-CN" w:bidi="ar"/>
        </w:rPr>
        <w:t>行政工勤2人；</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退休人员</w:t>
      </w:r>
      <w:r>
        <w:rPr>
          <w:rFonts w:hint="eastAsia" w:ascii="Times New Roman" w:hAnsi="Times New Roman" w:eastAsia="仿宋_GB2312" w:cs="Times New Roman"/>
          <w:i w:val="0"/>
          <w:caps w:val="0"/>
          <w:color w:val="auto"/>
          <w:spacing w:val="0"/>
          <w:kern w:val="0"/>
          <w:sz w:val="32"/>
          <w:szCs w:val="32"/>
          <w:highlight w:val="none"/>
          <w:shd w:val="clear" w:color="auto" w:fill="FFFFFF"/>
          <w:lang w:val="en-US" w:eastAsia="zh-CN" w:bidi="ar"/>
        </w:rPr>
        <w:t>2</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人</w:t>
      </w:r>
      <w:r>
        <w:rPr>
          <w:rFonts w:hint="eastAsia" w:ascii="Times New Roman" w:hAnsi="Times New Roman" w:eastAsia="仿宋_GB2312" w:cs="Times New Roman"/>
          <w:i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其他</w:t>
      </w:r>
      <w:r>
        <w:rPr>
          <w:rFonts w:hint="eastAsia" w:ascii="Times New Roman" w:hAnsi="Times New Roman" w:eastAsia="仿宋_GB2312" w:cs="Times New Roman"/>
          <w:i w:val="0"/>
          <w:caps w:val="0"/>
          <w:color w:val="auto"/>
          <w:spacing w:val="0"/>
          <w:kern w:val="0"/>
          <w:sz w:val="32"/>
          <w:szCs w:val="32"/>
          <w:highlight w:val="none"/>
          <w:shd w:val="clear" w:color="auto" w:fill="FFFFFF"/>
          <w:lang w:val="en-US" w:eastAsia="zh-CN" w:bidi="ar"/>
        </w:rPr>
        <w:t>（临聘）</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人员</w:t>
      </w:r>
      <w:r>
        <w:rPr>
          <w:rFonts w:hint="eastAsia" w:ascii="Times New Roman" w:hAnsi="Times New Roman" w:eastAsia="仿宋_GB2312" w:cs="Times New Roman"/>
          <w:i w:val="0"/>
          <w:caps w:val="0"/>
          <w:color w:val="auto"/>
          <w:spacing w:val="0"/>
          <w:kern w:val="0"/>
          <w:sz w:val="32"/>
          <w:szCs w:val="32"/>
          <w:highlight w:val="none"/>
          <w:shd w:val="clear" w:color="auto" w:fill="FFFFFF"/>
          <w:lang w:val="en-US" w:eastAsia="zh-CN" w:bidi="ar"/>
        </w:rPr>
        <w:t>3</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i w:val="0"/>
          <w:caps w:val="0"/>
          <w:color w:val="auto"/>
          <w:spacing w:val="0"/>
          <w:kern w:val="0"/>
          <w:sz w:val="32"/>
          <w:szCs w:val="32"/>
          <w:shd w:val="clear" w:color="auto" w:fill="FFFFFF"/>
          <w:lang w:val="en-US" w:eastAsia="zh-CN" w:bidi="ar"/>
        </w:rPr>
      </w:pPr>
      <w:r>
        <w:rPr>
          <w:rFonts w:hint="eastAsia" w:ascii="黑体" w:hAnsi="黑体" w:eastAsia="黑体" w:cs="黑体"/>
          <w:i w:val="0"/>
          <w:caps w:val="0"/>
          <w:color w:val="auto"/>
          <w:spacing w:val="0"/>
          <w:kern w:val="0"/>
          <w:sz w:val="32"/>
          <w:szCs w:val="32"/>
          <w:shd w:val="clear" w:color="auto" w:fill="FFFFFF"/>
          <w:lang w:val="en-US" w:eastAsia="zh-CN" w:bidi="ar"/>
        </w:rPr>
        <w:t>二、部门资金收支情况</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楷体" w:hAnsi="楷体" w:eastAsia="楷体" w:cs="楷体"/>
          <w:b/>
          <w:bCs/>
          <w:i w:val="0"/>
          <w:caps w:val="0"/>
          <w:color w:val="auto"/>
          <w:spacing w:val="0"/>
          <w:kern w:val="0"/>
          <w:sz w:val="32"/>
          <w:szCs w:val="32"/>
          <w:shd w:val="clear" w:color="auto" w:fill="FFFFFF"/>
          <w:lang w:val="zh-CN" w:eastAsia="zh-CN" w:bidi="ar"/>
        </w:rPr>
        <w:t>（一）部门财政资金收入情况。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本单位本年度总收入为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1052.94</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万元。其中：一般公共预算财政拨款收入为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1052.94</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楷体" w:hAnsi="楷体" w:eastAsia="楷体" w:cs="楷体"/>
          <w:b/>
          <w:bCs/>
          <w:i w:val="0"/>
          <w:caps w:val="0"/>
          <w:color w:val="auto"/>
          <w:spacing w:val="0"/>
          <w:kern w:val="0"/>
          <w:sz w:val="32"/>
          <w:szCs w:val="32"/>
          <w:shd w:val="clear" w:color="auto" w:fill="FFFFFF"/>
          <w:lang w:val="zh-CN" w:eastAsia="zh-CN" w:bidi="ar"/>
        </w:rPr>
        <w:t>（二）部门财政资金支出情况</w:t>
      </w:r>
      <w:r>
        <w:rPr>
          <w:rFonts w:hint="eastAsia" w:ascii="楷体" w:hAnsi="楷体" w:eastAsia="楷体" w:cs="楷体"/>
          <w:b/>
          <w:bCs/>
          <w:i w:val="0"/>
          <w:caps w:val="0"/>
          <w:color w:val="auto"/>
          <w:spacing w:val="0"/>
          <w:kern w:val="0"/>
          <w:sz w:val="32"/>
          <w:szCs w:val="32"/>
          <w:shd w:val="clear" w:color="auto" w:fill="FFFFFF"/>
          <w:lang w:val="zh-CN"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本年度总支出为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1052.94</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万元。其中：一般公共服务支出为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629.43</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万元，占比</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59.78</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%；文化旅游体育与传媒支出为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331.79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万元，占比</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31.51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%；社会保障和就业支出为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48.19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万元，占比</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4.58</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%；卫生健康支出为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19.14</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万元，占比</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1.82</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%；住房保障支出为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24.39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万元，占比</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2.31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楷体_GB2312" w:cs="Times New Roman"/>
          <w:b/>
          <w:bCs/>
          <w:color w:val="auto"/>
          <w:kern w:val="0"/>
          <w:szCs w:val="32"/>
          <w:highlight w:val="none"/>
          <w:shd w:val="clear" w:color="auto" w:fill="FFFFFF"/>
          <w:lang w:val="zh-CN" w:eastAsia="zh-CN"/>
        </w:rPr>
        <w:t>（三）</w:t>
      </w:r>
      <w:r>
        <w:rPr>
          <w:rFonts w:hint="default" w:ascii="Times New Roman" w:hAnsi="Times New Roman" w:eastAsia="楷体_GB2312" w:cs="Times New Roman"/>
          <w:b/>
          <w:bCs/>
          <w:color w:val="auto"/>
          <w:kern w:val="0"/>
          <w:szCs w:val="32"/>
          <w:highlight w:val="none"/>
          <w:shd w:val="clear" w:color="auto" w:fill="FFFFFF"/>
          <w:lang w:val="zh-CN" w:eastAsia="zh-CN"/>
        </w:rPr>
        <w:t>结余分配和结转结余情况</w:t>
      </w:r>
      <w:r>
        <w:rPr>
          <w:rFonts w:hint="eastAsia" w:eastAsia="楷体_GB2312" w:cs="Times New Roman"/>
          <w:b/>
          <w:bCs/>
          <w:color w:val="auto"/>
          <w:kern w:val="0"/>
          <w:szCs w:val="32"/>
          <w:highlight w:val="none"/>
          <w:shd w:val="clear" w:color="auto" w:fill="FFFFFF"/>
          <w:lang w:val="zh-CN" w:eastAsia="zh-CN"/>
        </w:rPr>
        <w:t>。</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本年结余1.56万元,</w:t>
      </w:r>
      <w:r>
        <w:rPr>
          <w:rFonts w:hint="eastAsia" w:cs="Times New Roman"/>
          <w:i w:val="0"/>
          <w:caps w:val="0"/>
          <w:color w:val="auto"/>
          <w:spacing w:val="0"/>
          <w:kern w:val="0"/>
          <w:sz w:val="32"/>
          <w:szCs w:val="32"/>
          <w:shd w:val="clear" w:color="auto" w:fill="FFFFFF"/>
          <w:lang w:val="en-US" w:eastAsia="zh-CN" w:bidi="ar"/>
        </w:rPr>
        <w:t>财政已收回</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cs="Times New Roman"/>
          <w:i w:val="0"/>
          <w:caps w:val="0"/>
          <w:color w:val="auto"/>
          <w:spacing w:val="0"/>
          <w:kern w:val="0"/>
          <w:sz w:val="32"/>
          <w:szCs w:val="32"/>
          <w:shd w:val="clear" w:color="auto" w:fill="FFFFFF"/>
          <w:lang w:val="en-US" w:eastAsia="zh-CN" w:bidi="ar"/>
        </w:rPr>
        <w:t>本年无结转。</w:t>
      </w:r>
    </w:p>
    <w:p>
      <w:pPr>
        <w:keepNext w:val="0"/>
        <w:keepLines w:val="0"/>
        <w:pageBreakBefore w:val="0"/>
        <w:widowControl/>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黑体" w:cs="Times New Roman"/>
          <w:color w:val="auto"/>
          <w:spacing w:val="-2"/>
          <w:kern w:val="0"/>
          <w:sz w:val="32"/>
          <w:szCs w:val="32"/>
        </w:rPr>
      </w:pPr>
      <w:r>
        <w:rPr>
          <w:rFonts w:hint="default" w:ascii="Times New Roman" w:hAnsi="Times New Roman" w:eastAsia="黑体" w:cs="Times New Roman"/>
          <w:color w:val="auto"/>
          <w:spacing w:val="-2"/>
          <w:kern w:val="0"/>
          <w:sz w:val="32"/>
          <w:szCs w:val="32"/>
        </w:rPr>
        <w:t>三、部门</w:t>
      </w:r>
      <w:r>
        <w:rPr>
          <w:rFonts w:hint="default" w:ascii="Times New Roman" w:hAnsi="Times New Roman" w:eastAsia="黑体" w:cs="Times New Roman"/>
          <w:color w:val="auto"/>
          <w:spacing w:val="-2"/>
          <w:kern w:val="0"/>
          <w:sz w:val="32"/>
          <w:szCs w:val="32"/>
          <w:lang w:eastAsia="zh-CN"/>
        </w:rPr>
        <w:t>预算</w:t>
      </w:r>
      <w:r>
        <w:rPr>
          <w:rFonts w:hint="default" w:ascii="Times New Roman" w:hAnsi="Times New Roman" w:eastAsia="黑体" w:cs="Times New Roman"/>
          <w:color w:val="auto"/>
          <w:spacing w:val="-2"/>
          <w:kern w:val="0"/>
          <w:sz w:val="32"/>
          <w:szCs w:val="32"/>
        </w:rPr>
        <w:t>绩效</w:t>
      </w:r>
      <w:r>
        <w:rPr>
          <w:rFonts w:hint="default" w:ascii="Times New Roman" w:hAnsi="Times New Roman" w:eastAsia="黑体" w:cs="Times New Roman"/>
          <w:color w:val="auto"/>
          <w:spacing w:val="-2"/>
          <w:kern w:val="0"/>
          <w:sz w:val="32"/>
          <w:szCs w:val="32"/>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楷体_GB2312" w:cs="Times New Roman"/>
          <w:b/>
          <w:bCs/>
          <w:color w:val="auto"/>
          <w:kern w:val="0"/>
          <w:szCs w:val="32"/>
          <w:highlight w:val="none"/>
          <w:shd w:val="clear" w:color="auto" w:fill="FFFFFF"/>
          <w:lang w:val="zh-CN" w:eastAsia="zh-CN"/>
        </w:rPr>
      </w:pPr>
      <w:r>
        <w:rPr>
          <w:rFonts w:hint="default" w:ascii="Times New Roman" w:hAnsi="Times New Roman" w:eastAsia="楷体_GB2312" w:cs="Times New Roman"/>
          <w:b/>
          <w:bCs/>
          <w:color w:val="auto"/>
          <w:kern w:val="0"/>
          <w:szCs w:val="32"/>
          <w:highlight w:val="none"/>
          <w:shd w:val="clear" w:color="auto" w:fill="FFFFFF"/>
          <w:lang w:val="zh-CN" w:eastAsia="zh-CN"/>
        </w:rPr>
        <w:t>（一）</w:t>
      </w:r>
      <w:r>
        <w:rPr>
          <w:rFonts w:hint="eastAsia" w:ascii="Times New Roman" w:hAnsi="Times New Roman" w:eastAsia="楷体_GB2312" w:cs="Times New Roman"/>
          <w:b/>
          <w:bCs/>
          <w:color w:val="auto"/>
          <w:kern w:val="0"/>
          <w:szCs w:val="32"/>
          <w:highlight w:val="none"/>
          <w:shd w:val="clear" w:color="auto" w:fill="FFFFFF"/>
          <w:lang w:val="zh-CN" w:eastAsia="zh-CN"/>
        </w:rPr>
        <w:t>部门预算</w:t>
      </w:r>
      <w:r>
        <w:rPr>
          <w:rFonts w:hint="default" w:ascii="Times New Roman" w:hAnsi="Times New Roman" w:eastAsia="楷体_GB2312" w:cs="Times New Roman"/>
          <w:b/>
          <w:bCs/>
          <w:color w:val="auto"/>
          <w:kern w:val="0"/>
          <w:szCs w:val="32"/>
          <w:highlight w:val="none"/>
          <w:shd w:val="clear" w:color="auto" w:fill="FFFFFF"/>
          <w:lang w:val="zh-CN" w:eastAsia="zh-CN"/>
        </w:rPr>
        <w:t>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方正仿宋_GBK" w:cs="Times New Roman"/>
          <w:b w:val="0"/>
          <w:bCs w:val="0"/>
          <w:color w:val="auto"/>
          <w:kern w:val="2"/>
          <w:sz w:val="32"/>
          <w:szCs w:val="32"/>
          <w:lang w:val="en-US" w:eastAsia="zh-CN" w:bidi="ar-SA"/>
        </w:rPr>
      </w:pPr>
      <w:r>
        <w:rPr>
          <w:rFonts w:hint="eastAsia" w:ascii="仿宋_GB2312" w:hAnsi="仿宋_GB2312" w:eastAsia="仿宋_GB2312" w:cs="仿宋_GB2312"/>
          <w:b/>
          <w:bCs/>
          <w:color w:val="auto"/>
          <w:kern w:val="0"/>
          <w:szCs w:val="32"/>
          <w:highlight w:val="none"/>
          <w:shd w:val="clear" w:color="auto" w:fill="FFFFFF"/>
          <w:lang w:val="en-US" w:eastAsia="zh-CN"/>
        </w:rPr>
        <w:t>1.</w:t>
      </w:r>
      <w:r>
        <w:rPr>
          <w:rFonts w:hint="eastAsia" w:ascii="仿宋_GB2312" w:hAnsi="仿宋_GB2312" w:eastAsia="仿宋_GB2312" w:cs="仿宋_GB2312"/>
          <w:b/>
          <w:bCs/>
          <w:color w:val="auto"/>
          <w:kern w:val="0"/>
          <w:szCs w:val="32"/>
          <w:highlight w:val="none"/>
          <w:shd w:val="clear" w:color="auto" w:fill="FFFFFF"/>
          <w:lang w:val="zh-CN"/>
        </w:rPr>
        <w:t>履职效能。</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一年来，在州委、州政府的坚强领导下，始终以“</w:t>
      </w:r>
      <w:r>
        <w:rPr>
          <w:rFonts w:hint="eastAsia" w:cs="Times New Roman"/>
          <w:i w:val="0"/>
          <w:caps w:val="0"/>
          <w:color w:val="auto"/>
          <w:spacing w:val="0"/>
          <w:kern w:val="0"/>
          <w:sz w:val="32"/>
          <w:szCs w:val="32"/>
          <w:shd w:val="clear" w:color="auto" w:fill="FFFFFF"/>
          <w:lang w:val="en-US" w:eastAsia="zh-CN" w:bidi="ar"/>
        </w:rPr>
        <w:t>热情、</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周到、安全</w:t>
      </w:r>
      <w:r>
        <w:rPr>
          <w:rFonts w:hint="eastAsia"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细致、</w:t>
      </w:r>
      <w:r>
        <w:rPr>
          <w:rFonts w:hint="eastAsia" w:cs="Times New Roman"/>
          <w:i w:val="0"/>
          <w:caps w:val="0"/>
          <w:color w:val="auto"/>
          <w:spacing w:val="0"/>
          <w:kern w:val="0"/>
          <w:sz w:val="32"/>
          <w:szCs w:val="32"/>
          <w:shd w:val="clear" w:color="auto" w:fill="FFFFFF"/>
          <w:lang w:val="en-US" w:eastAsia="zh-CN" w:bidi="ar"/>
        </w:rPr>
        <w:t>贴心</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”为工作目标和工作遵循，紧紧围绕公务接待“1234”工作布局，主动谋划、积极作为、守正创新，全力推动各项工作提质增效。部门整体绩效指标：</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一是</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设定省部级以上接待任务≥50批次，截至2023年年底共接待省部级以上66批次；</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二是</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设定州级公务接待质量达标率</w:t>
      </w:r>
      <w:r>
        <w:rPr>
          <w:rFonts w:hint="eastAsia" w:cs="Times New Roman"/>
          <w:i w:val="0"/>
          <w:caps w:val="0"/>
          <w:color w:val="auto"/>
          <w:spacing w:val="0"/>
          <w:kern w:val="0"/>
          <w:sz w:val="32"/>
          <w:szCs w:val="32"/>
          <w:shd w:val="clear" w:color="auto" w:fill="FFFFFF"/>
          <w:lang w:val="en-US" w:eastAsia="zh-CN" w:bidi="ar"/>
        </w:rPr>
        <w:t>为</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100%，2023年无任何接待事故发生</w:t>
      </w:r>
      <w:r>
        <w:rPr>
          <w:rFonts w:hint="eastAsia"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罗振华州长</w:t>
      </w:r>
      <w:r>
        <w:rPr>
          <w:rFonts w:hint="eastAsia" w:cs="Times New Roman"/>
          <w:i w:val="0"/>
          <w:caps w:val="0"/>
          <w:color w:val="auto"/>
          <w:spacing w:val="0"/>
          <w:kern w:val="0"/>
          <w:sz w:val="32"/>
          <w:szCs w:val="32"/>
          <w:shd w:val="clear" w:color="auto" w:fill="FFFFFF"/>
          <w:lang w:val="en-US" w:eastAsia="zh-CN" w:bidi="ar"/>
        </w:rPr>
        <w:t>给予</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肯定性批示“工作重点突出，在有关公务活动中充分保障了安全有序。望继续强化细节、总结规律、再创佳绩</w:t>
      </w:r>
      <w:r>
        <w:rPr>
          <w:rFonts w:hint="eastAsia"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三是</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设定公务接待对象满意度≥95%，2023年优质高效保障了23-27、23-82、23-103级别任务和州党政代表团赴海南海口市，三峡集团，遂宁市，眉山市，浙江温州市、嘉兴市、湖州市，甘孜州考察学习等重要活动，得到来宾及各级领导的充分肯定。</w:t>
      </w:r>
      <w:r>
        <w:rPr>
          <w:rFonts w:hint="eastAsia" w:cs="Times New Roman"/>
          <w:i w:val="0"/>
          <w:caps w:val="0"/>
          <w:color w:val="auto"/>
          <w:spacing w:val="0"/>
          <w:kern w:val="0"/>
          <w:sz w:val="32"/>
          <w:szCs w:val="32"/>
          <w:shd w:val="clear" w:color="auto" w:fill="FFFFFF"/>
          <w:lang w:val="en-US" w:eastAsia="zh-CN" w:bidi="ar"/>
        </w:rPr>
        <w:t>评价</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满意度超过95%；</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四是</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设定中心机关全年总成本≤1053万元，实际支出1052.94万元，未超成本。</w:t>
      </w:r>
      <w:r>
        <w:rPr>
          <w:rFonts w:hint="default" w:ascii="Times New Roman" w:hAnsi="Times New Roman" w:eastAsia="方正仿宋_GBK" w:cs="Times New Roman"/>
          <w:b w:val="0"/>
          <w:bCs w:val="0"/>
          <w:color w:val="auto"/>
          <w:kern w:val="2"/>
          <w:sz w:val="32"/>
          <w:szCs w:val="32"/>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该项指标得分=年终完成履职效果目标数量4÷年初目标设置总数4×100%×15=15</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仿宋_GB2312" w:hAnsi="仿宋_GB2312" w:eastAsia="仿宋_GB2312" w:cs="仿宋_GB2312"/>
          <w:b/>
          <w:bCs/>
          <w:color w:val="auto"/>
          <w:kern w:val="0"/>
          <w:szCs w:val="32"/>
          <w:highlight w:val="none"/>
          <w:shd w:val="clear" w:color="auto" w:fill="FFFFFF"/>
          <w:lang w:val="zh-CN" w:eastAsia="zh-CN"/>
        </w:rPr>
      </w:pPr>
      <w:r>
        <w:rPr>
          <w:rFonts w:hint="eastAsia" w:ascii="仿宋_GB2312" w:hAnsi="仿宋_GB2312" w:cs="仿宋_GB2312"/>
          <w:b/>
          <w:bCs/>
          <w:color w:val="auto"/>
          <w:kern w:val="0"/>
          <w:szCs w:val="32"/>
          <w:highlight w:val="none"/>
          <w:shd w:val="clear" w:color="auto" w:fill="FFFFFF"/>
          <w:lang w:val="en-US" w:eastAsia="zh-CN"/>
        </w:rPr>
        <w:t>2.</w:t>
      </w:r>
      <w:r>
        <w:rPr>
          <w:rFonts w:hint="default" w:ascii="仿宋_GB2312" w:hAnsi="仿宋_GB2312" w:eastAsia="仿宋_GB2312" w:cs="仿宋_GB2312"/>
          <w:b/>
          <w:bCs/>
          <w:color w:val="auto"/>
          <w:kern w:val="0"/>
          <w:szCs w:val="32"/>
          <w:highlight w:val="none"/>
          <w:shd w:val="clear" w:color="auto" w:fill="FFFFFF"/>
          <w:lang w:val="zh-CN" w:eastAsia="zh-CN"/>
        </w:rPr>
        <w:t>预算管理</w:t>
      </w:r>
      <w:r>
        <w:rPr>
          <w:rFonts w:hint="eastAsia" w:ascii="仿宋_GB2312" w:hAnsi="仿宋_GB2312" w:eastAsia="仿宋_GB2312" w:cs="仿宋_GB2312"/>
          <w:b/>
          <w:bCs/>
          <w:color w:val="auto"/>
          <w:kern w:val="0"/>
          <w:szCs w:val="32"/>
          <w:highlight w:val="none"/>
          <w:shd w:val="clear" w:color="auto" w:fill="FFFFFF"/>
          <w:lang w:val="zh-CN"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（1）预算编制质量。</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严格按照财政部门预算编制通知明确的范围、标准等编制部门预算；人员和公用支出预算按定员定额标准编制，项目支出预算真实；按规定开展项目评审；上报预算履行集体决策程序。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财政拨款预算偏离度：</w:t>
      </w:r>
      <w:r>
        <w:rPr>
          <w:rFonts w:hint="eastAsia" w:ascii="方正隶书_GBK" w:hAnsi="方正隶书_GBK" w:eastAsia="方正隶书_GBK" w:cs="方正隶书_GBK"/>
          <w:i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财政拨款预算执行数（1052.94万元）-财政拨款年初预算数（793.8万元）</w:t>
      </w:r>
      <w:r>
        <w:rPr>
          <w:rFonts w:hint="eastAsia" w:ascii="方正隶书_GBK" w:hAnsi="方正隶书_GBK" w:eastAsia="方正隶书_GBK" w:cs="方正隶书_GBK"/>
          <w:i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÷财政拨款年初预算数（793.8万元）=32.64%</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资产配置预算偏离度：|资产配置预算执行数（2.34万元）-资产配置年初预算数（3.9万元）|÷资产配置年初预算数3.9=-40%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政府采购预算偏离度：|政府采购预算执行数（2.34万元）-政府采购年初预算数（3.9万元）|÷政府采购年初预算数=-40%该项指标得分=（1-财政拨款预算偏离度32.64%）×100%×6+（1-资产配置预算偏离度-40%）×100%×3+（1-政府采购预算偏离度-40%）×100%×3=12.44，超分值，按满分计算。最终得分12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（2）支出执进度。</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在预算资金的执行中，</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我中心</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严格按照年初预算资金安排，科学合理的使用，使资金发挥其最大效益，按照各项工作的序时进度及时拨付</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，但还需进一步加强</w:t>
      </w:r>
      <w:r>
        <w:rPr>
          <w:rFonts w:hint="eastAsia" w:cs="Times New Roman"/>
          <w:i w:val="0"/>
          <w:caps w:val="0"/>
          <w:color w:val="auto"/>
          <w:spacing w:val="0"/>
          <w:kern w:val="0"/>
          <w:sz w:val="32"/>
          <w:szCs w:val="32"/>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该项指标得分=（1至6月预算执行数628.35万元÷（部门预算数813.36万元×50%）×2）+（1-1至6月支出预警金额占比0×0.8-1至6月支出违规金额占比0×0.2）+（1至10月预算执行数661.21万元÷（部门预算数1197.84万元×83.33%）×2）+（1-1至10月支出预警金额占比×0.8-1至10月支出违规金额占比×0.2），最终得分4.42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（3）年终预算结余。</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2023年底年终结余1.56万元，属于政府采购结余资金，因12月才完成支付，故未将结余退回财政</w:t>
      </w:r>
      <w:r>
        <w:rPr>
          <w:rFonts w:hint="eastAsia" w:cs="Times New Roman"/>
          <w:i w:val="0"/>
          <w:caps w:val="0"/>
          <w:color w:val="auto"/>
          <w:spacing w:val="0"/>
          <w:kern w:val="0"/>
          <w:sz w:val="32"/>
          <w:szCs w:val="32"/>
          <w:shd w:val="clear" w:color="auto" w:fill="FFFFFF"/>
          <w:lang w:val="en-US" w:eastAsia="zh-CN" w:bidi="ar"/>
        </w:rPr>
        <w:t>，后财政收回。</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 xml:space="preserve">部门整体预算结余率：（年终部门预算注销金额合计0+年终部门预算结转金额合计1.56万元）÷调整后的年度部门预算数1054.51万元=0.15%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该项指标得分=（1-部门整体预算结余率0.15%）×100%×2=1.99分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（4）严控一般性支出。</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我中心年初预算严格控制了一般性支出，但在执行时，因一次项目（州庆后勤保障经费）中的餐费及住宿费列入公务接待费，导致一般性支出压减不到位。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一般性支出财政拨款年初预算442.58万元小于上年631.63万元，实现压减该项基础分得1分。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 xml:space="preserve">加分值。压减率=（上年年初预算631.63万元-本年年初预算442.58万元）÷上年年初预算631.63万元=29.93%         </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 xml:space="preserve">    </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 xml:space="preserve"> 压减率=（上年执行数245.89万元-本年执行数516.28万元）÷上年执行数245.89万元=-109.96%</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一般性支出财政拨款年初预算压减率≥5%，得2分；一般性支出财政拨款预算执行较上年未压减，不得分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 xml:space="preserve">该项指标得分=基础分值+加分值=1+2=3分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仿宋_GB2312" w:hAnsi="仿宋_GB2312" w:cs="仿宋_GB2312"/>
          <w:b/>
          <w:bCs/>
          <w:color w:val="auto"/>
          <w:kern w:val="0"/>
          <w:szCs w:val="32"/>
          <w:highlight w:val="none"/>
          <w:shd w:val="clear" w:color="auto" w:fill="FFFFFF"/>
          <w:lang w:val="en-US" w:eastAsia="zh-CN"/>
        </w:rPr>
        <w:t>3.</w:t>
      </w:r>
      <w:r>
        <w:rPr>
          <w:rFonts w:hint="default" w:ascii="仿宋_GB2312" w:hAnsi="仿宋_GB2312" w:eastAsia="仿宋_GB2312" w:cs="仿宋_GB2312"/>
          <w:b/>
          <w:bCs/>
          <w:color w:val="auto"/>
          <w:kern w:val="0"/>
          <w:szCs w:val="32"/>
          <w:highlight w:val="none"/>
          <w:shd w:val="clear" w:color="auto" w:fill="FFFFFF"/>
          <w:lang w:val="zh-CN" w:eastAsia="zh-CN"/>
        </w:rPr>
        <w:t>财务管理</w:t>
      </w:r>
      <w:r>
        <w:rPr>
          <w:rFonts w:hint="eastAsia" w:ascii="仿宋_GB2312" w:hAnsi="仿宋_GB2312" w:eastAsia="仿宋_GB2312" w:cs="仿宋_GB2312"/>
          <w:b/>
          <w:bCs/>
          <w:color w:val="auto"/>
          <w:kern w:val="0"/>
          <w:szCs w:val="32"/>
          <w:highlight w:val="none"/>
          <w:shd w:val="clear" w:color="auto" w:fill="FFFFFF"/>
          <w:lang w:val="zh-CN" w:eastAsia="zh-CN"/>
        </w:rPr>
        <w:t>。</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我中心在岗位设置方面，</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配备会计人员，会计、出纳等不相容岗位分离；在财务管理制度方面，根据内控要求建设涵盖预算管理、收支管理、政府采购管理、国有资产管理、合同管理等主要经济业务领域；按照分事行权、分岗设权、分级授权要求落实不相容岗位分离和定期轮岗等内部权力制衡基本举措；建立决策权、管理权、执行权和监督权“四权分立”机制；建立重大事项议事决策机制，建立健全集体研究、专家论证和技术咨询相结合的辅助决策机制；在资金规范使用方面，我中心不存在超预算或无预算安排、虚列支出、超范围超标准使用经费、违规使用“三公”经费、滥发津补贴、报销不合规等情况。故得分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仿宋_GB2312" w:hAnsi="仿宋_GB2312" w:cs="仿宋_GB2312"/>
          <w:b/>
          <w:bCs/>
          <w:color w:val="auto"/>
          <w:kern w:val="0"/>
          <w:szCs w:val="32"/>
          <w:highlight w:val="none"/>
          <w:shd w:val="clear" w:color="auto" w:fill="FFFFFF"/>
          <w:lang w:val="zh-CN" w:eastAsia="zh-CN"/>
        </w:rPr>
      </w:pPr>
      <w:r>
        <w:rPr>
          <w:rFonts w:hint="eastAsia" w:ascii="仿宋_GB2312" w:hAnsi="仿宋_GB2312" w:cs="仿宋_GB2312"/>
          <w:b/>
          <w:bCs/>
          <w:color w:val="auto"/>
          <w:kern w:val="0"/>
          <w:szCs w:val="32"/>
          <w:highlight w:val="none"/>
          <w:shd w:val="clear" w:color="auto" w:fill="FFFFFF"/>
          <w:lang w:val="en-US" w:eastAsia="zh-CN"/>
        </w:rPr>
        <w:t>4.</w:t>
      </w:r>
      <w:r>
        <w:rPr>
          <w:rFonts w:hint="default" w:ascii="仿宋_GB2312" w:hAnsi="仿宋_GB2312" w:cs="仿宋_GB2312"/>
          <w:b/>
          <w:bCs/>
          <w:color w:val="auto"/>
          <w:kern w:val="0"/>
          <w:szCs w:val="32"/>
          <w:highlight w:val="none"/>
          <w:shd w:val="clear" w:color="auto" w:fill="FFFFFF"/>
          <w:lang w:val="zh-CN" w:eastAsia="zh-CN"/>
        </w:rPr>
        <w:t>资产管理</w:t>
      </w:r>
      <w:r>
        <w:rPr>
          <w:rFonts w:hint="eastAsia" w:ascii="仿宋_GB2312" w:hAnsi="仿宋_GB2312" w:cs="仿宋_GB2312"/>
          <w:b/>
          <w:bCs/>
          <w:color w:val="auto"/>
          <w:kern w:val="0"/>
          <w:szCs w:val="32"/>
          <w:highlight w:val="none"/>
          <w:shd w:val="clear" w:color="auto" w:fill="FFFFFF"/>
          <w:lang w:val="zh-CN"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b/>
          <w:bCs/>
          <w:i w:val="0"/>
          <w:caps w:val="0"/>
          <w:color w:val="auto"/>
          <w:spacing w:val="0"/>
          <w:kern w:val="0"/>
          <w:sz w:val="32"/>
          <w:szCs w:val="32"/>
          <w:shd w:val="clear" w:color="auto" w:fill="FFFFFF"/>
          <w:lang w:val="zh-CN" w:eastAsia="zh-CN" w:bidi="ar"/>
        </w:rPr>
      </w:pPr>
      <w:r>
        <w:rPr>
          <w:rFonts w:hint="eastAsia" w:ascii="Times New Roman" w:hAnsi="Times New Roman" w:eastAsia="仿宋_GB2312" w:cs="Times New Roman"/>
          <w:b/>
          <w:bCs/>
          <w:i w:val="0"/>
          <w:caps w:val="0"/>
          <w:color w:val="auto"/>
          <w:spacing w:val="0"/>
          <w:kern w:val="0"/>
          <w:sz w:val="32"/>
          <w:szCs w:val="32"/>
          <w:shd w:val="clear" w:color="auto" w:fill="FFFFFF"/>
          <w:lang w:val="zh-CN" w:eastAsia="zh-CN" w:bidi="ar"/>
        </w:rPr>
        <w:t>（</w:t>
      </w: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1）</w:t>
      </w:r>
      <w:r>
        <w:rPr>
          <w:rFonts w:hint="eastAsia" w:ascii="Times New Roman" w:hAnsi="Times New Roman" w:eastAsia="仿宋_GB2312" w:cs="Times New Roman"/>
          <w:b/>
          <w:bCs/>
          <w:i w:val="0"/>
          <w:caps w:val="0"/>
          <w:color w:val="auto"/>
          <w:spacing w:val="0"/>
          <w:kern w:val="0"/>
          <w:sz w:val="32"/>
          <w:szCs w:val="32"/>
          <w:shd w:val="clear" w:color="auto" w:fill="FFFFFF"/>
          <w:lang w:val="zh-CN" w:eastAsia="zh-CN" w:bidi="ar"/>
        </w:rPr>
        <w:t>人均资产变化率。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 xml:space="preserve">2022年人均占有资产=（固定资产净值1282302.85元+无形资产净值8776.38元）÷年末实有人数16人=80692.45元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 xml:space="preserve">2023年人均占有资产=（固定资产净值1125931.63元+无形资产净值12026.28元）÷年末实有人数18人=63219.88元                   部门人均资产变化率X：（当年单位人均占有资产63219.88-上年单位人均占有资产80692.45）÷上年单位人均占有资产80692.45=-21.65%。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部门人均资产变化率X为-21.65%，州直行政事业单位人均资产变化率N为-3.96%，则：X≤N，得1.5分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部门人均资产增长率X为-21.65%，同期州级财政收入增长率N为54.2%，则：X≤0，得1.5分，总计3分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pPr>
      <w:r>
        <w:rPr>
          <w:rFonts w:hint="eastAsia" w:cs="Times New Roman"/>
          <w:b/>
          <w:bCs/>
          <w:i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2</w:t>
      </w:r>
      <w:r>
        <w:rPr>
          <w:rFonts w:hint="eastAsia" w:cs="Times New Roman"/>
          <w:b/>
          <w:bCs/>
          <w:i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资产利用率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办公家具原值0.32万元÷办公家具原值28.2万元×100%=1.13%。办公家具超最低使用年限资产利用率X为1.13%，州直行政事业单位平均值N为14.48%，则：X≤0.6N，得0.3分。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部门办公设备超最低使用年限资产利用率=超最低使用年限的办公设备原值22.39万元÷办公设备原值34.99万×100%=63.99%。办公设备超最低使用年限资产利用率为63.99%，州直行政事业单位平均值N为50.74%，则：X＞N，得1.5分。总计得分1.8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cs="Times New Roman"/>
          <w:b/>
          <w:bCs/>
          <w:i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3</w:t>
      </w:r>
      <w:r>
        <w:rPr>
          <w:rFonts w:hint="eastAsia" w:cs="Times New Roman"/>
          <w:b/>
          <w:bCs/>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b/>
          <w:bCs/>
          <w:i w:val="0"/>
          <w:caps w:val="0"/>
          <w:color w:val="auto"/>
          <w:spacing w:val="0"/>
          <w:kern w:val="0"/>
          <w:sz w:val="32"/>
          <w:szCs w:val="32"/>
          <w:shd w:val="clear" w:color="auto" w:fill="FFFFFF"/>
          <w:lang w:val="en-US" w:eastAsia="zh-CN" w:bidi="ar"/>
        </w:rPr>
        <w:t>资产盘活率</w:t>
      </w:r>
      <w:r>
        <w:rPr>
          <w:rFonts w:hint="eastAsia" w:cs="Times New Roman"/>
          <w:b/>
          <w:bCs/>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两年均无闲置资产，该项指标得3分。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bCs/>
          <w:i w:val="0"/>
          <w:caps w:val="0"/>
          <w:color w:val="auto"/>
          <w:spacing w:val="0"/>
          <w:kern w:val="0"/>
          <w:sz w:val="32"/>
          <w:szCs w:val="32"/>
          <w:shd w:val="clear" w:color="auto" w:fill="FFFFFF"/>
          <w:lang w:val="en-US" w:eastAsia="zh-CN" w:bidi="ar"/>
        </w:rPr>
        <w:t>5.</w:t>
      </w:r>
      <w:r>
        <w:rPr>
          <w:rFonts w:hint="eastAsia" w:ascii="Times New Roman" w:hAnsi="Times New Roman" w:eastAsia="仿宋_GB2312" w:cs="Times New Roman"/>
          <w:b/>
          <w:bCs/>
          <w:i w:val="0"/>
          <w:caps w:val="0"/>
          <w:color w:val="auto"/>
          <w:spacing w:val="0"/>
          <w:kern w:val="0"/>
          <w:sz w:val="32"/>
          <w:szCs w:val="32"/>
          <w:shd w:val="clear" w:color="auto" w:fill="FFFFFF"/>
          <w:lang w:val="zh-CN" w:eastAsia="zh-CN" w:bidi="ar"/>
        </w:rPr>
        <w:t>采购管理。</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我中心</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2023年</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办公设备采购预算3.9万元，发布时预留采购份额专门面向中小企业采购，得3分；按法定采购方式和程序实施采购；按采购文件确定事项签订政府采购合同，按规定公告、备案政府采购合同；最终以</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2.34万元签订采购合同，结余1.56万元。得3分。总计得分6分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楷体_GB2312" w:cs="Times New Roman"/>
          <w:b/>
          <w:bCs/>
          <w:color w:val="auto"/>
          <w:kern w:val="0"/>
          <w:szCs w:val="32"/>
          <w:highlight w:val="none"/>
          <w:shd w:val="clear" w:color="auto" w:fill="FFFFFF"/>
          <w:lang w:val="en-US" w:eastAsia="zh-CN"/>
        </w:rPr>
      </w:pPr>
      <w:r>
        <w:rPr>
          <w:rFonts w:hint="default" w:ascii="Times New Roman" w:hAnsi="Times New Roman" w:eastAsia="楷体_GB2312" w:cs="Times New Roman"/>
          <w:b/>
          <w:bCs/>
          <w:color w:val="auto"/>
          <w:kern w:val="0"/>
          <w:szCs w:val="32"/>
          <w:highlight w:val="none"/>
          <w:shd w:val="clear" w:color="auto" w:fill="FFFFFF"/>
          <w:lang w:val="zh-CN" w:eastAsia="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常年项目绩效分析。</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该类项目总数</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2</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个，涉及预算总金额</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249.3</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万元，1</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2</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月预算执行总体进度为</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100</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%，其中：预算结余率大于</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10%</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的项目共计</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0</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阶段</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一次性</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项目绩效分析。</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该类项目总数</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4</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个，涉及预算总金额</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340.5</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万元，1</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2</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月预算执行总体进度为</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99.54</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%，其中：预算结余率大于</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10%</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的项目共计</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1</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Cs w:val="32"/>
          <w:highlight w:val="none"/>
          <w:shd w:val="clear" w:color="auto" w:fill="FFFFFF"/>
          <w:lang w:val="en-US" w:eastAsia="zh-CN"/>
        </w:rPr>
        <w:t>1.</w:t>
      </w:r>
      <w:r>
        <w:rPr>
          <w:rFonts w:hint="eastAsia" w:ascii="仿宋_GB2312" w:hAnsi="仿宋_GB2312" w:eastAsia="仿宋_GB2312" w:cs="仿宋_GB2312"/>
          <w:b/>
          <w:bCs/>
          <w:color w:val="auto"/>
          <w:kern w:val="0"/>
          <w:szCs w:val="32"/>
          <w:highlight w:val="none"/>
          <w:shd w:val="clear" w:color="auto" w:fill="FFFFFF"/>
          <w:lang w:val="zh-CN"/>
        </w:rPr>
        <w:t>项目决策。</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在决策程序方面</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,按规定履行评估论证、申报程序;</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在目标设置方面</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,按照中心实际情况科学合理、规范完整、量化细化、与预算相匹配的设置目标;在项目入库方面,除州庆后勤保障经费外,都在规定时间内完成.总计得分11分</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Cs w:val="32"/>
          <w:highlight w:val="none"/>
          <w:shd w:val="clear" w:color="auto" w:fill="FFFFFF"/>
          <w:lang w:val="en-US" w:eastAsia="zh-CN"/>
        </w:rPr>
        <w:t>2.项目执行</w:t>
      </w:r>
      <w:r>
        <w:rPr>
          <w:rFonts w:hint="eastAsia" w:ascii="仿宋_GB2312" w:hAnsi="仿宋_GB2312" w:eastAsia="仿宋_GB2312" w:cs="仿宋_GB2312"/>
          <w:b/>
          <w:bCs/>
          <w:color w:val="auto"/>
          <w:kern w:val="0"/>
          <w:szCs w:val="32"/>
          <w:highlight w:val="none"/>
          <w:shd w:val="clear" w:color="auto" w:fill="FFFFFF"/>
          <w:lang w:val="zh-CN" w:eastAsia="zh-CN"/>
        </w:rPr>
        <w:t>。</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在项目执行中</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,严格按照部门预算项目绩效目标设置的执行,没有与之不符的.项目都得以实施,没有进行项目调整,项目执行进度达99.74%</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。总计得分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11.5分</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bCs/>
          <w:color w:val="auto"/>
          <w:kern w:val="0"/>
          <w:szCs w:val="32"/>
          <w:highlight w:val="none"/>
          <w:shd w:val="clear" w:color="auto" w:fill="FFFFFF"/>
          <w:lang w:val="en-US" w:eastAsia="zh-CN"/>
        </w:rPr>
        <w:t>3.</w:t>
      </w:r>
      <w:r>
        <w:rPr>
          <w:rFonts w:hint="eastAsia" w:ascii="仿宋_GB2312" w:hAnsi="仿宋_GB2312" w:eastAsia="仿宋_GB2312" w:cs="仿宋_GB2312"/>
          <w:b/>
          <w:bCs/>
          <w:color w:val="auto"/>
          <w:kern w:val="0"/>
          <w:szCs w:val="32"/>
          <w:highlight w:val="none"/>
          <w:shd w:val="clear" w:color="auto" w:fill="FFFFFF"/>
          <w:lang w:val="zh-CN" w:eastAsia="zh-CN"/>
        </w:rPr>
        <w:t>目标实现。</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我中心预算项目绩效目标未设置数量指标，该项目不扣分,</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项目预期基本实现</w:t>
      </w:r>
      <w:r>
        <w:rPr>
          <w:rFonts w:hint="default" w:ascii="Times New Roman" w:hAnsi="Times New Roman" w:eastAsia="仿宋_GB2312" w:cs="Times New Roman"/>
          <w:i w:val="0"/>
          <w:caps w:val="0"/>
          <w:color w:val="auto"/>
          <w:spacing w:val="0"/>
          <w:kern w:val="0"/>
          <w:sz w:val="32"/>
          <w:szCs w:val="32"/>
          <w:shd w:val="clear" w:color="auto" w:fill="FFFFFF"/>
          <w:lang w:val="zh-CN" w:eastAsia="zh-CN" w:bidi="ar"/>
        </w:rPr>
        <w:t>。</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总计得分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11分</w:t>
      </w:r>
      <w:r>
        <w:rPr>
          <w:rFonts w:hint="eastAsia" w:cs="Times New Roman"/>
          <w:i w:val="0"/>
          <w:caps w:val="0"/>
          <w:color w:val="auto"/>
          <w:spacing w:val="0"/>
          <w:kern w:val="0"/>
          <w:sz w:val="32"/>
          <w:szCs w:val="32"/>
          <w:shd w:val="clear" w:color="auto" w:fill="FFFFFF"/>
          <w:lang w:val="en-US" w:eastAsia="zh-CN" w:bidi="ar"/>
        </w:rPr>
        <w:t>。</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楷体_GB2312" w:cs="Times New Roman"/>
          <w:b/>
          <w:bCs/>
          <w:color w:val="auto"/>
          <w:kern w:val="0"/>
          <w:szCs w:val="32"/>
          <w:highlight w:val="none"/>
          <w:shd w:val="clear" w:color="auto" w:fill="FFFFFF"/>
          <w:lang w:val="zh-CN"/>
        </w:rPr>
        <w:t>（</w:t>
      </w:r>
      <w:r>
        <w:rPr>
          <w:rFonts w:hint="eastAsia" w:eastAsia="楷体_GB2312" w:cs="Times New Roman"/>
          <w:b/>
          <w:bCs/>
          <w:color w:val="auto"/>
          <w:kern w:val="0"/>
          <w:szCs w:val="32"/>
          <w:highlight w:val="none"/>
          <w:shd w:val="clear" w:color="auto" w:fill="FFFFFF"/>
          <w:lang w:val="zh-CN"/>
        </w:rPr>
        <w:t>三</w:t>
      </w:r>
      <w:r>
        <w:rPr>
          <w:rFonts w:hint="default" w:ascii="Times New Roman" w:hAnsi="Times New Roman" w:eastAsia="楷体_GB2312" w:cs="Times New Roman"/>
          <w:b/>
          <w:bCs/>
          <w:color w:val="auto"/>
          <w:kern w:val="0"/>
          <w:szCs w:val="32"/>
          <w:highlight w:val="none"/>
          <w:shd w:val="clear" w:color="auto" w:fill="FFFFFF"/>
          <w:lang w:val="zh-CN"/>
        </w:rPr>
        <w:t>）</w:t>
      </w:r>
      <w:r>
        <w:rPr>
          <w:rFonts w:hint="default" w:ascii="Times New Roman" w:hAnsi="Times New Roman" w:eastAsia="楷体_GB2312" w:cs="Times New Roman"/>
          <w:b/>
          <w:bCs/>
          <w:color w:val="auto"/>
          <w:kern w:val="0"/>
          <w:szCs w:val="32"/>
          <w:highlight w:val="none"/>
          <w:shd w:val="clear" w:color="auto" w:fill="FFFFFF"/>
          <w:lang w:val="zh-CN" w:eastAsia="zh-CN"/>
        </w:rPr>
        <w:t>重点领域</w:t>
      </w:r>
      <w:r>
        <w:rPr>
          <w:rFonts w:hint="default" w:ascii="Times New Roman" w:hAnsi="Times New Roman" w:eastAsia="楷体_GB2312" w:cs="Times New Roman"/>
          <w:b/>
          <w:bCs/>
          <w:color w:val="auto"/>
          <w:kern w:val="0"/>
          <w:szCs w:val="32"/>
          <w:highlight w:val="none"/>
          <w:shd w:val="clear" w:color="auto" w:fill="FFFFFF"/>
          <w:lang w:val="zh-CN"/>
        </w:rPr>
        <w:t>绩效分析</w:t>
      </w:r>
      <w:r>
        <w:rPr>
          <w:rFonts w:hint="eastAsia" w:eastAsia="楷体_GB2312" w:cs="Times New Roman"/>
          <w:b/>
          <w:bCs/>
          <w:color w:val="auto"/>
          <w:kern w:val="0"/>
          <w:szCs w:val="32"/>
          <w:highlight w:val="none"/>
          <w:shd w:val="clear" w:color="auto" w:fill="FFFFFF"/>
          <w:lang w:val="zh-CN"/>
        </w:rPr>
        <w:t>。</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我中心</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2023年</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办公设备采购预算3.9万元，</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按照年初预算，严格履行合同要求，综合科及时对接财政和保密机要局，按照要求进行商场直购工作程序，财务人员和综合科负责人在预算一体化和四川省政府一体化平台进行计划和备案等相关工作。</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最终</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明确了项目合作方阿坝华宇九政科技有限公司，</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以2.34万元</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签订了《阿坝藏族羌族自治州公务服务中心设备购置合同》，</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结余1.56万元。</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pPr>
      <w:r>
        <w:rPr>
          <w:rFonts w:hint="eastAsia" w:ascii="Times New Roman" w:hAnsi="Times New Roman" w:eastAsia="楷体_GB2312" w:cs="Times New Roman"/>
          <w:b/>
          <w:bCs/>
          <w:color w:val="auto"/>
          <w:kern w:val="0"/>
          <w:szCs w:val="32"/>
          <w:highlight w:val="none"/>
          <w:shd w:val="clear" w:color="auto" w:fill="FFFFFF"/>
          <w:lang w:val="zh-CN"/>
        </w:rPr>
        <w:t>（四）</w:t>
      </w:r>
      <w:r>
        <w:rPr>
          <w:rFonts w:hint="default" w:ascii="Times New Roman" w:hAnsi="Times New Roman" w:eastAsia="楷体_GB2312" w:cs="Times New Roman"/>
          <w:b/>
          <w:bCs/>
          <w:color w:val="auto"/>
          <w:kern w:val="0"/>
          <w:szCs w:val="32"/>
          <w:highlight w:val="none"/>
          <w:shd w:val="clear" w:color="auto" w:fill="FFFFFF"/>
          <w:lang w:val="zh-CN"/>
        </w:rPr>
        <w:t>绩效结果应用情况</w:t>
      </w:r>
      <w:r>
        <w:rPr>
          <w:rFonts w:hint="eastAsia" w:eastAsia="楷体_GB2312" w:cs="Times New Roman"/>
          <w:b/>
          <w:bCs/>
          <w:color w:val="auto"/>
          <w:kern w:val="0"/>
          <w:szCs w:val="32"/>
          <w:highlight w:val="none"/>
          <w:shd w:val="clear" w:color="auto" w:fill="FFFFFF"/>
          <w:lang w:val="zh-CN"/>
        </w:rPr>
        <w:t>。</w:t>
      </w:r>
      <w:r>
        <w:rPr>
          <w:rFonts w:hint="eastAsia" w:ascii="Times New Roman" w:hAnsi="Times New Roman" w:eastAsia="仿宋_GB2312" w:cs="Times New Roman"/>
          <w:i w:val="0"/>
          <w:caps w:val="0"/>
          <w:color w:val="auto"/>
          <w:spacing w:val="0"/>
          <w:kern w:val="0"/>
          <w:sz w:val="32"/>
          <w:szCs w:val="32"/>
          <w:shd w:val="clear" w:color="auto" w:fill="FFFFFF"/>
          <w:lang w:val="zh-CN" w:eastAsia="zh-CN" w:bidi="ar"/>
        </w:rPr>
        <w:t>本中心资金支出符合国家财经法规和财务管理制度以及有关项目资金管理办法的规定，资金的拨付有完整的审批过程和手续，项目的支出按规定经过评估论证，支出符合部门预算批复的用途，资金使用无截留、挤占、挪用、虚列支出等情况。</w:t>
      </w:r>
    </w:p>
    <w:p>
      <w:pPr>
        <w:keepNext w:val="0"/>
        <w:keepLines w:val="0"/>
        <w:pageBreakBefore w:val="0"/>
        <w:widowControl/>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黑体" w:cs="Times New Roman"/>
          <w:color w:val="auto"/>
          <w:spacing w:val="-2"/>
          <w:kern w:val="0"/>
          <w:sz w:val="32"/>
          <w:szCs w:val="32"/>
        </w:rPr>
      </w:pPr>
      <w:r>
        <w:rPr>
          <w:rFonts w:hint="default" w:ascii="Times New Roman" w:hAnsi="Times New Roman" w:eastAsia="黑体" w:cs="Times New Roman"/>
          <w:color w:val="auto"/>
          <w:spacing w:val="-2"/>
          <w:kern w:val="0"/>
          <w:sz w:val="32"/>
          <w:szCs w:val="32"/>
          <w:lang w:eastAsia="zh-CN"/>
        </w:rPr>
        <w:t>四、</w:t>
      </w:r>
      <w:r>
        <w:rPr>
          <w:rFonts w:hint="default" w:ascii="Times New Roman" w:hAnsi="Times New Roman" w:eastAsia="黑体" w:cs="Times New Roman"/>
          <w:color w:val="auto"/>
          <w:spacing w:val="-2"/>
          <w:kern w:val="0"/>
          <w:sz w:val="32"/>
          <w:szCs w:val="32"/>
        </w:rPr>
        <w:t>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楷体_GB2312" w:cs="Times New Roman"/>
          <w:b/>
          <w:bCs/>
          <w:color w:val="auto"/>
          <w:kern w:val="0"/>
          <w:szCs w:val="32"/>
          <w:highlight w:val="none"/>
          <w:shd w:val="clear" w:color="auto" w:fill="FFFFFF"/>
          <w:lang w:val="zh-CN" w:eastAsia="zh-CN"/>
        </w:rPr>
        <w:t>（一）评价结论</w:t>
      </w:r>
      <w:r>
        <w:rPr>
          <w:rFonts w:hint="eastAsia" w:eastAsia="楷体_GB2312" w:cs="Times New Roman"/>
          <w:b/>
          <w:bCs/>
          <w:color w:val="auto"/>
          <w:kern w:val="0"/>
          <w:szCs w:val="32"/>
          <w:highlight w:val="none"/>
          <w:shd w:val="clear" w:color="auto" w:fill="FFFFFF"/>
          <w:lang w:val="zh-CN"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2023年部门整体支出绩效评价指标总分值100分，自评</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93.71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，无扣分项</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。一是</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预算管理模块支出执行进度、严控一般性支出等方面还需进一步加强，扣3.59分；二是资产管理模块资产的利用率较低，</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扣</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1.2</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三</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是</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项目决策模块，州庆后勤保障项目于10月份入库晚于9月30日，</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扣分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分</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；四是项目执行模块办公设备采购结余1.56万元，预算结余率大于10%，扣分0.5分。</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楷体_GB2312" w:cs="Times New Roman"/>
          <w:b/>
          <w:bCs/>
          <w:color w:val="auto"/>
          <w:kern w:val="0"/>
          <w:szCs w:val="32"/>
          <w:highlight w:val="none"/>
          <w:shd w:val="clear" w:color="auto" w:fill="FFFFFF"/>
          <w:lang w:val="zh-CN" w:eastAsia="zh-CN"/>
        </w:rPr>
        <w:t>（二）存在问题</w:t>
      </w:r>
      <w:r>
        <w:rPr>
          <w:rFonts w:hint="eastAsia" w:eastAsia="楷体_GB2312" w:cs="Times New Roman"/>
          <w:b/>
          <w:bCs/>
          <w:color w:val="auto"/>
          <w:kern w:val="0"/>
          <w:szCs w:val="32"/>
          <w:highlight w:val="none"/>
          <w:shd w:val="clear" w:color="auto" w:fill="FFFFFF"/>
          <w:lang w:val="zh-CN" w:eastAsia="zh-CN"/>
        </w:rPr>
        <w:t>。</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我中心</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严格按照预算执行进度相关要求，强化责任主体意识，积极采取有效措施，不断优化支出结构，不断提升预算执行管理水平。但经费支付进度还有待提高</w:t>
      </w:r>
      <w:r>
        <w:rPr>
          <w:rFonts w:hint="eastAsia" w:cs="Times New Roman"/>
          <w:i w:val="0"/>
          <w:caps w:val="0"/>
          <w:color w:val="auto"/>
          <w:spacing w:val="0"/>
          <w:kern w:val="0"/>
          <w:sz w:val="32"/>
          <w:szCs w:val="32"/>
          <w:shd w:val="clear" w:color="auto" w:fill="FFFFFF"/>
          <w:lang w:val="en-US" w:eastAsia="zh-CN" w:bidi="ar"/>
        </w:rPr>
        <w:t>。</w:t>
      </w:r>
    </w:p>
    <w:p>
      <w:pPr>
        <w:keepNext w:val="0"/>
        <w:keepLines w:val="0"/>
        <w:pageBreakBefore w:val="0"/>
        <w:widowControl/>
        <w:kinsoku/>
        <w:wordWrap/>
        <w:overflowPunct/>
        <w:topLinePunct w:val="0"/>
        <w:autoSpaceDE/>
        <w:autoSpaceDN/>
        <w:bidi w:val="0"/>
        <w:adjustRightInd/>
        <w:snapToGrid/>
        <w:spacing w:line="480" w:lineRule="exact"/>
        <w:ind w:firstLine="634"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楷体" w:cs="Times New Roman"/>
          <w:b/>
          <w:color w:val="auto"/>
          <w:spacing w:val="-2"/>
          <w:kern w:val="0"/>
          <w:sz w:val="32"/>
          <w:szCs w:val="32"/>
        </w:rPr>
        <w:t>（三）改进建议</w:t>
      </w:r>
      <w:r>
        <w:rPr>
          <w:rFonts w:hint="eastAsia" w:eastAsia="楷体" w:cs="Times New Roman"/>
          <w:b/>
          <w:color w:val="auto"/>
          <w:spacing w:val="-2"/>
          <w:kern w:val="0"/>
          <w:sz w:val="32"/>
          <w:szCs w:val="32"/>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加快支出标准体系建设，加强预算项目管理，进一步细化预算编制工作，认真做好预算编制不断提高预算编制的科学性、严谨性和可控性，推动全过程预算绩效管理提质增效。及时分析单位的项目目标完成情况，对确实在本年度项目实施难度大的情况多沟通、多汇报，在确保资金支出安全有序高效的前提下，正确进行项目的实施，力争完成年度目标任务。</w:t>
      </w:r>
    </w:p>
    <w:p>
      <w:pPr>
        <w:keepNext w:val="0"/>
        <w:keepLines w:val="0"/>
        <w:pageBreakBefore w:val="0"/>
        <w:kinsoku/>
        <w:wordWrap/>
        <w:overflowPunct/>
        <w:topLinePunct w:val="0"/>
        <w:autoSpaceDE/>
        <w:autoSpaceDN/>
        <w:bidi w:val="0"/>
        <w:adjustRightInd/>
        <w:snapToGrid/>
        <w:spacing w:line="480" w:lineRule="exact"/>
        <w:contextualSpacing/>
        <w:jc w:val="both"/>
        <w:textAlignment w:val="auto"/>
        <w:outlineLvl w:val="9"/>
        <w:rPr>
          <w:rFonts w:hint="default" w:ascii="Times New Roman" w:hAnsi="Times New Roman" w:eastAsia="黑体" w:cs="Times New Roman"/>
          <w:color w:val="auto"/>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附表：</w:t>
      </w:r>
      <w:r>
        <w:rPr>
          <w:rFonts w:hint="eastAsia" w:cs="Times New Roman"/>
          <w:i w:val="0"/>
          <w:caps w:val="0"/>
          <w:color w:val="auto"/>
          <w:spacing w:val="0"/>
          <w:kern w:val="0"/>
          <w:sz w:val="32"/>
          <w:szCs w:val="32"/>
          <w:shd w:val="clear" w:color="auto" w:fill="FFFFFF"/>
          <w:lang w:val="en-US" w:eastAsia="zh-CN" w:bidi="ar"/>
        </w:rPr>
        <w:t>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部门整体支出绩效目标完成情况自评表</w:t>
      </w:r>
    </w:p>
    <w:p>
      <w:pPr>
        <w:keepNext w:val="0"/>
        <w:keepLines w:val="0"/>
        <w:pageBreakBefore w:val="0"/>
        <w:widowControl w:val="0"/>
        <w:kinsoku/>
        <w:wordWrap/>
        <w:overflowPunct/>
        <w:topLinePunct w:val="0"/>
        <w:autoSpaceDE/>
        <w:autoSpaceDN/>
        <w:bidi w:val="0"/>
        <w:adjustRightInd/>
        <w:snapToGrid/>
        <w:spacing w:line="480" w:lineRule="exact"/>
        <w:ind w:firstLine="1600" w:firstLineChars="500"/>
        <w:jc w:val="left"/>
        <w:textAlignment w:val="auto"/>
        <w:rPr>
          <w:rFonts w:hint="eastAsia" w:cs="Times New Roman"/>
          <w:i w:val="0"/>
          <w:caps w:val="0"/>
          <w:color w:val="auto"/>
          <w:spacing w:val="0"/>
          <w:kern w:val="0"/>
          <w:sz w:val="32"/>
          <w:szCs w:val="32"/>
          <w:shd w:val="clear" w:color="auto" w:fill="FFFFFF"/>
          <w:lang w:val="en-US" w:eastAsia="zh-CN" w:bidi="ar"/>
        </w:rPr>
      </w:pPr>
      <w:r>
        <w:rPr>
          <w:rFonts w:hint="eastAsia" w:cs="Times New Roman"/>
          <w:i w:val="0"/>
          <w:caps w:val="0"/>
          <w:color w:val="auto"/>
          <w:spacing w:val="0"/>
          <w:kern w:val="0"/>
          <w:sz w:val="32"/>
          <w:szCs w:val="32"/>
          <w:shd w:val="clear" w:color="auto" w:fill="FFFFFF"/>
          <w:lang w:val="en-US" w:eastAsia="zh-CN" w:bidi="ar"/>
        </w:rPr>
        <w:t>2.部门预算绩效评价指标体系</w:t>
      </w:r>
    </w:p>
    <w:p>
      <w:pPr>
        <w:keepNext w:val="0"/>
        <w:keepLines w:val="0"/>
        <w:pageBreakBefore w:val="0"/>
        <w:widowControl w:val="0"/>
        <w:kinsoku/>
        <w:wordWrap/>
        <w:overflowPunct/>
        <w:topLinePunct w:val="0"/>
        <w:autoSpaceDE/>
        <w:autoSpaceDN/>
        <w:bidi w:val="0"/>
        <w:adjustRightInd/>
        <w:snapToGrid/>
        <w:spacing w:line="480" w:lineRule="exact"/>
        <w:ind w:firstLine="1600" w:firstLineChars="500"/>
        <w:jc w:val="left"/>
        <w:textAlignment w:val="auto"/>
        <w:rPr>
          <w:rFonts w:hint="eastAsia" w:cs="Times New Roman"/>
          <w:i w:val="0"/>
          <w:caps w:val="0"/>
          <w:color w:val="auto"/>
          <w:spacing w:val="0"/>
          <w:kern w:val="0"/>
          <w:sz w:val="32"/>
          <w:szCs w:val="32"/>
          <w:shd w:val="clear" w:color="auto" w:fill="FFFFFF"/>
          <w:lang w:val="en-US" w:eastAsia="zh-CN" w:bidi="ar"/>
        </w:rPr>
      </w:pPr>
      <w:r>
        <w:rPr>
          <w:rFonts w:hint="eastAsia" w:cs="Times New Roman"/>
          <w:i w:val="0"/>
          <w:caps w:val="0"/>
          <w:color w:val="auto"/>
          <w:spacing w:val="0"/>
          <w:kern w:val="0"/>
          <w:sz w:val="32"/>
          <w:szCs w:val="32"/>
          <w:shd w:val="clear" w:color="auto" w:fill="FFFFFF"/>
          <w:lang w:val="en-US" w:eastAsia="zh-CN" w:bidi="ar"/>
        </w:rPr>
        <w:t>3.部门预算项目支出绩效自评表</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Times New Roman"/>
          <w:i w:val="0"/>
          <w:caps w:val="0"/>
          <w:color w:val="auto"/>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480" w:lineRule="exact"/>
        <w:ind w:firstLine="4800" w:firstLineChars="1500"/>
        <w:jc w:val="left"/>
        <w:textAlignment w:val="auto"/>
        <w:rPr>
          <w:rFonts w:hint="eastAsia" w:cs="Times New Roman"/>
          <w:i w:val="0"/>
          <w:caps w:val="0"/>
          <w:color w:val="auto"/>
          <w:spacing w:val="0"/>
          <w:kern w:val="0"/>
          <w:sz w:val="32"/>
          <w:szCs w:val="32"/>
          <w:shd w:val="clear" w:color="auto" w:fill="FFFFFF"/>
          <w:lang w:val="en-US" w:eastAsia="zh-CN" w:bidi="ar"/>
        </w:rPr>
      </w:pPr>
      <w:r>
        <w:rPr>
          <w:rFonts w:hint="eastAsia" w:cs="Times New Roman"/>
          <w:i w:val="0"/>
          <w:caps w:val="0"/>
          <w:color w:val="auto"/>
          <w:spacing w:val="0"/>
          <w:kern w:val="0"/>
          <w:sz w:val="32"/>
          <w:szCs w:val="32"/>
          <w:shd w:val="clear" w:color="auto" w:fill="FFFFFF"/>
          <w:lang w:val="en-US" w:eastAsia="zh-CN" w:bidi="ar"/>
        </w:rPr>
        <w:t>阿坝州公务服务中心</w:t>
      </w:r>
    </w:p>
    <w:p>
      <w:pPr>
        <w:keepNext w:val="0"/>
        <w:keepLines w:val="0"/>
        <w:pageBreakBefore w:val="0"/>
        <w:widowControl w:val="0"/>
        <w:kinsoku/>
        <w:wordWrap/>
        <w:overflowPunct/>
        <w:topLinePunct w:val="0"/>
        <w:autoSpaceDE/>
        <w:autoSpaceDN/>
        <w:bidi w:val="0"/>
        <w:adjustRightInd/>
        <w:snapToGrid/>
        <w:spacing w:line="480" w:lineRule="exact"/>
        <w:ind w:firstLine="5120" w:firstLineChars="1600"/>
        <w:jc w:val="left"/>
        <w:textAlignment w:val="auto"/>
        <w:rPr>
          <w:rFonts w:hint="eastAsia" w:cs="Times New Roman"/>
          <w:i w:val="0"/>
          <w:caps w:val="0"/>
          <w:color w:val="auto"/>
          <w:spacing w:val="0"/>
          <w:kern w:val="0"/>
          <w:sz w:val="32"/>
          <w:szCs w:val="32"/>
          <w:shd w:val="clear" w:color="auto" w:fill="FFFFFF"/>
          <w:lang w:val="en-US" w:eastAsia="zh-CN" w:bidi="ar"/>
        </w:rPr>
      </w:pPr>
      <w:r>
        <w:rPr>
          <w:rFonts w:hint="eastAsia" w:cs="Times New Roman"/>
          <w:i w:val="0"/>
          <w:caps w:val="0"/>
          <w:color w:val="auto"/>
          <w:spacing w:val="0"/>
          <w:kern w:val="0"/>
          <w:sz w:val="32"/>
          <w:szCs w:val="32"/>
          <w:shd w:val="clear" w:color="auto" w:fill="FFFFFF"/>
          <w:lang w:val="en-US" w:eastAsia="zh-CN" w:bidi="ar"/>
        </w:rPr>
        <w:t>2024年8月7日</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color w:val="auto"/>
          <w:kern w:val="2"/>
          <w:sz w:val="32"/>
          <w:szCs w:val="24"/>
          <w:highlight w:val="none"/>
          <w:lang w:val="en-US" w:eastAsia="zh-CN" w:bidi="ar-SA"/>
        </w:rPr>
      </w:pPr>
      <w:bookmarkStart w:id="0" w:name="_GoBack"/>
      <w:bookmarkEnd w:id="0"/>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br w:type="page"/>
      </w:r>
      <w:r>
        <w:rPr>
          <w:rFonts w:hint="eastAsia" w:ascii="黑体" w:hAnsi="黑体" w:eastAsia="黑体" w:cs="黑体"/>
          <w:i w:val="0"/>
          <w:caps w:val="0"/>
          <w:color w:val="auto"/>
          <w:spacing w:val="0"/>
          <w:kern w:val="0"/>
          <w:sz w:val="32"/>
          <w:szCs w:val="32"/>
          <w:shd w:val="clear" w:color="auto" w:fill="FFFFFF"/>
          <w:lang w:val="en-US" w:eastAsia="zh-CN" w:bidi="ar"/>
        </w:rPr>
        <w:t>附件1：</w:t>
      </w:r>
    </w:p>
    <w:tbl>
      <w:tblPr>
        <w:tblStyle w:val="13"/>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75"/>
        <w:gridCol w:w="1481"/>
        <w:gridCol w:w="1482"/>
        <w:gridCol w:w="2271"/>
        <w:gridCol w:w="1186"/>
        <w:gridCol w:w="1383"/>
        <w:gridCol w:w="889"/>
        <w:gridCol w:w="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8"/>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76" w:lineRule="exact"/>
              <w:jc w:val="center"/>
              <w:textAlignment w:val="cente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黑体" w:hAnsi="黑体" w:eastAsia="黑体" w:cs="黑体"/>
                <w:color w:val="auto"/>
                <w:kern w:val="2"/>
                <w:sz w:val="32"/>
                <w:szCs w:val="24"/>
                <w:highlight w:val="none"/>
                <w:lang w:val="en-US" w:eastAsia="zh-CN" w:bidi="ar-SA"/>
              </w:rPr>
              <w:t>部门整体支出绩效目标完成情况自评表</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line="376" w:lineRule="exact"/>
              <w:jc w:val="center"/>
              <w:textAlignment w:val="center"/>
              <w:rPr>
                <w:rFonts w:hint="default" w:ascii="Times New Roman" w:hAnsi="Times New Roman" w:eastAsia="黑体" w:cs="Times New Roman"/>
                <w:i w:val="0"/>
                <w:color w:val="auto"/>
                <w:sz w:val="28"/>
                <w:szCs w:val="28"/>
                <w:u w:val="none"/>
              </w:rPr>
            </w:pPr>
            <w:r>
              <w:rPr>
                <w:rFonts w:ascii="宋体" w:hAnsi="宋体" w:eastAsia="宋体" w:cs="宋体"/>
                <w:i w:val="0"/>
                <w:color w:val="auto"/>
                <w:kern w:val="0"/>
                <w:sz w:val="18"/>
                <w:szCs w:val="18"/>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right"/>
              <w:textAlignment w:val="center"/>
              <w:rPr>
                <w:rFonts w:hint="default" w:ascii="Times New Roman" w:hAnsi="Times New Roman" w:eastAsia="宋体" w:cs="Times New Roman"/>
                <w:i w:val="0"/>
                <w:color w:val="auto"/>
                <w:sz w:val="21"/>
                <w:szCs w:val="21"/>
                <w:u w:val="none"/>
              </w:rPr>
            </w:pPr>
            <w:r>
              <w:rPr>
                <w:rFonts w:ascii="宋体" w:hAnsi="宋体" w:eastAsia="宋体" w:cs="宋体"/>
                <w:i w:val="0"/>
                <w:color w:val="auto"/>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1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部门名称</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州公务服务中心部门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年度部门整体支出预算</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资金总额</w:t>
            </w:r>
          </w:p>
        </w:tc>
        <w:tc>
          <w:tcPr>
            <w:tcW w:w="3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财政拨款</w:t>
            </w:r>
          </w:p>
        </w:tc>
        <w:tc>
          <w:tcPr>
            <w:tcW w:w="29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lang w:val="en-US"/>
              </w:rPr>
            </w:pPr>
            <w:r>
              <w:rPr>
                <w:rFonts w:hint="eastAsia" w:ascii="宋体" w:hAnsi="宋体" w:eastAsia="宋体" w:cs="宋体"/>
                <w:i w:val="0"/>
                <w:color w:val="auto"/>
                <w:kern w:val="0"/>
                <w:sz w:val="18"/>
                <w:szCs w:val="18"/>
                <w:u w:val="none"/>
                <w:lang w:val="en-US" w:eastAsia="zh-CN" w:bidi="ar"/>
              </w:rPr>
              <w:t>1052.94</w:t>
            </w:r>
          </w:p>
        </w:tc>
        <w:tc>
          <w:tcPr>
            <w:tcW w:w="3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lang w:val="en-US"/>
              </w:rPr>
            </w:pPr>
            <w:r>
              <w:rPr>
                <w:rFonts w:hint="eastAsia" w:ascii="宋体" w:hAnsi="宋体" w:eastAsia="宋体" w:cs="宋体"/>
                <w:i w:val="0"/>
                <w:color w:val="auto"/>
                <w:kern w:val="0"/>
                <w:sz w:val="18"/>
                <w:szCs w:val="18"/>
                <w:u w:val="none"/>
                <w:lang w:val="en-US" w:eastAsia="zh-CN" w:bidi="ar"/>
              </w:rPr>
              <w:t>1052.94</w:t>
            </w:r>
          </w:p>
        </w:tc>
        <w:tc>
          <w:tcPr>
            <w:tcW w:w="29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年度总体目标</w:t>
            </w:r>
          </w:p>
        </w:tc>
        <w:tc>
          <w:tcPr>
            <w:tcW w:w="938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保障日常工作开展，确保公务接待工作正常运行，提高社会满意度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1" w:hRule="atLeast"/>
          <w:jc w:val="center"/>
        </w:trPr>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年度主要任务</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任务名称</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正常运转</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保障工资正常发放，保障中心日常运转。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公务接待工作经费</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高质量完成符合要求的公务接待工作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公共服务工作经费</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保证符合要求的公务服务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办公设备采购</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更新办公设备，改善工作环境，提高管理水平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机关财务内部审计</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将此次内审检查为契机，补短板、强弱项、夯基础、提能力，进一步加强机关财务管理，确保中心财务规范安全运行。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能耗检测点建设</w:t>
            </w:r>
          </w:p>
        </w:tc>
        <w:tc>
          <w:tcPr>
            <w:tcW w:w="6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完成能耗检测点建设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7" w:hRule="atLeast"/>
          <w:jc w:val="center"/>
        </w:trPr>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年度绩效指标</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一级指标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二级指标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三级指标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绩效指标性质</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绩效指标值</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绩效度量单位</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产出指标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数量指标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省部级以上接待任务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50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批次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2"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质量指标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州级公务接待质量达标率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100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2"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时效指标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项目完成时间</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定性</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2023年12月底前完成</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年</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Times New Roman" w:hAnsi="Times New Roman" w:eastAsia="宋体" w:cs="Times New Roman"/>
                <w:i w:val="0"/>
                <w:color w:val="auto"/>
                <w:sz w:val="24"/>
                <w:szCs w:val="24"/>
                <w:u w:val="none"/>
              </w:rPr>
            </w:pPr>
            <w:r>
              <w:rPr>
                <w:rFonts w:ascii="宋体" w:hAnsi="宋体" w:eastAsia="宋体" w:cs="宋体"/>
                <w:i w:val="0"/>
                <w:color w:val="auto"/>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效益指标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社会效益指标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树立州委政府良好形象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定性</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好坏</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满意度指标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服务对象满意度指标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公务接待对象满意度</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95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ascii="宋体" w:hAnsi="宋体" w:eastAsia="宋体" w:cs="宋体"/>
                <w:i w:val="0"/>
                <w:color w:val="auto"/>
                <w:kern w:val="0"/>
                <w:sz w:val="18"/>
                <w:szCs w:val="18"/>
                <w:u w:val="none"/>
                <w:lang w:val="en-US" w:eastAsia="zh-CN" w:bidi="ar"/>
              </w:rPr>
            </w:pPr>
            <w:r>
              <w:rPr>
                <w:rFonts w:ascii="宋体" w:hAnsi="宋体" w:eastAsia="宋体" w:cs="宋体"/>
                <w:i w:val="0"/>
                <w:color w:val="auto"/>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36" w:lineRule="exact"/>
              <w:jc w:val="both"/>
              <w:rPr>
                <w:rFonts w:hint="default" w:ascii="Times New Roman" w:hAnsi="Times New Roman" w:eastAsia="宋体" w:cs="Times New Roman"/>
                <w:i w:val="0"/>
                <w:color w:val="auto"/>
                <w:sz w:val="24"/>
                <w:szCs w:val="24"/>
                <w:u w:val="none"/>
              </w:rPr>
            </w:pP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default" w:ascii="宋体" w:hAnsi="宋体" w:eastAsia="宋体" w:cs="宋体"/>
                <w:i w:val="0"/>
                <w:color w:val="auto"/>
                <w:kern w:val="0"/>
                <w:sz w:val="18"/>
                <w:szCs w:val="18"/>
                <w:u w:val="none"/>
                <w:lang w:val="en-US" w:eastAsia="zh-CN" w:bidi="ar"/>
              </w:rPr>
              <w:t>成本指标</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default" w:ascii="宋体" w:hAnsi="宋体" w:eastAsia="宋体" w:cs="宋体"/>
                <w:i w:val="0"/>
                <w:color w:val="auto"/>
                <w:kern w:val="0"/>
                <w:sz w:val="18"/>
                <w:szCs w:val="18"/>
                <w:u w:val="none"/>
                <w:lang w:val="en-US" w:eastAsia="zh-CN" w:bidi="ar"/>
              </w:rPr>
              <w:t>经济成本指标</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default" w:ascii="宋体" w:hAnsi="宋体" w:eastAsia="宋体" w:cs="宋体"/>
                <w:i w:val="0"/>
                <w:color w:val="auto"/>
                <w:kern w:val="0"/>
                <w:sz w:val="18"/>
                <w:szCs w:val="18"/>
                <w:u w:val="none"/>
                <w:lang w:val="en-US" w:eastAsia="zh-CN" w:bidi="ar"/>
              </w:rPr>
              <w:t>中心机关全年总成本</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default" w:ascii="宋体" w:hAnsi="宋体" w:eastAsia="宋体" w:cs="宋体"/>
                <w:i w:val="0"/>
                <w:color w:val="auto"/>
                <w:kern w:val="0"/>
                <w:sz w:val="18"/>
                <w:szCs w:val="18"/>
                <w:u w:val="none"/>
                <w:lang w:val="en-US" w:eastAsia="zh-CN" w:bidi="ar"/>
              </w:rPr>
              <w:t>≤</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1053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default" w:ascii="宋体" w:hAnsi="宋体" w:eastAsia="宋体" w:cs="宋体"/>
                <w:i w:val="0"/>
                <w:color w:val="auto"/>
                <w:kern w:val="0"/>
                <w:sz w:val="18"/>
                <w:szCs w:val="18"/>
                <w:u w:val="none"/>
                <w:lang w:val="en-US" w:eastAsia="zh-CN" w:bidi="ar"/>
              </w:rPr>
              <w:t>万元</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36" w:lineRule="exact"/>
              <w:jc w:val="both"/>
              <w:textAlignment w:val="center"/>
              <w:rPr>
                <w:rFonts w:hint="default" w:ascii="宋体" w:hAnsi="宋体" w:eastAsia="宋体" w:cs="宋体"/>
                <w:i w:val="0"/>
                <w:color w:val="auto"/>
                <w:kern w:val="0"/>
                <w:sz w:val="18"/>
                <w:szCs w:val="18"/>
                <w:u w:val="none"/>
                <w:lang w:val="en-US" w:eastAsia="zh-CN" w:bidi="ar"/>
              </w:rPr>
            </w:pPr>
            <w:r>
              <w:rPr>
                <w:rFonts w:hint="default" w:ascii="宋体" w:hAnsi="宋体" w:eastAsia="宋体" w:cs="宋体"/>
                <w:i w:val="0"/>
                <w:color w:val="auto"/>
                <w:kern w:val="0"/>
                <w:sz w:val="18"/>
                <w:szCs w:val="18"/>
                <w:u w:val="none"/>
                <w:lang w:val="en-US" w:eastAsia="zh-CN" w:bidi="ar"/>
              </w:rPr>
              <w:t>20</w:t>
            </w:r>
          </w:p>
        </w:tc>
      </w:tr>
    </w:tbl>
    <w:p>
      <w:pPr>
        <w:pStyle w:val="12"/>
        <w:keepNext w:val="0"/>
        <w:keepLines w:val="0"/>
        <w:pageBreakBefore w:val="0"/>
        <w:kinsoku/>
        <w:wordWrap/>
        <w:overflowPunct/>
        <w:topLinePunct w:val="0"/>
        <w:autoSpaceDE/>
        <w:autoSpaceDN/>
        <w:bidi w:val="0"/>
        <w:adjustRightInd/>
        <w:snapToGrid/>
        <w:spacing w:line="436" w:lineRule="exact"/>
        <w:ind w:left="0" w:leftChars="0" w:firstLine="0" w:firstLineChars="0"/>
        <w:jc w:val="both"/>
        <w:rPr>
          <w:rFonts w:hint="default" w:ascii="Times New Roman" w:hAnsi="Times New Roman" w:eastAsia="黑体" w:cs="Times New Roman"/>
          <w:color w:val="auto"/>
          <w:sz w:val="24"/>
          <w:szCs w:val="24"/>
          <w:highlight w:val="none"/>
          <w:lang w:val="en-US" w:eastAsia="zh-CN"/>
        </w:rPr>
      </w:pPr>
    </w:p>
    <w:sectPr>
      <w:headerReference r:id="rId3" w:type="default"/>
      <w:footerReference r:id="rId4" w:type="default"/>
      <w:pgSz w:w="11906" w:h="16838"/>
      <w:pgMar w:top="2098" w:right="1474" w:bottom="1984" w:left="1587" w:header="851" w:footer="1531" w:gutter="0"/>
      <w:pgNumType w:fmt="numberInDash"/>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451" w:rightChars="141"/>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8"/>
                      <w:ind w:right="451" w:rightChars="141"/>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HorizontalSpacing w:val="160"/>
  <w:drawingGridVerticalSpacing w:val="435"/>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0MmExNTBjODE3YzYwN2M5MTc4MGU5NzFiNjBiZDU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D10A2"/>
    <w:rsid w:val="003D33B8"/>
    <w:rsid w:val="003D624D"/>
    <w:rsid w:val="003D719A"/>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D0228"/>
    <w:rsid w:val="00FD3BB7"/>
    <w:rsid w:val="00FE0D93"/>
    <w:rsid w:val="00FF2572"/>
    <w:rsid w:val="00FF32AD"/>
    <w:rsid w:val="06D7B97E"/>
    <w:rsid w:val="0DC31556"/>
    <w:rsid w:val="0F59691C"/>
    <w:rsid w:val="0FDD7FFC"/>
    <w:rsid w:val="15BFE09B"/>
    <w:rsid w:val="17EFACD8"/>
    <w:rsid w:val="1A3D6143"/>
    <w:rsid w:val="1AAD36CC"/>
    <w:rsid w:val="1B7F4189"/>
    <w:rsid w:val="1BB7EF1B"/>
    <w:rsid w:val="1BDB6463"/>
    <w:rsid w:val="1C013801"/>
    <w:rsid w:val="1DC602A6"/>
    <w:rsid w:val="1DDF81BF"/>
    <w:rsid w:val="1DFD8D3B"/>
    <w:rsid w:val="1EDF8DA4"/>
    <w:rsid w:val="1F9F307F"/>
    <w:rsid w:val="1FB79DC9"/>
    <w:rsid w:val="1FBFC3F2"/>
    <w:rsid w:val="1FD55058"/>
    <w:rsid w:val="1FE799C2"/>
    <w:rsid w:val="1FFFE033"/>
    <w:rsid w:val="230A3CF8"/>
    <w:rsid w:val="231CC8DA"/>
    <w:rsid w:val="277F27A9"/>
    <w:rsid w:val="27F352A6"/>
    <w:rsid w:val="27FF98CB"/>
    <w:rsid w:val="2C3E8A3C"/>
    <w:rsid w:val="2D527252"/>
    <w:rsid w:val="2DDC1740"/>
    <w:rsid w:val="2DF684B5"/>
    <w:rsid w:val="2EAE55F2"/>
    <w:rsid w:val="2EDF4302"/>
    <w:rsid w:val="2EFE1A04"/>
    <w:rsid w:val="2FDEC662"/>
    <w:rsid w:val="2FEF4EC0"/>
    <w:rsid w:val="2FEF9FD5"/>
    <w:rsid w:val="2FF8EB7D"/>
    <w:rsid w:val="34586D0C"/>
    <w:rsid w:val="35BBF80F"/>
    <w:rsid w:val="35FDF176"/>
    <w:rsid w:val="35FEFAEB"/>
    <w:rsid w:val="36BE49CD"/>
    <w:rsid w:val="379D65FF"/>
    <w:rsid w:val="37BD67F3"/>
    <w:rsid w:val="37C53135"/>
    <w:rsid w:val="392B84D9"/>
    <w:rsid w:val="39AF251E"/>
    <w:rsid w:val="39CA1B13"/>
    <w:rsid w:val="39FFAB47"/>
    <w:rsid w:val="3A77D8B4"/>
    <w:rsid w:val="3B736F08"/>
    <w:rsid w:val="3BCE1004"/>
    <w:rsid w:val="3BD679A0"/>
    <w:rsid w:val="3BE3D531"/>
    <w:rsid w:val="3BEF8601"/>
    <w:rsid w:val="3CBD77C8"/>
    <w:rsid w:val="3CE96912"/>
    <w:rsid w:val="3D431A40"/>
    <w:rsid w:val="3DCF8C95"/>
    <w:rsid w:val="3EDE6A73"/>
    <w:rsid w:val="3EDF470D"/>
    <w:rsid w:val="3EF94D42"/>
    <w:rsid w:val="3EFF1DA4"/>
    <w:rsid w:val="3EFF42CA"/>
    <w:rsid w:val="3F6FCA38"/>
    <w:rsid w:val="3F7DE54A"/>
    <w:rsid w:val="3FBEFB01"/>
    <w:rsid w:val="3FBFE492"/>
    <w:rsid w:val="3FD5AF3D"/>
    <w:rsid w:val="3FDF0915"/>
    <w:rsid w:val="3FDF8B32"/>
    <w:rsid w:val="3FE5D6B9"/>
    <w:rsid w:val="3FFED8BE"/>
    <w:rsid w:val="3FFF43BB"/>
    <w:rsid w:val="433DCF8E"/>
    <w:rsid w:val="45EF7DF8"/>
    <w:rsid w:val="45FE13DC"/>
    <w:rsid w:val="45FF973D"/>
    <w:rsid w:val="47550EBA"/>
    <w:rsid w:val="47EE723E"/>
    <w:rsid w:val="481B3ABC"/>
    <w:rsid w:val="48D6C860"/>
    <w:rsid w:val="4BAD5CC0"/>
    <w:rsid w:val="4BF7E09D"/>
    <w:rsid w:val="4BFF05BB"/>
    <w:rsid w:val="4DE9318F"/>
    <w:rsid w:val="4F6F32E0"/>
    <w:rsid w:val="4F7FB7E2"/>
    <w:rsid w:val="4FF61069"/>
    <w:rsid w:val="4FFFC717"/>
    <w:rsid w:val="4FFFFC3E"/>
    <w:rsid w:val="50F73B23"/>
    <w:rsid w:val="51FC9DC8"/>
    <w:rsid w:val="532F3439"/>
    <w:rsid w:val="53BB74FC"/>
    <w:rsid w:val="53FF6ED9"/>
    <w:rsid w:val="552F89B5"/>
    <w:rsid w:val="55FDDF92"/>
    <w:rsid w:val="55FE0E26"/>
    <w:rsid w:val="55FFBC03"/>
    <w:rsid w:val="56CDA72E"/>
    <w:rsid w:val="576F5916"/>
    <w:rsid w:val="577FDAE2"/>
    <w:rsid w:val="57EF8D31"/>
    <w:rsid w:val="57FBE2C7"/>
    <w:rsid w:val="57FF23DA"/>
    <w:rsid w:val="5A9F96BC"/>
    <w:rsid w:val="5B335734"/>
    <w:rsid w:val="5B7F322F"/>
    <w:rsid w:val="5B7FDCA1"/>
    <w:rsid w:val="5B8C2B9D"/>
    <w:rsid w:val="5BA787E9"/>
    <w:rsid w:val="5BCAB023"/>
    <w:rsid w:val="5C772677"/>
    <w:rsid w:val="5D5F5B4F"/>
    <w:rsid w:val="5D75E42D"/>
    <w:rsid w:val="5DDA9B94"/>
    <w:rsid w:val="5DFE326A"/>
    <w:rsid w:val="5E7F333A"/>
    <w:rsid w:val="5EAB810D"/>
    <w:rsid w:val="5EAF8EF0"/>
    <w:rsid w:val="5EFF9DA6"/>
    <w:rsid w:val="5EFFCE79"/>
    <w:rsid w:val="5F2A473D"/>
    <w:rsid w:val="5F70A0BB"/>
    <w:rsid w:val="5F7751B9"/>
    <w:rsid w:val="5F9D0649"/>
    <w:rsid w:val="5F9F7232"/>
    <w:rsid w:val="5F9F9588"/>
    <w:rsid w:val="5FB7CB65"/>
    <w:rsid w:val="5FBD32D2"/>
    <w:rsid w:val="5FBE7DF2"/>
    <w:rsid w:val="5FCE07A4"/>
    <w:rsid w:val="5FD450B0"/>
    <w:rsid w:val="5FD7E414"/>
    <w:rsid w:val="5FEEB240"/>
    <w:rsid w:val="5FEF60CD"/>
    <w:rsid w:val="5FFB203D"/>
    <w:rsid w:val="5FFB8CF9"/>
    <w:rsid w:val="5FFCF351"/>
    <w:rsid w:val="5FFFBAD2"/>
    <w:rsid w:val="61E7662F"/>
    <w:rsid w:val="63DBAF21"/>
    <w:rsid w:val="65FF4B5F"/>
    <w:rsid w:val="6636451A"/>
    <w:rsid w:val="67DB9AB5"/>
    <w:rsid w:val="67DE80AA"/>
    <w:rsid w:val="67F7CF9F"/>
    <w:rsid w:val="67FFBB4C"/>
    <w:rsid w:val="692F3273"/>
    <w:rsid w:val="696FD3B0"/>
    <w:rsid w:val="697E3B47"/>
    <w:rsid w:val="69BF132E"/>
    <w:rsid w:val="69FB17A3"/>
    <w:rsid w:val="69FD1CA2"/>
    <w:rsid w:val="6AAF1B75"/>
    <w:rsid w:val="6AEEF8B7"/>
    <w:rsid w:val="6AF13B1D"/>
    <w:rsid w:val="6AF1D995"/>
    <w:rsid w:val="6AFE2A24"/>
    <w:rsid w:val="6B7E09D1"/>
    <w:rsid w:val="6BAF7531"/>
    <w:rsid w:val="6BB79776"/>
    <w:rsid w:val="6BD29749"/>
    <w:rsid w:val="6BFEE5F3"/>
    <w:rsid w:val="6BFFACE4"/>
    <w:rsid w:val="6BFFCDB3"/>
    <w:rsid w:val="6CAFF34E"/>
    <w:rsid w:val="6CFFCF4F"/>
    <w:rsid w:val="6D754C49"/>
    <w:rsid w:val="6D7E4F34"/>
    <w:rsid w:val="6DBCF2A3"/>
    <w:rsid w:val="6DFFF8B6"/>
    <w:rsid w:val="6E79B544"/>
    <w:rsid w:val="6E9FE641"/>
    <w:rsid w:val="6EAF97B8"/>
    <w:rsid w:val="6EE722C8"/>
    <w:rsid w:val="6EEDE807"/>
    <w:rsid w:val="6EEE4BE4"/>
    <w:rsid w:val="6EF65E9C"/>
    <w:rsid w:val="6F3D9197"/>
    <w:rsid w:val="6F5612E6"/>
    <w:rsid w:val="6FAB3EC4"/>
    <w:rsid w:val="6FB6AF41"/>
    <w:rsid w:val="6FBBD3F7"/>
    <w:rsid w:val="6FD894C8"/>
    <w:rsid w:val="6FE36A9E"/>
    <w:rsid w:val="6FEF3465"/>
    <w:rsid w:val="6FEFB2D1"/>
    <w:rsid w:val="6FFE9523"/>
    <w:rsid w:val="6FFEEB2F"/>
    <w:rsid w:val="6FFF2D59"/>
    <w:rsid w:val="6FFF4018"/>
    <w:rsid w:val="6FFF97E6"/>
    <w:rsid w:val="71397E03"/>
    <w:rsid w:val="717A2BB6"/>
    <w:rsid w:val="717BD6DD"/>
    <w:rsid w:val="71EF3AF9"/>
    <w:rsid w:val="71FB5B08"/>
    <w:rsid w:val="71FFBC5E"/>
    <w:rsid w:val="72DDC419"/>
    <w:rsid w:val="733E3AD6"/>
    <w:rsid w:val="734D341F"/>
    <w:rsid w:val="73DA6981"/>
    <w:rsid w:val="73FB87D9"/>
    <w:rsid w:val="74BE343E"/>
    <w:rsid w:val="74DBC06B"/>
    <w:rsid w:val="75DF7540"/>
    <w:rsid w:val="75EF0FBA"/>
    <w:rsid w:val="75FDA4C2"/>
    <w:rsid w:val="7607C293"/>
    <w:rsid w:val="769E691A"/>
    <w:rsid w:val="76BB472D"/>
    <w:rsid w:val="76DFA4E8"/>
    <w:rsid w:val="76FE38F8"/>
    <w:rsid w:val="773DB2CE"/>
    <w:rsid w:val="778720BD"/>
    <w:rsid w:val="77A7D615"/>
    <w:rsid w:val="77BFED4A"/>
    <w:rsid w:val="77EF01FD"/>
    <w:rsid w:val="77EFE043"/>
    <w:rsid w:val="77F42FC4"/>
    <w:rsid w:val="77F9D3FA"/>
    <w:rsid w:val="77FF366A"/>
    <w:rsid w:val="77FF381E"/>
    <w:rsid w:val="77FF4751"/>
    <w:rsid w:val="77FF8C96"/>
    <w:rsid w:val="77FFA8F9"/>
    <w:rsid w:val="781C6142"/>
    <w:rsid w:val="78DF9199"/>
    <w:rsid w:val="7976604B"/>
    <w:rsid w:val="797F7A56"/>
    <w:rsid w:val="79F3BC78"/>
    <w:rsid w:val="7A5B6CAA"/>
    <w:rsid w:val="7A7F11FF"/>
    <w:rsid w:val="7A9314AC"/>
    <w:rsid w:val="7AEC1EB1"/>
    <w:rsid w:val="7AF068D2"/>
    <w:rsid w:val="7B17E813"/>
    <w:rsid w:val="7B3FE3A0"/>
    <w:rsid w:val="7B4F6850"/>
    <w:rsid w:val="7BA58DBA"/>
    <w:rsid w:val="7BA99C51"/>
    <w:rsid w:val="7BABD5C4"/>
    <w:rsid w:val="7BB12055"/>
    <w:rsid w:val="7BBD838C"/>
    <w:rsid w:val="7BBFADBA"/>
    <w:rsid w:val="7BC35127"/>
    <w:rsid w:val="7BEF06BE"/>
    <w:rsid w:val="7BFE6B2C"/>
    <w:rsid w:val="7BFF492D"/>
    <w:rsid w:val="7BFF760F"/>
    <w:rsid w:val="7BFFE579"/>
    <w:rsid w:val="7BFFEAF9"/>
    <w:rsid w:val="7C5F58B1"/>
    <w:rsid w:val="7C631402"/>
    <w:rsid w:val="7C978C63"/>
    <w:rsid w:val="7CA35AD0"/>
    <w:rsid w:val="7CDF8BC3"/>
    <w:rsid w:val="7CEB72A5"/>
    <w:rsid w:val="7D18750B"/>
    <w:rsid w:val="7D8F54F1"/>
    <w:rsid w:val="7DCB4FBA"/>
    <w:rsid w:val="7DCFF076"/>
    <w:rsid w:val="7DDFDC39"/>
    <w:rsid w:val="7DEE7018"/>
    <w:rsid w:val="7DFA79B6"/>
    <w:rsid w:val="7DFBE83F"/>
    <w:rsid w:val="7DFF1816"/>
    <w:rsid w:val="7E140770"/>
    <w:rsid w:val="7E332C16"/>
    <w:rsid w:val="7E3B4A3B"/>
    <w:rsid w:val="7E47AB91"/>
    <w:rsid w:val="7E5D92FB"/>
    <w:rsid w:val="7E7EC176"/>
    <w:rsid w:val="7E9FCE4D"/>
    <w:rsid w:val="7EEBB8E6"/>
    <w:rsid w:val="7EEF228A"/>
    <w:rsid w:val="7EF51D64"/>
    <w:rsid w:val="7EF5EE05"/>
    <w:rsid w:val="7EFBFF70"/>
    <w:rsid w:val="7EFF3C73"/>
    <w:rsid w:val="7EFF93C9"/>
    <w:rsid w:val="7EFFB50D"/>
    <w:rsid w:val="7EFFF488"/>
    <w:rsid w:val="7F074F3F"/>
    <w:rsid w:val="7F1F9C13"/>
    <w:rsid w:val="7F2BB862"/>
    <w:rsid w:val="7F35022E"/>
    <w:rsid w:val="7F3E3E38"/>
    <w:rsid w:val="7F574612"/>
    <w:rsid w:val="7F6ADA1C"/>
    <w:rsid w:val="7F6BE79C"/>
    <w:rsid w:val="7F6F588F"/>
    <w:rsid w:val="7F7C3B9C"/>
    <w:rsid w:val="7F7C6DA7"/>
    <w:rsid w:val="7F7DC53A"/>
    <w:rsid w:val="7F7F4920"/>
    <w:rsid w:val="7F9F08BC"/>
    <w:rsid w:val="7FA6AE09"/>
    <w:rsid w:val="7FABFA39"/>
    <w:rsid w:val="7FAE45CF"/>
    <w:rsid w:val="7FAFC3D5"/>
    <w:rsid w:val="7FB7C299"/>
    <w:rsid w:val="7FB96B3D"/>
    <w:rsid w:val="7FB9EE43"/>
    <w:rsid w:val="7FBBB1EB"/>
    <w:rsid w:val="7FBF2EED"/>
    <w:rsid w:val="7FBFE8F1"/>
    <w:rsid w:val="7FBFFB92"/>
    <w:rsid w:val="7FD76ACB"/>
    <w:rsid w:val="7FD89DA2"/>
    <w:rsid w:val="7FDBD805"/>
    <w:rsid w:val="7FDBE239"/>
    <w:rsid w:val="7FDEC14D"/>
    <w:rsid w:val="7FDF8B76"/>
    <w:rsid w:val="7FDFE693"/>
    <w:rsid w:val="7FEFB5DD"/>
    <w:rsid w:val="7FEFBBD9"/>
    <w:rsid w:val="7FF3DF29"/>
    <w:rsid w:val="7FF7AED9"/>
    <w:rsid w:val="7FFB1897"/>
    <w:rsid w:val="7FFC9227"/>
    <w:rsid w:val="7FFD6A57"/>
    <w:rsid w:val="7FFDA7EC"/>
    <w:rsid w:val="7FFDE1A6"/>
    <w:rsid w:val="7FFDEA1E"/>
    <w:rsid w:val="7FFE8380"/>
    <w:rsid w:val="7FFEC1F6"/>
    <w:rsid w:val="7FFECBB6"/>
    <w:rsid w:val="7FFF2F52"/>
    <w:rsid w:val="7FFFD1EC"/>
    <w:rsid w:val="839FB64E"/>
    <w:rsid w:val="872175EE"/>
    <w:rsid w:val="87F717FB"/>
    <w:rsid w:val="8BFEC090"/>
    <w:rsid w:val="8F77B333"/>
    <w:rsid w:val="8F7B4EC8"/>
    <w:rsid w:val="8FBD4480"/>
    <w:rsid w:val="8FF7AE96"/>
    <w:rsid w:val="955F5184"/>
    <w:rsid w:val="97D1FA15"/>
    <w:rsid w:val="97FF14A6"/>
    <w:rsid w:val="9DDBD58B"/>
    <w:rsid w:val="9DFB32B1"/>
    <w:rsid w:val="9EDE5241"/>
    <w:rsid w:val="9F6311D7"/>
    <w:rsid w:val="9F7F8A40"/>
    <w:rsid w:val="9F8F808A"/>
    <w:rsid w:val="9F97B441"/>
    <w:rsid w:val="9FB21EF2"/>
    <w:rsid w:val="9FD70AE5"/>
    <w:rsid w:val="9FDB77E2"/>
    <w:rsid w:val="9FF54399"/>
    <w:rsid w:val="A11F4AD4"/>
    <w:rsid w:val="A2E7E76F"/>
    <w:rsid w:val="A3FF03C7"/>
    <w:rsid w:val="A46D76C1"/>
    <w:rsid w:val="A7FF43C2"/>
    <w:rsid w:val="AAD745B0"/>
    <w:rsid w:val="ABF66286"/>
    <w:rsid w:val="ABF936B0"/>
    <w:rsid w:val="AD9E3F04"/>
    <w:rsid w:val="ADA70464"/>
    <w:rsid w:val="ADAFCB8E"/>
    <w:rsid w:val="AEE32C64"/>
    <w:rsid w:val="AFDB3780"/>
    <w:rsid w:val="AFE97CD3"/>
    <w:rsid w:val="AFE9A1D7"/>
    <w:rsid w:val="B1BF5C63"/>
    <w:rsid w:val="B1FF3A18"/>
    <w:rsid w:val="B3635FB1"/>
    <w:rsid w:val="B3BD5988"/>
    <w:rsid w:val="B3CDF284"/>
    <w:rsid w:val="B3E8107B"/>
    <w:rsid w:val="B3EF9A48"/>
    <w:rsid w:val="B3F3DEF9"/>
    <w:rsid w:val="B3F7589F"/>
    <w:rsid w:val="B3FB2D0A"/>
    <w:rsid w:val="B5F66F24"/>
    <w:rsid w:val="B6BF4D77"/>
    <w:rsid w:val="B6EDCD21"/>
    <w:rsid w:val="B6F751F3"/>
    <w:rsid w:val="B73FEAAA"/>
    <w:rsid w:val="B777A81E"/>
    <w:rsid w:val="B7AFA633"/>
    <w:rsid w:val="B7DB059C"/>
    <w:rsid w:val="B7DFD90B"/>
    <w:rsid w:val="B7EF8A69"/>
    <w:rsid w:val="B7F51589"/>
    <w:rsid w:val="B7F5200A"/>
    <w:rsid w:val="B7FEAB36"/>
    <w:rsid w:val="B8FC10F0"/>
    <w:rsid w:val="B9A78C65"/>
    <w:rsid w:val="B9BF31E2"/>
    <w:rsid w:val="BA6E9779"/>
    <w:rsid w:val="BABDA1AA"/>
    <w:rsid w:val="BB1B4BF1"/>
    <w:rsid w:val="BB5F7D11"/>
    <w:rsid w:val="BBA5F53F"/>
    <w:rsid w:val="BBAAD810"/>
    <w:rsid w:val="BBE5FE68"/>
    <w:rsid w:val="BBFEB9C1"/>
    <w:rsid w:val="BD3AEACF"/>
    <w:rsid w:val="BD3E00C4"/>
    <w:rsid w:val="BDBED91A"/>
    <w:rsid w:val="BDCF0FAF"/>
    <w:rsid w:val="BDEB0A57"/>
    <w:rsid w:val="BDF7406A"/>
    <w:rsid w:val="BE6FD8DB"/>
    <w:rsid w:val="BEAF8FEC"/>
    <w:rsid w:val="BEDF4FA8"/>
    <w:rsid w:val="BEEF57C2"/>
    <w:rsid w:val="BEF69280"/>
    <w:rsid w:val="BEF79D71"/>
    <w:rsid w:val="BF6D5596"/>
    <w:rsid w:val="BF6F2D12"/>
    <w:rsid w:val="BF915C80"/>
    <w:rsid w:val="BFA7EA76"/>
    <w:rsid w:val="BFADCD91"/>
    <w:rsid w:val="BFBEBB2C"/>
    <w:rsid w:val="BFBF535A"/>
    <w:rsid w:val="BFC68935"/>
    <w:rsid w:val="BFDB395D"/>
    <w:rsid w:val="BFDD0F1D"/>
    <w:rsid w:val="BFDDD096"/>
    <w:rsid w:val="BFFC0910"/>
    <w:rsid w:val="C4FB0080"/>
    <w:rsid w:val="C5B3F496"/>
    <w:rsid w:val="C5E73386"/>
    <w:rsid w:val="C6F473FC"/>
    <w:rsid w:val="C96F3E49"/>
    <w:rsid w:val="CBBF14F3"/>
    <w:rsid w:val="CBE5DCF2"/>
    <w:rsid w:val="CC7E45CE"/>
    <w:rsid w:val="CCFCC735"/>
    <w:rsid w:val="CD5F927A"/>
    <w:rsid w:val="CDD72576"/>
    <w:rsid w:val="CEEB8A74"/>
    <w:rsid w:val="CF7FDED4"/>
    <w:rsid w:val="CF9D28E1"/>
    <w:rsid w:val="CFEDA3E5"/>
    <w:rsid w:val="CFFF56FB"/>
    <w:rsid w:val="D1BF4217"/>
    <w:rsid w:val="D36A16BD"/>
    <w:rsid w:val="D37FB642"/>
    <w:rsid w:val="D4FD12B6"/>
    <w:rsid w:val="D5FAE67B"/>
    <w:rsid w:val="D77316A0"/>
    <w:rsid w:val="D7BEEF4A"/>
    <w:rsid w:val="D7EFBA2F"/>
    <w:rsid w:val="D7F99798"/>
    <w:rsid w:val="D7FE41F0"/>
    <w:rsid w:val="D7FF400C"/>
    <w:rsid w:val="D97FB490"/>
    <w:rsid w:val="D9DBB511"/>
    <w:rsid w:val="D9FA1886"/>
    <w:rsid w:val="DABFC234"/>
    <w:rsid w:val="DAFF807E"/>
    <w:rsid w:val="DBCF94CE"/>
    <w:rsid w:val="DBD938CA"/>
    <w:rsid w:val="DBED1CD4"/>
    <w:rsid w:val="DBF93A6F"/>
    <w:rsid w:val="DBFBB328"/>
    <w:rsid w:val="DCFA49E0"/>
    <w:rsid w:val="DDD7453A"/>
    <w:rsid w:val="DE3E1FD7"/>
    <w:rsid w:val="DE70C417"/>
    <w:rsid w:val="DEE3CCAE"/>
    <w:rsid w:val="DEEEDCF6"/>
    <w:rsid w:val="DFABF793"/>
    <w:rsid w:val="DFBE1B79"/>
    <w:rsid w:val="DFCF1FEC"/>
    <w:rsid w:val="DFDF7559"/>
    <w:rsid w:val="DFDFAF69"/>
    <w:rsid w:val="DFDFB4CD"/>
    <w:rsid w:val="DFE75A3D"/>
    <w:rsid w:val="DFED2117"/>
    <w:rsid w:val="DFEEEB9E"/>
    <w:rsid w:val="DFEF594B"/>
    <w:rsid w:val="DFF3F960"/>
    <w:rsid w:val="DFF79F3D"/>
    <w:rsid w:val="DFF7E114"/>
    <w:rsid w:val="DFFB2FB3"/>
    <w:rsid w:val="DFFE0D61"/>
    <w:rsid w:val="DFFF9E4A"/>
    <w:rsid w:val="E35C4B3C"/>
    <w:rsid w:val="E3A781CA"/>
    <w:rsid w:val="E56BA8ED"/>
    <w:rsid w:val="E5D75818"/>
    <w:rsid w:val="E5DFAB50"/>
    <w:rsid w:val="E69A00CD"/>
    <w:rsid w:val="E6DF7EC7"/>
    <w:rsid w:val="E6FB3D49"/>
    <w:rsid w:val="E6FC647F"/>
    <w:rsid w:val="E79C9104"/>
    <w:rsid w:val="E7A5E35F"/>
    <w:rsid w:val="E7BD67F4"/>
    <w:rsid w:val="E7EF8C3A"/>
    <w:rsid w:val="E7FF2966"/>
    <w:rsid w:val="E7FF98A4"/>
    <w:rsid w:val="E99429BC"/>
    <w:rsid w:val="EB0D0AB3"/>
    <w:rsid w:val="EB3F4B1A"/>
    <w:rsid w:val="EBB32A95"/>
    <w:rsid w:val="EBBA4C0A"/>
    <w:rsid w:val="EBBFC986"/>
    <w:rsid w:val="EBDE9D75"/>
    <w:rsid w:val="EBFBC8F1"/>
    <w:rsid w:val="EBFDF757"/>
    <w:rsid w:val="EBFFB582"/>
    <w:rsid w:val="ECEE6C8B"/>
    <w:rsid w:val="ECF7C753"/>
    <w:rsid w:val="ED758B5D"/>
    <w:rsid w:val="ED76A08D"/>
    <w:rsid w:val="ED7FF924"/>
    <w:rsid w:val="EDBDD81F"/>
    <w:rsid w:val="EDFD4A66"/>
    <w:rsid w:val="EDFDB542"/>
    <w:rsid w:val="EE4E2A86"/>
    <w:rsid w:val="EEF337BF"/>
    <w:rsid w:val="EF0FCF96"/>
    <w:rsid w:val="EF1AD2FD"/>
    <w:rsid w:val="EF3FA8C5"/>
    <w:rsid w:val="EF578169"/>
    <w:rsid w:val="EF67C050"/>
    <w:rsid w:val="EF7B06D7"/>
    <w:rsid w:val="EF95E20F"/>
    <w:rsid w:val="EFAF7DFF"/>
    <w:rsid w:val="EFAFB283"/>
    <w:rsid w:val="EFBDA38B"/>
    <w:rsid w:val="EFEE9A76"/>
    <w:rsid w:val="EFEEBA4E"/>
    <w:rsid w:val="EFEF42DD"/>
    <w:rsid w:val="EFEF99F1"/>
    <w:rsid w:val="EFEFB21F"/>
    <w:rsid w:val="EFFBDB30"/>
    <w:rsid w:val="EFFFFA82"/>
    <w:rsid w:val="F116D69F"/>
    <w:rsid w:val="F1BF6FBC"/>
    <w:rsid w:val="F1F9A9B5"/>
    <w:rsid w:val="F2796B77"/>
    <w:rsid w:val="F2AC36B6"/>
    <w:rsid w:val="F3779FC2"/>
    <w:rsid w:val="F3B74D9E"/>
    <w:rsid w:val="F3D5C239"/>
    <w:rsid w:val="F3F37DF4"/>
    <w:rsid w:val="F3F96DE6"/>
    <w:rsid w:val="F3FBC54A"/>
    <w:rsid w:val="F3FF5071"/>
    <w:rsid w:val="F47BB68A"/>
    <w:rsid w:val="F47F523E"/>
    <w:rsid w:val="F4CFC907"/>
    <w:rsid w:val="F4FA88CB"/>
    <w:rsid w:val="F5FE38FE"/>
    <w:rsid w:val="F67F6841"/>
    <w:rsid w:val="F69F3AD9"/>
    <w:rsid w:val="F69FD6B0"/>
    <w:rsid w:val="F6A77216"/>
    <w:rsid w:val="F6DE86AC"/>
    <w:rsid w:val="F6FAC963"/>
    <w:rsid w:val="F6FB76F2"/>
    <w:rsid w:val="F6FE51A2"/>
    <w:rsid w:val="F74922FC"/>
    <w:rsid w:val="F757F80A"/>
    <w:rsid w:val="F76FF5A4"/>
    <w:rsid w:val="F77B6E1F"/>
    <w:rsid w:val="F794C6BB"/>
    <w:rsid w:val="F7BD4289"/>
    <w:rsid w:val="F7BFC1BB"/>
    <w:rsid w:val="F7E7F921"/>
    <w:rsid w:val="F7EEE48F"/>
    <w:rsid w:val="F7F7AC6A"/>
    <w:rsid w:val="F7FA3A72"/>
    <w:rsid w:val="F7FD93B9"/>
    <w:rsid w:val="F7FDA9FE"/>
    <w:rsid w:val="F877AC0F"/>
    <w:rsid w:val="F8FF7480"/>
    <w:rsid w:val="F9D61FAE"/>
    <w:rsid w:val="F9EAB78A"/>
    <w:rsid w:val="FA73A895"/>
    <w:rsid w:val="FA94BF10"/>
    <w:rsid w:val="FABF64A5"/>
    <w:rsid w:val="FABF7411"/>
    <w:rsid w:val="FAE707CE"/>
    <w:rsid w:val="FB3F4A29"/>
    <w:rsid w:val="FB5F7E6E"/>
    <w:rsid w:val="FB773EE9"/>
    <w:rsid w:val="FB7FC33D"/>
    <w:rsid w:val="FBA2FA8A"/>
    <w:rsid w:val="FBA53981"/>
    <w:rsid w:val="FBAE86E1"/>
    <w:rsid w:val="FBB6E6B3"/>
    <w:rsid w:val="FBE4457E"/>
    <w:rsid w:val="FBEF775A"/>
    <w:rsid w:val="FBF70BAC"/>
    <w:rsid w:val="FBFC558A"/>
    <w:rsid w:val="FBFF71AC"/>
    <w:rsid w:val="FBFF7E82"/>
    <w:rsid w:val="FBFFEA2B"/>
    <w:rsid w:val="FC7E019B"/>
    <w:rsid w:val="FCCB27AA"/>
    <w:rsid w:val="FCD14E14"/>
    <w:rsid w:val="FCE29CF4"/>
    <w:rsid w:val="FCFF8F4B"/>
    <w:rsid w:val="FCFFB63F"/>
    <w:rsid w:val="FD2FFCCF"/>
    <w:rsid w:val="FD734271"/>
    <w:rsid w:val="FD9595AD"/>
    <w:rsid w:val="FDABD281"/>
    <w:rsid w:val="FDB284D0"/>
    <w:rsid w:val="FDBFC21D"/>
    <w:rsid w:val="FDDC059B"/>
    <w:rsid w:val="FDF9DD9A"/>
    <w:rsid w:val="FDFF2821"/>
    <w:rsid w:val="FDFFA696"/>
    <w:rsid w:val="FE5F7367"/>
    <w:rsid w:val="FE6FB7D9"/>
    <w:rsid w:val="FE7A592F"/>
    <w:rsid w:val="FE7FB02B"/>
    <w:rsid w:val="FEACD17F"/>
    <w:rsid w:val="FEBD0232"/>
    <w:rsid w:val="FECBD474"/>
    <w:rsid w:val="FED5A77F"/>
    <w:rsid w:val="FED75AF5"/>
    <w:rsid w:val="FEDEFEB9"/>
    <w:rsid w:val="FEDFD193"/>
    <w:rsid w:val="FEE33DAC"/>
    <w:rsid w:val="FEE52A0F"/>
    <w:rsid w:val="FEE7097E"/>
    <w:rsid w:val="FEEF8230"/>
    <w:rsid w:val="FEF1F1BE"/>
    <w:rsid w:val="FEF99316"/>
    <w:rsid w:val="FEFB20CB"/>
    <w:rsid w:val="FEFD95B3"/>
    <w:rsid w:val="FEFE4E93"/>
    <w:rsid w:val="FEFF5D84"/>
    <w:rsid w:val="FEFF8747"/>
    <w:rsid w:val="FEFF97B1"/>
    <w:rsid w:val="FEFFA483"/>
    <w:rsid w:val="FF23BEDD"/>
    <w:rsid w:val="FF29B32D"/>
    <w:rsid w:val="FF2E6809"/>
    <w:rsid w:val="FF2E6944"/>
    <w:rsid w:val="FF39AE84"/>
    <w:rsid w:val="FF3DFDE2"/>
    <w:rsid w:val="FF473340"/>
    <w:rsid w:val="FF5F9D52"/>
    <w:rsid w:val="FF7A0B6A"/>
    <w:rsid w:val="FF7AC63E"/>
    <w:rsid w:val="FF7B6DC2"/>
    <w:rsid w:val="FF7BFA80"/>
    <w:rsid w:val="FF7F1059"/>
    <w:rsid w:val="FF7FFF75"/>
    <w:rsid w:val="FF921F59"/>
    <w:rsid w:val="FFABA050"/>
    <w:rsid w:val="FFAF1F5C"/>
    <w:rsid w:val="FFB6E985"/>
    <w:rsid w:val="FFBA0B70"/>
    <w:rsid w:val="FFBB1E09"/>
    <w:rsid w:val="FFBB3129"/>
    <w:rsid w:val="FFBB6A0C"/>
    <w:rsid w:val="FFBD894B"/>
    <w:rsid w:val="FFBF33B3"/>
    <w:rsid w:val="FFBF9850"/>
    <w:rsid w:val="FFC754F0"/>
    <w:rsid w:val="FFCF8951"/>
    <w:rsid w:val="FFD09362"/>
    <w:rsid w:val="FFD1DA08"/>
    <w:rsid w:val="FFD7DEDD"/>
    <w:rsid w:val="FFDBD402"/>
    <w:rsid w:val="FFDE369F"/>
    <w:rsid w:val="FFDF2481"/>
    <w:rsid w:val="FFDF50BE"/>
    <w:rsid w:val="FFEF0878"/>
    <w:rsid w:val="FFEF2241"/>
    <w:rsid w:val="FFEF8236"/>
    <w:rsid w:val="FFEF98C9"/>
    <w:rsid w:val="FFEFA1B0"/>
    <w:rsid w:val="FFEFBCCF"/>
    <w:rsid w:val="FFEFCE62"/>
    <w:rsid w:val="FFF5E09C"/>
    <w:rsid w:val="FFF6E4FA"/>
    <w:rsid w:val="FFF7C5E9"/>
    <w:rsid w:val="FFF7CFD9"/>
    <w:rsid w:val="FFF83E0A"/>
    <w:rsid w:val="FFF973B0"/>
    <w:rsid w:val="FFF9769A"/>
    <w:rsid w:val="FFFB3E66"/>
    <w:rsid w:val="FFFB4F05"/>
    <w:rsid w:val="FFFB64BE"/>
    <w:rsid w:val="FFFC0492"/>
    <w:rsid w:val="FFFC4B2D"/>
    <w:rsid w:val="FFFD8CB0"/>
    <w:rsid w:val="FFFE1DFC"/>
    <w:rsid w:val="FFFEC8F5"/>
    <w:rsid w:val="FFFEFED2"/>
    <w:rsid w:val="FFFF4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next w:val="1"/>
    <w:qFormat/>
    <w:uiPriority w:val="0"/>
    <w:rPr>
      <w:rFonts w:eastAsia="宋体"/>
    </w:rPr>
  </w:style>
  <w:style w:type="paragraph" w:styleId="3">
    <w:name w:val="Body Text Indent"/>
    <w:basedOn w:val="1"/>
    <w:next w:val="2"/>
    <w:qFormat/>
    <w:uiPriority w:val="0"/>
    <w:pPr>
      <w:spacing w:after="120"/>
      <w:ind w:leftChars="200"/>
    </w:pPr>
    <w:rPr>
      <w:rFonts w:ascii="仿宋_GB2312"/>
      <w:szCs w:val="32"/>
    </w:rPr>
  </w:style>
  <w:style w:type="paragraph" w:styleId="4">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5">
    <w:name w:val="Document Map"/>
    <w:basedOn w:val="1"/>
    <w:link w:val="20"/>
    <w:qFormat/>
    <w:uiPriority w:val="0"/>
    <w:rPr>
      <w:rFonts w:ascii="宋体" w:eastAsia="宋体"/>
      <w:sz w:val="18"/>
      <w:szCs w:val="18"/>
    </w:rPr>
  </w:style>
  <w:style w:type="paragraph" w:styleId="6">
    <w:name w:val="Body Text"/>
    <w:basedOn w:val="1"/>
    <w:next w:val="1"/>
    <w:qFormat/>
    <w:uiPriority w:val="0"/>
    <w:pPr>
      <w:spacing w:after="120"/>
    </w:pPr>
  </w:style>
  <w:style w:type="paragraph" w:styleId="7">
    <w:name w:val="Balloon Text"/>
    <w:basedOn w:val="1"/>
    <w:semiHidden/>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0"/>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2">
    <w:name w:val="Body Text First Indent 2"/>
    <w:basedOn w:val="3"/>
    <w:next w:val="1"/>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5"/>
    <w:link w:val="18"/>
    <w:qFormat/>
    <w:uiPriority w:val="0"/>
    <w:rPr>
      <w:rFonts w:ascii="??" w:hAnsi="??" w:eastAsia="宋体" w:cs="宋体"/>
      <w:color w:val="000000"/>
      <w:sz w:val="28"/>
      <w:szCs w:val="21"/>
      <w:lang w:val="en-US" w:eastAsia="zh-CN" w:bidi="ar-SA"/>
    </w:rPr>
  </w:style>
  <w:style w:type="character" w:customStyle="1" w:styleId="20">
    <w:name w:val="文档结构图 Char"/>
    <w:basedOn w:val="15"/>
    <w:link w:val="5"/>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5"/>
    <w:link w:val="8"/>
    <w:qFormat/>
    <w:uiPriority w:val="99"/>
    <w:rPr>
      <w:kern w:val="2"/>
      <w:sz w:val="18"/>
      <w:szCs w:val="18"/>
    </w:rPr>
  </w:style>
  <w:style w:type="character" w:customStyle="1" w:styleId="23">
    <w:name w:val="font31"/>
    <w:basedOn w:val="15"/>
    <w:qFormat/>
    <w:uiPriority w:val="0"/>
    <w:rPr>
      <w:rFonts w:hint="eastAsia" w:ascii="宋体" w:hAnsi="宋体" w:eastAsia="宋体" w:cs="宋体"/>
      <w:color w:val="000000"/>
      <w:sz w:val="24"/>
      <w:szCs w:val="24"/>
      <w:u w:val="none"/>
    </w:rPr>
  </w:style>
  <w:style w:type="character" w:customStyle="1" w:styleId="24">
    <w:name w:val="font51"/>
    <w:basedOn w:val="15"/>
    <w:qFormat/>
    <w:uiPriority w:val="0"/>
    <w:rPr>
      <w:rFonts w:hint="default" w:ascii="Wingdings 2" w:hAnsi="Wingdings 2" w:eastAsia="Wingdings 2" w:cs="Wingdings 2"/>
      <w:color w:val="000000"/>
      <w:sz w:val="18"/>
      <w:szCs w:val="18"/>
      <w:u w:val="none"/>
    </w:rPr>
  </w:style>
  <w:style w:type="character" w:customStyle="1" w:styleId="25">
    <w:name w:val="font01"/>
    <w:basedOn w:val="15"/>
    <w:qFormat/>
    <w:uiPriority w:val="0"/>
    <w:rPr>
      <w:rFonts w:ascii="宋体" w:hAnsi="宋体" w:eastAsia="宋体" w:cs="宋体"/>
      <w:color w:val="000000"/>
      <w:sz w:val="18"/>
      <w:szCs w:val="18"/>
      <w:u w:val="none"/>
    </w:rPr>
  </w:style>
  <w:style w:type="character" w:customStyle="1" w:styleId="26">
    <w:name w:val="font41"/>
    <w:basedOn w:val="15"/>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11</Pages>
  <Words>5007</Words>
  <Characters>5746</Characters>
  <Lines>2</Lines>
  <Paragraphs>1</Paragraphs>
  <TotalTime>4</TotalTime>
  <ScaleCrop>false</ScaleCrop>
  <LinksUpToDate>false</LinksUpToDate>
  <CharactersWithSpaces>5879</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2019-06-05T11:06:00Z</dcterms:created>
  <dc:creator>陈萍</dc:creator>
  <cp:lastModifiedBy>user</cp:lastModifiedBy>
  <cp:lastPrinted>2024-08-04T01:39:00Z</cp:lastPrinted>
  <dcterms:modified xsi:type="dcterms:W3CDTF">2024-08-07T14:55:57Z</dcterms:modified>
  <dc:title>区域性就业培训基地建设项目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A51A36801428E9B041879466C62AECE8</vt:lpwstr>
  </property>
</Properties>
</file>