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pStyle w:val="3"/>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eastAsia="zh-CN"/>
        </w:rPr>
        <w:t>阿坝州公务服务中心</w:t>
      </w:r>
    </w:p>
    <w:p>
      <w:pPr>
        <w:pStyle w:val="3"/>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val="en-US" w:eastAsia="zh-CN"/>
        </w:rPr>
        <w:t>2024年部门预算公开</w:t>
      </w:r>
    </w:p>
    <w:p>
      <w:pPr>
        <w:pStyle w:val="3"/>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textAlignment w:val="auto"/>
        <w:rPr>
          <w:rFonts w:hint="eastAsia" w:ascii="方正小标宋_GBK" w:hAnsi="方正小标宋_GBK" w:eastAsia="方正小标宋_GBK" w:cs="方正小标宋_GBK"/>
          <w:b w:val="0"/>
          <w:w w:val="88"/>
          <w:lang w:eastAsia="zh-CN"/>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重点工作</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（一）阿坝州公务服务中心简介</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主要职能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服务保障工作和州委、州政府交办的其他任务</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eastAsia="zh-CN"/>
        </w:rPr>
        <w:t>（二）</w:t>
      </w:r>
      <w:r>
        <w:rPr>
          <w:rFonts w:hint="eastAsia" w:ascii="Times New Roman" w:hAnsi="Times New Roman" w:eastAsia="方正楷体_GBK" w:cs="Times New Roman"/>
          <w:b/>
          <w:bCs/>
          <w:sz w:val="32"/>
          <w:szCs w:val="32"/>
          <w:lang w:val="en-US" w:eastAsia="zh-CN"/>
        </w:rPr>
        <w:t>阿坝州公务服务中心2024年重点工作。</w:t>
      </w:r>
    </w:p>
    <w:p>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firstLine="642" w:firstLineChars="200"/>
        <w:jc w:val="both"/>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楷体_GBK" w:cs="Times New Roman"/>
          <w:b/>
          <w:bCs/>
          <w:sz w:val="32"/>
          <w:szCs w:val="32"/>
          <w:lang w:val="en-US" w:eastAsia="zh-CN"/>
        </w:rPr>
        <w:t>1.深入学习宣传贯彻</w:t>
      </w:r>
      <w:r>
        <w:rPr>
          <w:rFonts w:hint="default" w:ascii="Times New Roman" w:hAnsi="Times New Roman" w:eastAsia="方正楷体_GBK" w:cs="Times New Roman"/>
          <w:b/>
          <w:bCs/>
          <w:sz w:val="32"/>
          <w:szCs w:val="32"/>
          <w:lang w:val="en-US" w:eastAsia="zh-CN"/>
        </w:rPr>
        <w:t>党的二十届二中全会、</w:t>
      </w:r>
      <w:r>
        <w:rPr>
          <w:rFonts w:hint="eastAsia" w:ascii="Times New Roman" w:hAnsi="Times New Roman" w:eastAsia="方正楷体_GBK" w:cs="Times New Roman"/>
          <w:b/>
          <w:bCs/>
          <w:sz w:val="32"/>
          <w:szCs w:val="32"/>
          <w:lang w:val="en-US" w:eastAsia="zh-CN"/>
        </w:rPr>
        <w:t>省委十二届四次全会、州委十二届四次全会精神。</w:t>
      </w:r>
      <w:r>
        <w:rPr>
          <w:rFonts w:hint="default" w:ascii="Times New Roman" w:hAnsi="Times New Roman" w:eastAsia="方正仿宋_GBK" w:cs="Times New Roman"/>
          <w:b w:val="0"/>
          <w:bCs w:val="0"/>
          <w:color w:val="000000"/>
          <w:kern w:val="2"/>
          <w:sz w:val="32"/>
          <w:szCs w:val="32"/>
          <w:lang w:val="en-US" w:eastAsia="zh-CN" w:bidi="ar-SA"/>
        </w:rPr>
        <w:t>采取集体研学、个人自学</w:t>
      </w:r>
      <w:r>
        <w:rPr>
          <w:rFonts w:hint="eastAsia" w:ascii="Times New Roman" w:hAnsi="Times New Roman" w:eastAsia="方正仿宋_GBK" w:cs="Times New Roman"/>
          <w:b w:val="0"/>
          <w:bCs w:val="0"/>
          <w:color w:val="000000"/>
          <w:kern w:val="2"/>
          <w:sz w:val="32"/>
          <w:szCs w:val="32"/>
          <w:lang w:val="en-US" w:eastAsia="zh-CN" w:bidi="ar-SA"/>
        </w:rPr>
        <w:t>、</w:t>
      </w:r>
      <w:r>
        <w:rPr>
          <w:rFonts w:hint="default" w:ascii="Times New Roman" w:hAnsi="Times New Roman" w:eastAsia="方正仿宋_GBK" w:cs="Times New Roman"/>
          <w:b w:val="0"/>
          <w:bCs w:val="0"/>
          <w:color w:val="000000"/>
          <w:kern w:val="2"/>
          <w:sz w:val="32"/>
          <w:szCs w:val="32"/>
          <w:lang w:val="en-US" w:eastAsia="zh-CN" w:bidi="ar-SA"/>
        </w:rPr>
        <w:t>“线上+线下”学</w:t>
      </w:r>
      <w:r>
        <w:rPr>
          <w:rFonts w:hint="eastAsia" w:ascii="Times New Roman" w:hAnsi="Times New Roman" w:eastAsia="方正仿宋_GBK" w:cs="Times New Roman"/>
          <w:b w:val="0"/>
          <w:bCs w:val="0"/>
          <w:color w:val="000000"/>
          <w:kern w:val="2"/>
          <w:sz w:val="32"/>
          <w:szCs w:val="32"/>
          <w:lang w:val="en-US" w:eastAsia="zh-CN" w:bidi="ar-SA"/>
        </w:rPr>
        <w:t>、</w:t>
      </w:r>
      <w:r>
        <w:rPr>
          <w:rFonts w:hint="default" w:ascii="Times New Roman" w:hAnsi="Times New Roman" w:eastAsia="方正仿宋_GBK" w:cs="Times New Roman"/>
          <w:b w:val="0"/>
          <w:bCs w:val="0"/>
          <w:color w:val="000000"/>
          <w:kern w:val="2"/>
          <w:sz w:val="32"/>
          <w:szCs w:val="32"/>
          <w:lang w:val="en-US" w:eastAsia="zh-CN" w:bidi="ar-SA"/>
        </w:rPr>
        <w:t>辅导讲课等多种形式，有重点、分步骤、多层次地开展全覆盖的</w:t>
      </w:r>
      <w:r>
        <w:rPr>
          <w:rFonts w:hint="eastAsia" w:ascii="Times New Roman" w:hAnsi="Times New Roman" w:eastAsia="方正仿宋_GBK" w:cs="Times New Roman"/>
          <w:b w:val="0"/>
          <w:bCs w:val="0"/>
          <w:color w:val="000000"/>
          <w:kern w:val="2"/>
          <w:sz w:val="32"/>
          <w:szCs w:val="32"/>
          <w:lang w:val="en-US" w:eastAsia="zh-CN" w:bidi="ar-SA"/>
        </w:rPr>
        <w:t>学习</w:t>
      </w:r>
      <w:r>
        <w:rPr>
          <w:rFonts w:hint="default" w:ascii="Times New Roman" w:hAnsi="Times New Roman" w:eastAsia="方正仿宋_GBK" w:cs="Times New Roman"/>
          <w:b w:val="0"/>
          <w:bCs w:val="0"/>
          <w:color w:val="000000"/>
          <w:kern w:val="2"/>
          <w:sz w:val="32"/>
          <w:szCs w:val="32"/>
          <w:lang w:val="en-US" w:eastAsia="zh-CN" w:bidi="ar-SA"/>
        </w:rPr>
        <w:t>宣讲活动，深刻领会党的二十届二中全会、</w:t>
      </w:r>
      <w:r>
        <w:rPr>
          <w:rFonts w:hint="eastAsia" w:ascii="Times New Roman" w:hAnsi="Times New Roman" w:eastAsia="方正仿宋_GBK" w:cs="Times New Roman"/>
          <w:b w:val="0"/>
          <w:bCs w:val="0"/>
          <w:color w:val="000000"/>
          <w:kern w:val="2"/>
          <w:sz w:val="32"/>
          <w:szCs w:val="32"/>
          <w:lang w:val="en-US" w:eastAsia="zh-CN" w:bidi="ar-SA"/>
        </w:rPr>
        <w:t>省委十二届四次全会、州委十二届四次全会</w:t>
      </w:r>
      <w:r>
        <w:rPr>
          <w:rFonts w:hint="default" w:ascii="Times New Roman" w:hAnsi="Times New Roman" w:eastAsia="方正仿宋_GBK" w:cs="Times New Roman"/>
          <w:b w:val="0"/>
          <w:bCs w:val="0"/>
          <w:color w:val="000000"/>
          <w:kern w:val="2"/>
          <w:sz w:val="32"/>
          <w:szCs w:val="32"/>
          <w:lang w:val="en-US" w:eastAsia="zh-CN" w:bidi="ar-SA"/>
        </w:rPr>
        <w:t>蕴含其中的重要思想、重要观点、重大论断、重大举措，贯彻落实到具体实践中，不断谋划新思路、采取新举措、增添新动能。</w:t>
      </w:r>
    </w:p>
    <w:p>
      <w:pPr>
        <w:keepNext w:val="0"/>
        <w:keepLines w:val="0"/>
        <w:pageBreakBefore w:val="0"/>
        <w:widowControl/>
        <w:suppressLineNumbers w:val="0"/>
        <w:kinsoku/>
        <w:wordWrap/>
        <w:topLinePunct w:val="0"/>
        <w:autoSpaceDE/>
        <w:autoSpaceDN/>
        <w:bidi w:val="0"/>
        <w:adjustRightInd/>
        <w:snapToGrid/>
        <w:spacing w:line="520" w:lineRule="exact"/>
        <w:ind w:firstLine="642" w:firstLineChars="200"/>
        <w:jc w:val="left"/>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楷体_GBK" w:cs="Times New Roman"/>
          <w:b/>
          <w:bCs/>
          <w:sz w:val="32"/>
          <w:szCs w:val="32"/>
          <w:lang w:val="en-US" w:eastAsia="zh-CN"/>
        </w:rPr>
        <w:t>2.持续抓好</w:t>
      </w:r>
      <w:r>
        <w:rPr>
          <w:rFonts w:hint="default" w:ascii="Times New Roman" w:hAnsi="Times New Roman" w:eastAsia="方正楷体_GBK" w:cs="Times New Roman"/>
          <w:b/>
          <w:bCs/>
          <w:sz w:val="32"/>
          <w:szCs w:val="32"/>
          <w:lang w:val="en-US" w:eastAsia="zh-CN"/>
        </w:rPr>
        <w:t>主题教育。</w:t>
      </w:r>
      <w:r>
        <w:rPr>
          <w:rFonts w:hint="eastAsia" w:ascii="Times New Roman" w:hAnsi="Times New Roman" w:eastAsia="方正仿宋_GBK" w:cs="Times New Roman"/>
          <w:b w:val="0"/>
          <w:bCs w:val="0"/>
          <w:color w:val="000000"/>
          <w:kern w:val="2"/>
          <w:sz w:val="32"/>
          <w:szCs w:val="32"/>
          <w:lang w:val="en-US" w:eastAsia="zh-CN" w:bidi="ar-SA"/>
        </w:rPr>
        <w:t>根据州委主题教育工作安排，</w:t>
      </w:r>
      <w:r>
        <w:rPr>
          <w:rFonts w:hint="default" w:ascii="Times New Roman" w:hAnsi="Times New Roman" w:eastAsia="方正仿宋_GBK" w:cs="Times New Roman"/>
          <w:b w:val="0"/>
          <w:bCs w:val="0"/>
          <w:color w:val="000000"/>
          <w:kern w:val="2"/>
          <w:sz w:val="32"/>
          <w:szCs w:val="32"/>
          <w:lang w:val="en-US" w:eastAsia="zh-CN" w:bidi="ar-SA"/>
        </w:rPr>
        <w:t>坚持问题导向、目标导向，把推动高质量发展作为主题教育的着力点和落脚点，一体化推进</w:t>
      </w:r>
      <w:r>
        <w:rPr>
          <w:rFonts w:hint="eastAsia" w:ascii="Times New Roman" w:hAnsi="Times New Roman" w:eastAsia="方正仿宋_GBK" w:cs="Times New Roman"/>
          <w:b w:val="0"/>
          <w:bCs w:val="0"/>
          <w:color w:val="000000"/>
          <w:kern w:val="2"/>
          <w:sz w:val="32"/>
          <w:szCs w:val="32"/>
          <w:lang w:val="en-US" w:eastAsia="zh-CN" w:bidi="ar-SA"/>
        </w:rPr>
        <w:t>和有序有效完成</w:t>
      </w:r>
      <w:r>
        <w:rPr>
          <w:rFonts w:hint="default" w:ascii="Times New Roman" w:hAnsi="Times New Roman" w:eastAsia="方正仿宋_GBK" w:cs="Times New Roman"/>
          <w:b w:val="0"/>
          <w:bCs w:val="0"/>
          <w:color w:val="000000"/>
          <w:kern w:val="2"/>
          <w:sz w:val="32"/>
          <w:szCs w:val="32"/>
          <w:lang w:val="en-US" w:eastAsia="zh-CN" w:bidi="ar-SA"/>
        </w:rPr>
        <w:t>理论学习、调查研究、检视整改等工作，真正把主题教育</w:t>
      </w:r>
      <w:r>
        <w:rPr>
          <w:rFonts w:hint="eastAsia" w:ascii="Times New Roman" w:hAnsi="Times New Roman" w:eastAsia="方正仿宋_GBK" w:cs="Times New Roman"/>
          <w:b w:val="0"/>
          <w:bCs w:val="0"/>
          <w:color w:val="000000"/>
          <w:kern w:val="2"/>
          <w:sz w:val="32"/>
          <w:szCs w:val="32"/>
          <w:lang w:val="en-US" w:eastAsia="zh-CN" w:bidi="ar-SA"/>
        </w:rPr>
        <w:t>成果</w:t>
      </w:r>
      <w:r>
        <w:rPr>
          <w:rFonts w:hint="default" w:ascii="Times New Roman" w:hAnsi="Times New Roman" w:eastAsia="方正仿宋_GBK" w:cs="Times New Roman"/>
          <w:b w:val="0"/>
          <w:bCs w:val="0"/>
          <w:color w:val="000000"/>
          <w:kern w:val="2"/>
          <w:sz w:val="32"/>
          <w:szCs w:val="32"/>
          <w:lang w:val="en-US" w:eastAsia="zh-CN" w:bidi="ar-SA"/>
        </w:rPr>
        <w:t>转化为推动</w:t>
      </w:r>
      <w:r>
        <w:rPr>
          <w:rFonts w:hint="eastAsia" w:ascii="Times New Roman" w:hAnsi="Times New Roman" w:eastAsia="方正仿宋_GBK" w:cs="Times New Roman"/>
          <w:b w:val="0"/>
          <w:bCs w:val="0"/>
          <w:color w:val="000000"/>
          <w:kern w:val="2"/>
          <w:sz w:val="32"/>
          <w:szCs w:val="32"/>
          <w:lang w:val="en-US" w:eastAsia="zh-CN" w:bidi="ar-SA"/>
        </w:rPr>
        <w:t>公务服务</w:t>
      </w:r>
      <w:r>
        <w:rPr>
          <w:rFonts w:hint="default" w:ascii="Times New Roman" w:hAnsi="Times New Roman" w:eastAsia="方正仿宋_GBK" w:cs="Times New Roman"/>
          <w:b w:val="0"/>
          <w:bCs w:val="0"/>
          <w:color w:val="000000"/>
          <w:kern w:val="2"/>
          <w:sz w:val="32"/>
          <w:szCs w:val="32"/>
          <w:lang w:val="en-US" w:eastAsia="zh-CN" w:bidi="ar-SA"/>
        </w:rPr>
        <w:t>高质量发展的蓬勃动能和生动实践。</w:t>
      </w:r>
    </w:p>
    <w:p>
      <w:pPr>
        <w:keepNext w:val="0"/>
        <w:keepLines w:val="0"/>
        <w:pageBreakBefore w:val="0"/>
        <w:widowControl w:val="0"/>
        <w:kinsoku/>
        <w:wordWrap/>
        <w:overflowPunct w:val="0"/>
        <w:topLinePunct w:val="0"/>
        <w:autoSpaceDE/>
        <w:autoSpaceDN/>
        <w:bidi w:val="0"/>
        <w:adjustRightInd/>
        <w:snapToGrid/>
        <w:spacing w:line="520" w:lineRule="exact"/>
        <w:ind w:firstLine="642" w:firstLineChars="200"/>
        <w:jc w:val="both"/>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楷体_GBK" w:cs="Times New Roman"/>
          <w:b/>
          <w:bCs/>
          <w:sz w:val="32"/>
          <w:szCs w:val="32"/>
          <w:lang w:val="en-US" w:eastAsia="zh-CN"/>
        </w:rPr>
        <w:t>3.</w:t>
      </w:r>
      <w:r>
        <w:rPr>
          <w:rFonts w:hint="default" w:ascii="Times New Roman" w:hAnsi="Times New Roman" w:eastAsia="方正楷体_GBK" w:cs="Times New Roman"/>
          <w:b/>
          <w:bCs/>
          <w:sz w:val="32"/>
          <w:szCs w:val="32"/>
          <w:lang w:val="en-US" w:eastAsia="zh-CN"/>
        </w:rPr>
        <w:t>做好级别任务和重要活动服务保障。</w:t>
      </w:r>
      <w:r>
        <w:rPr>
          <w:rFonts w:hint="default" w:ascii="Times New Roman" w:hAnsi="Times New Roman" w:eastAsia="方正仿宋_GBK" w:cs="Times New Roman"/>
          <w:b w:val="0"/>
          <w:bCs w:val="0"/>
          <w:color w:val="000000"/>
          <w:kern w:val="2"/>
          <w:sz w:val="32"/>
          <w:szCs w:val="32"/>
          <w:lang w:val="en-US" w:eastAsia="zh-CN" w:bidi="ar-SA"/>
        </w:rPr>
        <w:t>按照“周到、细致、安全、顺畅”工作要求，悉心做好党和国家领导人及省部级领导在州考察调研服务保障任务，尽心做好市（州）党政代表团和党中央、国务院，省委、省政府各类督导检查工作团组的后勤保障工作，用心做好国家、省在州的会议和州委重要会议后勤保障。</w:t>
      </w:r>
    </w:p>
    <w:p>
      <w:pPr>
        <w:keepNext w:val="0"/>
        <w:keepLines w:val="0"/>
        <w:pageBreakBefore w:val="0"/>
        <w:widowControl w:val="0"/>
        <w:kinsoku/>
        <w:wordWrap/>
        <w:overflowPunct w:val="0"/>
        <w:topLinePunct w:val="0"/>
        <w:autoSpaceDE/>
        <w:autoSpaceDN/>
        <w:bidi w:val="0"/>
        <w:adjustRightInd/>
        <w:snapToGrid/>
        <w:spacing w:line="520" w:lineRule="exact"/>
        <w:ind w:firstLine="642" w:firstLineChars="200"/>
        <w:jc w:val="both"/>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楷体_GBK" w:cs="Times New Roman"/>
          <w:b/>
          <w:bCs/>
          <w:sz w:val="32"/>
          <w:szCs w:val="32"/>
          <w:lang w:val="en-US" w:eastAsia="zh-CN"/>
        </w:rPr>
        <w:t>4.</w:t>
      </w:r>
      <w:r>
        <w:rPr>
          <w:rFonts w:hint="default" w:ascii="Times New Roman" w:hAnsi="Times New Roman" w:eastAsia="方正楷体_GBK" w:cs="Times New Roman"/>
          <w:b/>
          <w:bCs/>
          <w:sz w:val="32"/>
          <w:szCs w:val="32"/>
          <w:lang w:val="en-US" w:eastAsia="zh-CN"/>
        </w:rPr>
        <w:t>深化公务服务工作转型升级。</w:t>
      </w:r>
      <w:r>
        <w:rPr>
          <w:rFonts w:hint="default" w:ascii="Times New Roman" w:hAnsi="Times New Roman" w:eastAsia="方正仿宋_GBK" w:cs="Times New Roman"/>
          <w:b w:val="0"/>
          <w:bCs w:val="0"/>
          <w:color w:val="000000"/>
          <w:kern w:val="2"/>
          <w:sz w:val="32"/>
          <w:szCs w:val="32"/>
          <w:lang w:val="en-US" w:eastAsia="zh-CN" w:bidi="ar-SA"/>
        </w:rPr>
        <w:t>着眼州委、州政府工作大局，按照既定的“1234”工作布局，整合全州接待力量和资源，强化州、县（市）工作协调配合，探索建立新的工作推进机制，完备工作推进支撑要素，持续纵深推进“公务接待由事务向政务转型升级”。</w:t>
      </w:r>
    </w:p>
    <w:p>
      <w:pPr>
        <w:keepNext w:val="0"/>
        <w:keepLines w:val="0"/>
        <w:pageBreakBefore w:val="0"/>
        <w:widowControl w:val="0"/>
        <w:kinsoku/>
        <w:wordWrap/>
        <w:overflowPunct w:val="0"/>
        <w:topLinePunct w:val="0"/>
        <w:autoSpaceDE/>
        <w:autoSpaceDN/>
        <w:bidi w:val="0"/>
        <w:adjustRightInd/>
        <w:snapToGrid/>
        <w:spacing w:line="520" w:lineRule="exact"/>
        <w:ind w:firstLine="642" w:firstLineChars="200"/>
        <w:jc w:val="both"/>
        <w:textAlignment w:val="auto"/>
        <w:rPr>
          <w:rFonts w:hint="default" w:ascii="Times New Roman" w:hAnsi="Times New Roman" w:eastAsia="方正仿宋_GBK" w:cs="Times New Roman"/>
          <w:b w:val="0"/>
          <w:bCs w:val="0"/>
          <w:color w:val="000000"/>
          <w:kern w:val="2"/>
          <w:sz w:val="32"/>
          <w:szCs w:val="32"/>
          <w:lang w:val="en-US" w:eastAsia="zh-CN" w:bidi="ar-SA"/>
        </w:rPr>
      </w:pPr>
      <w:r>
        <w:rPr>
          <w:rFonts w:hint="eastAsia" w:ascii="Times New Roman" w:hAnsi="Times New Roman" w:eastAsia="方正楷体_GBK" w:cs="Times New Roman"/>
          <w:b/>
          <w:bCs/>
          <w:sz w:val="32"/>
          <w:szCs w:val="32"/>
          <w:lang w:val="en-US" w:eastAsia="zh-CN"/>
        </w:rPr>
        <w:t>5.常态化</w:t>
      </w:r>
      <w:r>
        <w:rPr>
          <w:rFonts w:hint="default" w:ascii="Times New Roman" w:hAnsi="Times New Roman" w:eastAsia="方正楷体_GBK" w:cs="Times New Roman"/>
          <w:b/>
          <w:bCs/>
          <w:sz w:val="32"/>
          <w:szCs w:val="32"/>
          <w:lang w:val="en-US" w:eastAsia="zh-CN"/>
        </w:rPr>
        <w:t>开展公务接待工作督导。</w:t>
      </w:r>
      <w:r>
        <w:rPr>
          <w:rFonts w:hint="default" w:ascii="Times New Roman" w:hAnsi="Times New Roman" w:eastAsia="方正仿宋_GBK" w:cs="Times New Roman"/>
          <w:b w:val="0"/>
          <w:bCs w:val="0"/>
          <w:color w:val="000000"/>
          <w:kern w:val="2"/>
          <w:sz w:val="32"/>
          <w:szCs w:val="32"/>
          <w:lang w:val="en-US" w:eastAsia="zh-CN" w:bidi="ar-SA"/>
        </w:rPr>
        <w:t>进一步加强与州纪委监委、州财政、州审计等部门的联系，</w:t>
      </w:r>
      <w:r>
        <w:rPr>
          <w:rFonts w:hint="eastAsia" w:ascii="Times New Roman" w:hAnsi="Times New Roman" w:eastAsia="方正仿宋_GBK" w:cs="Times New Roman"/>
          <w:b w:val="0"/>
          <w:bCs w:val="0"/>
          <w:color w:val="000000"/>
          <w:kern w:val="2"/>
          <w:sz w:val="32"/>
          <w:szCs w:val="32"/>
          <w:lang w:val="en-US" w:eastAsia="zh-CN" w:bidi="ar-SA"/>
        </w:rPr>
        <w:t>完善</w:t>
      </w:r>
      <w:r>
        <w:rPr>
          <w:rFonts w:hint="default" w:ascii="Times New Roman" w:hAnsi="Times New Roman" w:eastAsia="方正仿宋_GBK" w:cs="Times New Roman"/>
          <w:b w:val="0"/>
          <w:bCs w:val="0"/>
          <w:color w:val="000000"/>
          <w:kern w:val="2"/>
          <w:sz w:val="32"/>
          <w:szCs w:val="32"/>
          <w:lang w:val="en-US" w:eastAsia="zh-CN" w:bidi="ar-SA"/>
        </w:rPr>
        <w:t>公务</w:t>
      </w:r>
      <w:r>
        <w:rPr>
          <w:rFonts w:hint="eastAsia" w:ascii="Times New Roman" w:hAnsi="Times New Roman" w:eastAsia="方正仿宋_GBK" w:cs="Times New Roman"/>
          <w:b w:val="0"/>
          <w:bCs w:val="0"/>
          <w:color w:val="000000"/>
          <w:kern w:val="2"/>
          <w:sz w:val="32"/>
          <w:szCs w:val="32"/>
          <w:lang w:val="en-US" w:eastAsia="zh-CN" w:bidi="ar-SA"/>
        </w:rPr>
        <w:t>接待监督</w:t>
      </w:r>
      <w:r>
        <w:rPr>
          <w:rFonts w:hint="default" w:ascii="Times New Roman" w:hAnsi="Times New Roman" w:eastAsia="方正仿宋_GBK" w:cs="Times New Roman"/>
          <w:b w:val="0"/>
          <w:bCs w:val="0"/>
          <w:color w:val="000000"/>
          <w:kern w:val="2"/>
          <w:sz w:val="32"/>
          <w:szCs w:val="32"/>
          <w:lang w:val="en-US" w:eastAsia="zh-CN" w:bidi="ar-SA"/>
        </w:rPr>
        <w:t>与纪委监委监督、财政监督、审计监督</w:t>
      </w:r>
      <w:r>
        <w:rPr>
          <w:rFonts w:hint="eastAsia" w:ascii="Times New Roman" w:hAnsi="Times New Roman" w:eastAsia="方正仿宋_GBK" w:cs="Times New Roman"/>
          <w:b w:val="0"/>
          <w:bCs w:val="0"/>
          <w:color w:val="000000"/>
          <w:kern w:val="2"/>
          <w:sz w:val="32"/>
          <w:szCs w:val="32"/>
          <w:lang w:val="en-US" w:eastAsia="zh-CN" w:bidi="ar-SA"/>
        </w:rPr>
        <w:t>的有效机制，优化</w:t>
      </w:r>
      <w:r>
        <w:rPr>
          <w:rFonts w:hint="default" w:ascii="Times New Roman" w:hAnsi="Times New Roman" w:eastAsia="方正仿宋_GBK" w:cs="Times New Roman"/>
          <w:b w:val="0"/>
          <w:bCs w:val="0"/>
          <w:color w:val="000000"/>
          <w:kern w:val="2"/>
          <w:sz w:val="32"/>
          <w:szCs w:val="32"/>
          <w:lang w:val="en-US" w:eastAsia="zh-CN" w:bidi="ar-SA"/>
        </w:rPr>
        <w:t>贯通衔接方法路径，</w:t>
      </w:r>
      <w:r>
        <w:rPr>
          <w:rFonts w:hint="eastAsia" w:ascii="Times New Roman" w:hAnsi="Times New Roman" w:eastAsia="方正仿宋_GBK" w:cs="Times New Roman"/>
          <w:b w:val="0"/>
          <w:bCs w:val="0"/>
          <w:color w:val="000000"/>
          <w:kern w:val="2"/>
          <w:sz w:val="32"/>
          <w:szCs w:val="32"/>
          <w:lang w:val="en-US" w:eastAsia="zh-CN" w:bidi="ar-SA"/>
        </w:rPr>
        <w:t>做深</w:t>
      </w:r>
      <w:r>
        <w:rPr>
          <w:rFonts w:hint="default" w:ascii="Times New Roman" w:hAnsi="Times New Roman" w:eastAsia="方正仿宋_GBK" w:cs="Times New Roman"/>
          <w:b w:val="0"/>
          <w:bCs w:val="0"/>
          <w:color w:val="000000"/>
          <w:kern w:val="2"/>
          <w:sz w:val="32"/>
          <w:szCs w:val="32"/>
          <w:lang w:val="en-US" w:eastAsia="zh-CN" w:bidi="ar-SA"/>
        </w:rPr>
        <w:t>公务</w:t>
      </w:r>
      <w:r>
        <w:rPr>
          <w:rFonts w:hint="eastAsia" w:ascii="Times New Roman" w:hAnsi="Times New Roman" w:eastAsia="方正仿宋_GBK" w:cs="Times New Roman"/>
          <w:b w:val="0"/>
          <w:bCs w:val="0"/>
          <w:color w:val="000000"/>
          <w:kern w:val="2"/>
          <w:sz w:val="32"/>
          <w:szCs w:val="32"/>
          <w:lang w:val="en-US" w:eastAsia="zh-CN" w:bidi="ar-SA"/>
        </w:rPr>
        <w:t>接待</w:t>
      </w:r>
      <w:r>
        <w:rPr>
          <w:rFonts w:hint="default" w:ascii="Times New Roman" w:hAnsi="Times New Roman" w:eastAsia="方正仿宋_GBK" w:cs="Times New Roman"/>
          <w:b w:val="0"/>
          <w:bCs w:val="0"/>
          <w:color w:val="000000"/>
          <w:kern w:val="2"/>
          <w:sz w:val="32"/>
          <w:szCs w:val="32"/>
          <w:lang w:val="en-US" w:eastAsia="zh-CN" w:bidi="ar-SA"/>
        </w:rPr>
        <w:t>监督。</w:t>
      </w:r>
    </w:p>
    <w:p>
      <w:pPr>
        <w:keepNext w:val="0"/>
        <w:keepLines w:val="0"/>
        <w:pageBreakBefore w:val="0"/>
        <w:kinsoku/>
        <w:wordWrap/>
        <w:overflowPunct/>
        <w:topLinePunct w:val="0"/>
        <w:autoSpaceDE/>
        <w:autoSpaceDN/>
        <w:bidi w:val="0"/>
        <w:adjustRightInd/>
        <w:snapToGrid/>
        <w:spacing w:line="520" w:lineRule="exact"/>
        <w:ind w:firstLine="642"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6.纵深推进公务接待</w:t>
      </w:r>
      <w:r>
        <w:rPr>
          <w:rFonts w:hint="default" w:ascii="Times New Roman" w:hAnsi="Times New Roman" w:eastAsia="方正楷体_GBK" w:cs="Times New Roman"/>
          <w:b/>
          <w:bCs/>
          <w:sz w:val="32"/>
          <w:szCs w:val="32"/>
          <w:lang w:val="en-US" w:eastAsia="zh-CN"/>
        </w:rPr>
        <w:t>队伍</w:t>
      </w:r>
      <w:r>
        <w:rPr>
          <w:rFonts w:hint="eastAsia" w:ascii="Times New Roman" w:hAnsi="Times New Roman" w:eastAsia="方正楷体_GBK" w:cs="Times New Roman"/>
          <w:b/>
          <w:bCs/>
          <w:sz w:val="32"/>
          <w:szCs w:val="32"/>
          <w:lang w:val="en-US" w:eastAsia="zh-CN"/>
        </w:rPr>
        <w:t>建设</w:t>
      </w: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仿宋_GBK" w:cs="Times New Roman"/>
          <w:b w:val="0"/>
          <w:bCs w:val="0"/>
          <w:color w:val="000000"/>
          <w:kern w:val="2"/>
          <w:sz w:val="32"/>
          <w:szCs w:val="32"/>
          <w:lang w:val="en-US" w:eastAsia="zh-CN" w:bidi="ar-SA"/>
        </w:rPr>
        <w:t>进一步强化</w:t>
      </w:r>
      <w:r>
        <w:rPr>
          <w:rFonts w:hint="default" w:ascii="Times New Roman" w:hAnsi="Times New Roman" w:eastAsia="方正仿宋_GBK" w:cs="Times New Roman"/>
          <w:b w:val="0"/>
          <w:bCs w:val="0"/>
          <w:color w:val="000000"/>
          <w:kern w:val="2"/>
          <w:sz w:val="32"/>
          <w:szCs w:val="32"/>
          <w:lang w:val="en-US" w:eastAsia="zh-CN" w:bidi="ar-SA"/>
        </w:rPr>
        <w:t>公务服务系统培训，丰富专业知识、提升专业能力、锤炼专业作风、培育专业精神，加快推动公务服务干部从“单一型”向“复合型”转变，不断提高适应新时代公务服务工作的业务水平和应变能力。</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阿坝州公务服务中心一级预算单位，下属二级预算单位0个，其中：其他事业单位0个。</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lang w:val="en-US" w:eastAsia="zh-CN"/>
        </w:rPr>
        <w:t>按照综合预算的原则，阿坝州公务服务中心单位所有收入和支出均纳入部门预算管理。收入包括：一般公共预算拨款收入856.29万元，无事业收入，无其他收入，无上年结转；支出包括：一般公共服务收入761.82万元，社会保障和就业</w:t>
      </w:r>
      <w:r>
        <w:rPr>
          <w:rFonts w:hint="eastAsia" w:ascii="Times New Roman" w:hAnsi="Times New Roman" w:eastAsia="方正仿宋_GBK" w:cs="Times New Roman"/>
          <w:color w:val="auto"/>
          <w:sz w:val="32"/>
          <w:szCs w:val="32"/>
          <w:highlight w:val="none"/>
          <w:lang w:val="en-US" w:eastAsia="zh-CN"/>
        </w:rPr>
        <w:t>收入51.15万元，卫生健康收入18.38万元，住房保障收入24.94万元。</w:t>
      </w:r>
      <w:r>
        <w:rPr>
          <w:rFonts w:hint="default" w:ascii="Times New Roman" w:hAnsi="Times New Roman" w:eastAsia="方正仿宋_GBK" w:cs="Times New Roman"/>
          <w:color w:val="auto"/>
          <w:sz w:val="32"/>
          <w:szCs w:val="32"/>
          <w:highlight w:val="none"/>
          <w:lang w:eastAsia="zh-CN"/>
        </w:rPr>
        <w:t>本单位</w:t>
      </w:r>
      <w:r>
        <w:rPr>
          <w:rFonts w:hint="eastAsia" w:ascii="Times New Roman" w:hAnsi="Times New Roman" w:eastAsia="方正仿宋_GBK" w:cs="Times New Roman"/>
          <w:color w:val="auto"/>
          <w:sz w:val="32"/>
          <w:szCs w:val="32"/>
          <w:highlight w:val="none"/>
          <w:lang w:eastAsia="zh-CN"/>
        </w:rPr>
        <w:t>2024年</w:t>
      </w:r>
      <w:r>
        <w:rPr>
          <w:rFonts w:hint="default" w:ascii="Times New Roman" w:hAnsi="Times New Roman" w:eastAsia="方正仿宋_GBK" w:cs="Times New Roman"/>
          <w:color w:val="auto"/>
          <w:sz w:val="32"/>
          <w:szCs w:val="32"/>
          <w:highlight w:val="none"/>
          <w:lang w:eastAsia="zh-CN"/>
        </w:rPr>
        <w:t>收支总预算</w:t>
      </w:r>
      <w:r>
        <w:rPr>
          <w:rFonts w:hint="eastAsia" w:ascii="Times New Roman" w:hAnsi="Times New Roman" w:eastAsia="方正仿宋_GBK" w:cs="Times New Roman"/>
          <w:color w:val="auto"/>
          <w:sz w:val="32"/>
          <w:szCs w:val="32"/>
          <w:highlight w:val="none"/>
          <w:lang w:val="en-US" w:eastAsia="zh-CN"/>
        </w:rPr>
        <w:t>856.29</w:t>
      </w:r>
      <w:r>
        <w:rPr>
          <w:rFonts w:hint="default" w:ascii="Times New Roman" w:hAnsi="Times New Roman" w:eastAsia="方正仿宋_GBK" w:cs="Times New Roman"/>
          <w:color w:val="auto"/>
          <w:sz w:val="32"/>
          <w:szCs w:val="32"/>
          <w:highlight w:val="none"/>
          <w:lang w:eastAsia="zh-CN"/>
        </w:rPr>
        <w:t>万元</w:t>
      </w:r>
      <w:r>
        <w:rPr>
          <w:rFonts w:hint="default" w:ascii="Times New Roman" w:hAnsi="Times New Roman" w:eastAsia="方正仿宋_GBK" w:cs="Times New Roman"/>
          <w:color w:val="0000FF"/>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比</w:t>
      </w:r>
      <w:r>
        <w:rPr>
          <w:rFonts w:hint="eastAsia" w:ascii="Times New Roman" w:hAnsi="Times New Roman" w:eastAsia="方正仿宋_GBK" w:cs="Times New Roman"/>
          <w:color w:val="auto"/>
          <w:sz w:val="32"/>
          <w:szCs w:val="32"/>
          <w:highlight w:val="none"/>
          <w:lang w:val="en-US" w:eastAsia="zh-CN"/>
        </w:rPr>
        <w:t>2023年</w:t>
      </w:r>
      <w:r>
        <w:rPr>
          <w:rFonts w:hint="default" w:ascii="Times New Roman" w:hAnsi="Times New Roman" w:eastAsia="方正仿宋_GBK" w:cs="Times New Roman"/>
          <w:color w:val="auto"/>
          <w:sz w:val="32"/>
          <w:szCs w:val="32"/>
          <w:highlight w:val="none"/>
          <w:lang w:val="en-US" w:eastAsia="zh-CN"/>
        </w:rPr>
        <w:t>收支预算总数</w:t>
      </w:r>
      <w:r>
        <w:rPr>
          <w:rFonts w:hint="eastAsia" w:ascii="Times New Roman" w:hAnsi="Times New Roman" w:eastAsia="方正仿宋_GBK" w:cs="Times New Roman"/>
          <w:color w:val="auto"/>
          <w:sz w:val="32"/>
          <w:szCs w:val="32"/>
          <w:highlight w:val="none"/>
          <w:lang w:val="en-US" w:eastAsia="zh-CN"/>
        </w:rPr>
        <w:t>增加62.49</w:t>
      </w:r>
      <w:r>
        <w:rPr>
          <w:rFonts w:hint="default" w:ascii="Times New Roman" w:hAnsi="Times New Roman" w:eastAsia="方正仿宋_GBK" w:cs="Times New Roman"/>
          <w:color w:val="auto"/>
          <w:sz w:val="32"/>
          <w:szCs w:val="32"/>
          <w:highlight w:val="none"/>
          <w:lang w:val="en-US" w:eastAsia="zh-CN"/>
        </w:rPr>
        <w:t>万元，其主要原因是</w:t>
      </w:r>
      <w:r>
        <w:rPr>
          <w:rFonts w:hint="eastAsia" w:ascii="Times New Roman" w:hAnsi="Times New Roman" w:eastAsia="方正仿宋_GBK" w:cs="Times New Roman"/>
          <w:color w:val="auto"/>
          <w:sz w:val="32"/>
          <w:szCs w:val="32"/>
          <w:highlight w:val="none"/>
          <w:lang w:val="en-US" w:eastAsia="zh-CN"/>
        </w:rPr>
        <w:t>新调进人员导致工资、保险、公用经费相应增加及公务接待费增加</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eastAsia="zh-CN"/>
        </w:rPr>
        <w:t>（一）收入预算情况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阿坝州公务服务中心2024年收入预算856.29万元，其中：无上年结转；一般公共预算拨款收入856.29万元，占100%；无事业收入；无其他收入。</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阿坝州公务服务中心2024年支出预算856.29万元，其中：基本支出423.29万元，占49.43%；项目支出433万元，占50.57%。</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阿坝州公务服务中心2024年财政拨款收支总预算856.29万元。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支出包括：一般公共服务支出761.82万元，社会保障和就业支出51.15万元，卫生健康支出18.38万元，住房保障支出24.94万元。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（一）一般公共预算当年拨款规模变化情况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仿宋_GB2312" w:hAnsi="仿宋_GB2312" w:eastAsia="仿宋_GB2312" w:cs="仿宋_GB2312"/>
          <w:sz w:val="32"/>
          <w:szCs w:val="32"/>
        </w:rPr>
        <w:t>阿坝州公务服务中心</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一般公共预算当年拨款</w:t>
      </w:r>
      <w:r>
        <w:rPr>
          <w:rFonts w:hint="eastAsia" w:ascii="Times New Roman" w:hAnsi="Times New Roman" w:eastAsia="方正仿宋_GBK" w:cs="Times New Roman"/>
          <w:color w:val="auto"/>
          <w:sz w:val="32"/>
          <w:szCs w:val="32"/>
          <w:highlight w:val="none"/>
          <w:lang w:val="en-US" w:eastAsia="zh-CN"/>
        </w:rPr>
        <w:t>856.29</w:t>
      </w:r>
      <w:r>
        <w:rPr>
          <w:rFonts w:hint="eastAsia" w:ascii="仿宋_GB2312" w:hAnsi="仿宋_GB2312" w:eastAsia="仿宋_GB2312" w:cs="仿宋_GB2312"/>
          <w:sz w:val="32"/>
          <w:szCs w:val="32"/>
        </w:rPr>
        <w:t>万元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与</w:t>
      </w:r>
      <w:r>
        <w:rPr>
          <w:rFonts w:hint="eastAsia" w:ascii="Times New Roman" w:hAnsi="Times New Roman" w:eastAsia="方正仿宋_GBK" w:cs="Times New Roman"/>
          <w:color w:val="auto"/>
          <w:sz w:val="32"/>
          <w:szCs w:val="32"/>
          <w:highlight w:val="none"/>
          <w:lang w:eastAsia="zh-CN"/>
        </w:rPr>
        <w:t>2023年</w:t>
      </w:r>
      <w:r>
        <w:rPr>
          <w:rFonts w:hint="default" w:ascii="Times New Roman" w:hAnsi="Times New Roman" w:eastAsia="方正仿宋_GBK" w:cs="Times New Roman"/>
          <w:color w:val="auto"/>
          <w:sz w:val="32"/>
          <w:szCs w:val="32"/>
          <w:highlight w:val="none"/>
          <w:lang w:eastAsia="zh-CN"/>
        </w:rPr>
        <w:t>相比预算数</w:t>
      </w:r>
      <w:r>
        <w:rPr>
          <w:rFonts w:hint="eastAsia" w:ascii="Times New Roman" w:hAnsi="Times New Roman" w:eastAsia="方正仿宋_GBK" w:cs="Times New Roman"/>
          <w:color w:val="auto"/>
          <w:sz w:val="32"/>
          <w:szCs w:val="32"/>
          <w:highlight w:val="none"/>
          <w:lang w:val="en-US" w:eastAsia="zh-CN"/>
        </w:rPr>
        <w:t>增加62.49</w:t>
      </w:r>
      <w:r>
        <w:rPr>
          <w:rFonts w:hint="default" w:ascii="Times New Roman" w:hAnsi="Times New Roman" w:eastAsia="方正仿宋_GBK" w:cs="Times New Roman"/>
          <w:color w:val="auto"/>
          <w:sz w:val="32"/>
          <w:szCs w:val="32"/>
          <w:highlight w:val="none"/>
          <w:lang w:val="en-US" w:eastAsia="zh-CN"/>
        </w:rPr>
        <w:t>万元，其主要原因是</w:t>
      </w:r>
      <w:r>
        <w:rPr>
          <w:rFonts w:hint="eastAsia" w:ascii="Times New Roman" w:hAnsi="Times New Roman" w:eastAsia="方正仿宋_GBK" w:cs="Times New Roman"/>
          <w:color w:val="auto"/>
          <w:sz w:val="32"/>
          <w:szCs w:val="32"/>
          <w:highlight w:val="none"/>
          <w:lang w:val="en-US" w:eastAsia="zh-CN"/>
        </w:rPr>
        <w:t>新调进人员导致工资、保险、公用经费相应增加及公务接待费增加</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（二）一般公共预算当年拨款结构情况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一般公共服务支出761.82万元，占88.97%；社会保障和就业支出51.15万元，占5.97%；卫生健康支出18.38万元，占2.15%；住房保障支出24.94万元，占2.91%</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（三）一般公共预算当年拨款具体使用情况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1．一般公共服务支出761.82万元。主要用于</w:t>
      </w:r>
      <w:r>
        <w:rPr>
          <w:rFonts w:hint="default" w:ascii="Times New Roman" w:hAnsi="Times New Roman" w:eastAsia="方正仿宋_GBK" w:cs="Times New Roman"/>
          <w:color w:val="auto"/>
          <w:sz w:val="32"/>
          <w:szCs w:val="32"/>
          <w:highlight w:val="none"/>
          <w:lang w:val="en-US" w:eastAsia="zh-CN"/>
        </w:rPr>
        <w:t>中心</w:t>
      </w:r>
      <w:r>
        <w:rPr>
          <w:rFonts w:hint="eastAsia" w:ascii="Times New Roman" w:hAnsi="Times New Roman" w:eastAsia="方正仿宋_GBK" w:cs="Times New Roman"/>
          <w:color w:val="auto"/>
          <w:sz w:val="32"/>
          <w:szCs w:val="32"/>
          <w:highlight w:val="none"/>
          <w:lang w:val="en-US" w:eastAsia="zh-CN"/>
        </w:rPr>
        <w:t>日常工作开展。</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2．社会保障和就业支出51.15万元。主要用于养老、职业年金保险。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3．卫生健康支出18.38万元。主要用于职工行政单位医疗及行政单位医疗补助。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4．住房保障支出24.94万元。主要用于职工住房公积金。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一般公共预算基本支出423.29万元，其中：人员经费355.13万元，主要包括：基本工资、津贴补贴、奖金、其他社会保障缴费、绩效工资、机关事业单位基本养老保险缴费、职业年金缴费、其他工资福利支出、离休费、奖励金、住房公积金、其他对个人和家庭的补助支出。公用经费68.16万元，主要包括：办公费、印刷费、手续费、水费、电费、邮电费、差旅费、维修（护）费、租赁费、会议费、培训费、劳务费、福利费、</w:t>
      </w:r>
      <w:r>
        <w:rPr>
          <w:rFonts w:hint="default" w:ascii="Times New Roman" w:hAnsi="Times New Roman" w:eastAsia="方正仿宋_GBK" w:cs="Times New Roman"/>
          <w:color w:val="auto"/>
          <w:sz w:val="32"/>
          <w:szCs w:val="32"/>
          <w:highlight w:val="none"/>
          <w:lang w:eastAsia="zh-CN"/>
        </w:rPr>
        <w:t>其他交通工具</w:t>
      </w:r>
      <w:r>
        <w:rPr>
          <w:rFonts w:hint="eastAsia" w:ascii="Times New Roman" w:hAnsi="Times New Roman" w:eastAsia="方正仿宋_GBK" w:cs="Times New Roman"/>
          <w:color w:val="auto"/>
          <w:sz w:val="32"/>
          <w:szCs w:val="32"/>
          <w:highlight w:val="none"/>
          <w:lang w:val="en-US" w:eastAsia="zh-CN"/>
        </w:rPr>
        <w:t>运行维护费、其他商品和服务支出。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阿坝州公务服务中心2024年“三公”经费财政拨款预算数422.71万元，其中：因公出国（境）经费0万元，公务接待费401.11万元，公务用车购置及运行维护费21.6万元。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sz w:val="32"/>
          <w:szCs w:val="32"/>
          <w:lang w:val="en-US" w:eastAsia="zh-CN"/>
        </w:rPr>
        <w:t>（一）2024年因公出国（境）经费0万元。</w:t>
      </w:r>
      <w:r>
        <w:rPr>
          <w:rFonts w:hint="eastAsia" w:ascii="Times New Roman" w:hAnsi="Times New Roman" w:eastAsia="方正仿宋_GBK" w:cs="Times New Roman"/>
          <w:color w:val="auto"/>
          <w:sz w:val="32"/>
          <w:szCs w:val="32"/>
          <w:highlight w:val="none"/>
          <w:lang w:val="en-US" w:eastAsia="zh-CN"/>
        </w:rPr>
        <w:t>全年安排因公出国（境）团组0次，出国（境）0人。因公出国（境）支出预算与2023年相同。主要原因是未涉及需因公出国（境）的相关事项。</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sz w:val="32"/>
          <w:szCs w:val="32"/>
          <w:lang w:val="en-US" w:eastAsia="zh-CN"/>
        </w:rPr>
        <w:t>（二）2024年公务接待费401.11万元。</w:t>
      </w:r>
      <w:r>
        <w:rPr>
          <w:rFonts w:hint="eastAsia" w:ascii="Times New Roman" w:hAnsi="Times New Roman" w:eastAsia="方正仿宋_GBK" w:cs="Times New Roman"/>
          <w:color w:val="auto"/>
          <w:sz w:val="32"/>
          <w:szCs w:val="32"/>
          <w:highlight w:val="none"/>
          <w:lang w:val="en-US" w:eastAsia="zh-CN"/>
        </w:rPr>
        <w:t>较2023年预算经费增加29.04万元，增长7.8%。主要原因2024年人员增加，人员公务经费增加。</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b w:val="0"/>
          <w:bCs/>
          <w:color w:val="auto"/>
          <w:kern w:val="2"/>
          <w:sz w:val="32"/>
          <w:szCs w:val="32"/>
          <w:highlight w:val="none"/>
          <w:lang w:val="en-US" w:eastAsia="zh-CN" w:bidi="ar-SA"/>
        </w:rPr>
      </w:pPr>
      <w:r>
        <w:rPr>
          <w:rFonts w:hint="eastAsia" w:ascii="Times New Roman" w:hAnsi="Times New Roman" w:eastAsia="方正仿宋_GBK" w:cs="Times New Roman"/>
          <w:b/>
          <w:color w:val="auto"/>
          <w:kern w:val="2"/>
          <w:sz w:val="32"/>
          <w:szCs w:val="32"/>
          <w:highlight w:val="none"/>
          <w:lang w:val="en-US" w:eastAsia="zh-CN" w:bidi="ar-SA"/>
        </w:rPr>
        <w:t>国内公务接待支出401.11万元。</w:t>
      </w:r>
      <w:r>
        <w:rPr>
          <w:rFonts w:hint="eastAsia" w:ascii="Times New Roman" w:hAnsi="Times New Roman" w:eastAsia="方正仿宋_GBK" w:cs="Times New Roman"/>
          <w:color w:val="auto"/>
          <w:sz w:val="32"/>
          <w:szCs w:val="32"/>
          <w:highlight w:val="none"/>
          <w:lang w:val="en-US" w:eastAsia="zh-CN"/>
        </w:rPr>
        <w:t>较2023年预算经费增加29.04万元，增长7.8%。主要原因2024年人员增加，人员公务经费增加。</w:t>
      </w:r>
      <w:r>
        <w:rPr>
          <w:rFonts w:hint="eastAsia" w:ascii="Times New Roman" w:hAnsi="Times New Roman" w:eastAsia="方正仿宋_GBK" w:cs="Times New Roman"/>
          <w:b w:val="0"/>
          <w:bCs/>
          <w:color w:val="auto"/>
          <w:kern w:val="2"/>
          <w:sz w:val="32"/>
          <w:szCs w:val="32"/>
          <w:highlight w:val="none"/>
          <w:lang w:val="en-US" w:eastAsia="zh-CN" w:bidi="ar-SA"/>
        </w:rPr>
        <w:t>主要用于执行公务、开展业务活动开支的交通费、住宿费、用餐费等。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lang w:val="en-US" w:eastAsia="zh-CN"/>
        </w:rPr>
      </w:pPr>
      <w:r>
        <w:rPr>
          <w:rFonts w:hint="eastAsia" w:ascii="Times New Roman" w:hAnsi="Times New Roman" w:eastAsia="方正仿宋_GBK" w:cs="Times New Roman"/>
          <w:b/>
          <w:color w:val="auto"/>
          <w:kern w:val="2"/>
          <w:sz w:val="32"/>
          <w:szCs w:val="32"/>
          <w:highlight w:val="none"/>
          <w:lang w:val="en-US" w:eastAsia="zh-CN" w:bidi="ar-SA"/>
        </w:rPr>
        <w:t>国（境）外接待费0万元。</w:t>
      </w:r>
      <w:r>
        <w:rPr>
          <w:rFonts w:hint="eastAsia" w:ascii="Times New Roman" w:hAnsi="Times New Roman" w:eastAsia="方正仿宋_GBK" w:cs="Times New Roman"/>
          <w:color w:val="auto"/>
          <w:sz w:val="32"/>
          <w:szCs w:val="32"/>
          <w:highlight w:val="none"/>
          <w:lang w:val="en-US" w:eastAsia="zh-CN"/>
        </w:rPr>
        <w:t>较2023年预算经费相比持平。主要原因是我中心不涉及国（境）外接待费。国（境）外接待0批次，0人次（不包括陪同人员）共计支出0万元。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（三）2024年公务用车购置及运行维护费21.6万元。</w:t>
      </w:r>
      <w:r>
        <w:rPr>
          <w:rFonts w:hint="eastAsia" w:ascii="Times New Roman" w:hAnsi="Times New Roman" w:eastAsia="方正仿宋_GBK" w:cs="Times New Roman"/>
          <w:color w:val="auto"/>
          <w:sz w:val="32"/>
          <w:szCs w:val="32"/>
          <w:highlight w:val="none"/>
          <w:lang w:val="en-US" w:eastAsia="zh-CN"/>
        </w:rPr>
        <w:t>较2023年预算经费相比持平。主要原因是我中心2024年与2023年公务用车数一致。其中：</w:t>
      </w:r>
      <w:r>
        <w:rPr>
          <w:rFonts w:hint="eastAsia" w:ascii="Times New Roman" w:hAnsi="Times New Roman" w:eastAsia="方正仿宋_GBK" w:cs="Times New Roman"/>
          <w:b/>
          <w:color w:val="auto"/>
          <w:kern w:val="2"/>
          <w:sz w:val="32"/>
          <w:szCs w:val="32"/>
          <w:highlight w:val="none"/>
          <w:lang w:val="en-US" w:eastAsia="zh-CN" w:bidi="ar-SA"/>
        </w:rPr>
        <w:t>公务用车购置支出0万元。</w:t>
      </w:r>
      <w:r>
        <w:rPr>
          <w:rFonts w:hint="eastAsia" w:ascii="Times New Roman" w:hAnsi="Times New Roman" w:eastAsia="方正仿宋_GBK" w:cs="Times New Roman"/>
          <w:color w:val="auto"/>
          <w:sz w:val="32"/>
          <w:szCs w:val="32"/>
          <w:highlight w:val="none"/>
          <w:lang w:val="en-US" w:eastAsia="zh-CN"/>
        </w:rPr>
        <w:t>较2023年相比无变化。</w:t>
      </w:r>
      <w:r>
        <w:rPr>
          <w:rFonts w:hint="eastAsia" w:ascii="Times New Roman" w:hAnsi="Times New Roman" w:eastAsia="方正仿宋_GBK" w:cs="Times New Roman"/>
          <w:b/>
          <w:color w:val="auto"/>
          <w:kern w:val="2"/>
          <w:sz w:val="32"/>
          <w:szCs w:val="32"/>
          <w:highlight w:val="none"/>
          <w:lang w:val="en-US" w:eastAsia="zh-CN" w:bidi="ar-SA"/>
        </w:rPr>
        <w:t>公务用运行维护费21.6万元。</w:t>
      </w:r>
      <w:r>
        <w:rPr>
          <w:rFonts w:hint="eastAsia" w:ascii="Times New Roman" w:hAnsi="Times New Roman" w:eastAsia="方正仿宋_GBK" w:cs="Times New Roman"/>
          <w:color w:val="auto"/>
          <w:sz w:val="32"/>
          <w:szCs w:val="32"/>
          <w:highlight w:val="none"/>
          <w:lang w:val="en-US" w:eastAsia="zh-CN"/>
        </w:rPr>
        <w:t>较2023年相比无变化。主要用于我中心所需的公务用车燃料费、维修费、过路过桥费、保险费等支出。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我中心2024年政府性基金预算拨款安排支出0万元。与2023年政府性基金预算支出0万元，无增长变化。主要原因为我中心不涉及政府性基金预算支出项目。</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（一）机关运行经费</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阿坝州公务服务中心2024年机关运行经费财政拨款预算为68.16万元。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（二）政府采购情况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2024年阿坝州公务服务中心政府采购预算0万元。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（三）国有资产占有使用情况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固定资产原值总额293.75万元。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（四）绩效目标设置情况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2024年阿坝州公务服务中心通用项目和专用项目均按要求实行绩效目标管理，涉及一般公共预算当年拨款433</w:t>
      </w:r>
      <w:bookmarkStart w:id="0" w:name="_GoBack"/>
      <w:bookmarkEnd w:id="0"/>
      <w:r>
        <w:rPr>
          <w:rFonts w:hint="eastAsia" w:ascii="Times New Roman" w:hAnsi="Times New Roman" w:eastAsia="方正仿宋_GBK" w:cs="Times New Roman"/>
          <w:color w:val="auto"/>
          <w:sz w:val="32"/>
          <w:szCs w:val="32"/>
          <w:highlight w:val="none"/>
          <w:lang w:val="en-US" w:eastAsia="zh-CN"/>
        </w:rPr>
        <w:t>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十、名词解释</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（二）事业收入：指所属事业单位开展专业业务活动及辅助活动所取得的收入。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（三）事业单位经营收入：指所属事业单位在专业业务活动及其辅助活动之外开展非独立核算经营活动取得的收入。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细黑">
    <w:altName w:val="宋体"/>
    <w:panose1 w:val="02010600040101010101"/>
    <w:charset w:val="00"/>
    <w:family w:val="auto"/>
    <w:pitch w:val="default"/>
    <w:sig w:usb0="00000000" w:usb1="00000000" w:usb2="00000010" w:usb3="00000000" w:csb0="0004009F" w:csb1="00000000"/>
  </w:font>
  <w:font w:name="方正小标宋_GBK">
    <w:panose1 w:val="03000502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03F8652F"/>
    <w:rsid w:val="09B6D3D5"/>
    <w:rsid w:val="0B4DB879"/>
    <w:rsid w:val="0FDBA692"/>
    <w:rsid w:val="13BFB808"/>
    <w:rsid w:val="13F3570C"/>
    <w:rsid w:val="153DE9D8"/>
    <w:rsid w:val="15B5F861"/>
    <w:rsid w:val="177EF699"/>
    <w:rsid w:val="17A7E615"/>
    <w:rsid w:val="17DD43EB"/>
    <w:rsid w:val="18D2B3A2"/>
    <w:rsid w:val="19BE788C"/>
    <w:rsid w:val="1CFF5420"/>
    <w:rsid w:val="1DF1CD16"/>
    <w:rsid w:val="1DF4340B"/>
    <w:rsid w:val="1DF59469"/>
    <w:rsid w:val="1E975EDC"/>
    <w:rsid w:val="1F5DC803"/>
    <w:rsid w:val="1FBDFE53"/>
    <w:rsid w:val="1FEE107F"/>
    <w:rsid w:val="1FFF5D8D"/>
    <w:rsid w:val="25FDA771"/>
    <w:rsid w:val="28D416DD"/>
    <w:rsid w:val="28D66BFD"/>
    <w:rsid w:val="28EA2E0B"/>
    <w:rsid w:val="29EF06E8"/>
    <w:rsid w:val="29FF0BCB"/>
    <w:rsid w:val="2B3F44A8"/>
    <w:rsid w:val="2BE75CE9"/>
    <w:rsid w:val="2DF7E755"/>
    <w:rsid w:val="2ED6B8A3"/>
    <w:rsid w:val="2EFEC417"/>
    <w:rsid w:val="2FE352D4"/>
    <w:rsid w:val="2FE3A726"/>
    <w:rsid w:val="2FF893B7"/>
    <w:rsid w:val="2FFE1C43"/>
    <w:rsid w:val="2FFFBFC4"/>
    <w:rsid w:val="332F0AE6"/>
    <w:rsid w:val="349F9B2D"/>
    <w:rsid w:val="35BE1ED6"/>
    <w:rsid w:val="36EB78DD"/>
    <w:rsid w:val="37773D53"/>
    <w:rsid w:val="37BD3752"/>
    <w:rsid w:val="37D59E7B"/>
    <w:rsid w:val="37FD6ED3"/>
    <w:rsid w:val="397FFCCE"/>
    <w:rsid w:val="3BB6E1DB"/>
    <w:rsid w:val="3BDE2B9F"/>
    <w:rsid w:val="3BDF7CAA"/>
    <w:rsid w:val="3BE79AD2"/>
    <w:rsid w:val="3BFDC132"/>
    <w:rsid w:val="3BFE1929"/>
    <w:rsid w:val="3D7F33AB"/>
    <w:rsid w:val="3D8F38CA"/>
    <w:rsid w:val="3DE18914"/>
    <w:rsid w:val="3DE5F8F3"/>
    <w:rsid w:val="3DF6E08F"/>
    <w:rsid w:val="3DFFB4A7"/>
    <w:rsid w:val="3E7DBF34"/>
    <w:rsid w:val="3E8FD879"/>
    <w:rsid w:val="3EDD0365"/>
    <w:rsid w:val="3EDEE2AE"/>
    <w:rsid w:val="3EDF1F53"/>
    <w:rsid w:val="3EED03ED"/>
    <w:rsid w:val="3EEE1336"/>
    <w:rsid w:val="3EEF2B39"/>
    <w:rsid w:val="3EF741AB"/>
    <w:rsid w:val="3F16DD54"/>
    <w:rsid w:val="3F4E249B"/>
    <w:rsid w:val="3F76EE96"/>
    <w:rsid w:val="3F77D5E9"/>
    <w:rsid w:val="3F7EC0AF"/>
    <w:rsid w:val="3FBD4EAF"/>
    <w:rsid w:val="3FDD1FFF"/>
    <w:rsid w:val="3FDDFD26"/>
    <w:rsid w:val="3FF5E831"/>
    <w:rsid w:val="3FF70F0B"/>
    <w:rsid w:val="3FF7D4B0"/>
    <w:rsid w:val="3FFC656B"/>
    <w:rsid w:val="3FFE7051"/>
    <w:rsid w:val="4B5EE1BB"/>
    <w:rsid w:val="4BF5BE2A"/>
    <w:rsid w:val="4BF738A6"/>
    <w:rsid w:val="4BFF9CAA"/>
    <w:rsid w:val="4DAF01DE"/>
    <w:rsid w:val="4DFFA3A3"/>
    <w:rsid w:val="4EFD7585"/>
    <w:rsid w:val="4EFE369D"/>
    <w:rsid w:val="4F4F18B4"/>
    <w:rsid w:val="4F73B504"/>
    <w:rsid w:val="4F7BF046"/>
    <w:rsid w:val="4FB719F7"/>
    <w:rsid w:val="4FBD7F0C"/>
    <w:rsid w:val="4FBEB26C"/>
    <w:rsid w:val="50D61CB7"/>
    <w:rsid w:val="51B5C384"/>
    <w:rsid w:val="56E9ABFE"/>
    <w:rsid w:val="5798B211"/>
    <w:rsid w:val="57CF63D5"/>
    <w:rsid w:val="57E7C5BA"/>
    <w:rsid w:val="57FD763C"/>
    <w:rsid w:val="580D35FF"/>
    <w:rsid w:val="597B42DC"/>
    <w:rsid w:val="5B4DA890"/>
    <w:rsid w:val="5B5E3FEB"/>
    <w:rsid w:val="5B773C30"/>
    <w:rsid w:val="5BEC30CF"/>
    <w:rsid w:val="5BFD309E"/>
    <w:rsid w:val="5C7FFC7E"/>
    <w:rsid w:val="5CAF4990"/>
    <w:rsid w:val="5DD74E3F"/>
    <w:rsid w:val="5DFF2BD2"/>
    <w:rsid w:val="5DFF9304"/>
    <w:rsid w:val="5EB240CC"/>
    <w:rsid w:val="5EEF4543"/>
    <w:rsid w:val="5EFF6726"/>
    <w:rsid w:val="5F7D5AB9"/>
    <w:rsid w:val="5F7F6B70"/>
    <w:rsid w:val="5F8C6EE1"/>
    <w:rsid w:val="5FBEE1B7"/>
    <w:rsid w:val="5FD7C4F1"/>
    <w:rsid w:val="5FD8C2CD"/>
    <w:rsid w:val="5FF3FA5D"/>
    <w:rsid w:val="5FFE4031"/>
    <w:rsid w:val="5FFF4905"/>
    <w:rsid w:val="5FFFCE8F"/>
    <w:rsid w:val="63BFA8BA"/>
    <w:rsid w:val="63FF78BB"/>
    <w:rsid w:val="65AB6172"/>
    <w:rsid w:val="65C79063"/>
    <w:rsid w:val="65EF8246"/>
    <w:rsid w:val="65FE231C"/>
    <w:rsid w:val="66B6BF23"/>
    <w:rsid w:val="679F44B2"/>
    <w:rsid w:val="67CD0D53"/>
    <w:rsid w:val="67D614CC"/>
    <w:rsid w:val="67DF37BC"/>
    <w:rsid w:val="67F87B79"/>
    <w:rsid w:val="683F3F69"/>
    <w:rsid w:val="69DC0A24"/>
    <w:rsid w:val="6AC7A812"/>
    <w:rsid w:val="6AFC6047"/>
    <w:rsid w:val="6B71F400"/>
    <w:rsid w:val="6B7D6B42"/>
    <w:rsid w:val="6BDE9A8A"/>
    <w:rsid w:val="6BDF15CD"/>
    <w:rsid w:val="6BE91838"/>
    <w:rsid w:val="6BFFF077"/>
    <w:rsid w:val="6C4F1828"/>
    <w:rsid w:val="6C6F617C"/>
    <w:rsid w:val="6D761C06"/>
    <w:rsid w:val="6DE770C9"/>
    <w:rsid w:val="6E3F3B74"/>
    <w:rsid w:val="6EC76D48"/>
    <w:rsid w:val="6ECB9022"/>
    <w:rsid w:val="6EEFF796"/>
    <w:rsid w:val="6EFBC842"/>
    <w:rsid w:val="6EFDAC88"/>
    <w:rsid w:val="6EFE2466"/>
    <w:rsid w:val="6EFE5D71"/>
    <w:rsid w:val="6EFFB281"/>
    <w:rsid w:val="6F559635"/>
    <w:rsid w:val="6F6F78FD"/>
    <w:rsid w:val="6F6FFC43"/>
    <w:rsid w:val="6F7E21E7"/>
    <w:rsid w:val="6F7E9BB9"/>
    <w:rsid w:val="6FDD478F"/>
    <w:rsid w:val="6FF7CB44"/>
    <w:rsid w:val="6FFB9528"/>
    <w:rsid w:val="6FFBA393"/>
    <w:rsid w:val="6FFBC062"/>
    <w:rsid w:val="6FFBC19E"/>
    <w:rsid w:val="71B3C39C"/>
    <w:rsid w:val="71C67285"/>
    <w:rsid w:val="71DA5B06"/>
    <w:rsid w:val="71DB0585"/>
    <w:rsid w:val="72D93B17"/>
    <w:rsid w:val="737F3EE6"/>
    <w:rsid w:val="73EF72FF"/>
    <w:rsid w:val="73EFCE1E"/>
    <w:rsid w:val="73FDCB11"/>
    <w:rsid w:val="73FFAE08"/>
    <w:rsid w:val="746F0E04"/>
    <w:rsid w:val="74ED34F4"/>
    <w:rsid w:val="757DE101"/>
    <w:rsid w:val="75BF683E"/>
    <w:rsid w:val="75C3AB6B"/>
    <w:rsid w:val="75FE3BF4"/>
    <w:rsid w:val="75FFDF7B"/>
    <w:rsid w:val="764F5391"/>
    <w:rsid w:val="76BDEC9F"/>
    <w:rsid w:val="76E3AC26"/>
    <w:rsid w:val="76F36540"/>
    <w:rsid w:val="76FD5CDC"/>
    <w:rsid w:val="771E4A80"/>
    <w:rsid w:val="776F65D7"/>
    <w:rsid w:val="77A7D47B"/>
    <w:rsid w:val="77BAE392"/>
    <w:rsid w:val="77BD04C4"/>
    <w:rsid w:val="77BF4052"/>
    <w:rsid w:val="77DE7706"/>
    <w:rsid w:val="77DFDCF6"/>
    <w:rsid w:val="77EEE922"/>
    <w:rsid w:val="77F3853C"/>
    <w:rsid w:val="77FAAE21"/>
    <w:rsid w:val="77FB0790"/>
    <w:rsid w:val="77FE20DD"/>
    <w:rsid w:val="77FF134C"/>
    <w:rsid w:val="77FF1DBE"/>
    <w:rsid w:val="77FF8AD3"/>
    <w:rsid w:val="77FF8D9B"/>
    <w:rsid w:val="78AF050D"/>
    <w:rsid w:val="78DF85B7"/>
    <w:rsid w:val="78F97E8C"/>
    <w:rsid w:val="796B6EF9"/>
    <w:rsid w:val="799743C6"/>
    <w:rsid w:val="79B64DFB"/>
    <w:rsid w:val="79F72563"/>
    <w:rsid w:val="79FBB747"/>
    <w:rsid w:val="7A7F3436"/>
    <w:rsid w:val="7A9D62C4"/>
    <w:rsid w:val="7ACFC151"/>
    <w:rsid w:val="7AFBE1FD"/>
    <w:rsid w:val="7B5FCE4B"/>
    <w:rsid w:val="7B6B409C"/>
    <w:rsid w:val="7B6DC0C1"/>
    <w:rsid w:val="7B6FE896"/>
    <w:rsid w:val="7B7B3324"/>
    <w:rsid w:val="7B7F5D7F"/>
    <w:rsid w:val="7B9F44AA"/>
    <w:rsid w:val="7B9F56ED"/>
    <w:rsid w:val="7BBFDCF2"/>
    <w:rsid w:val="7BDF0488"/>
    <w:rsid w:val="7BEBF6CD"/>
    <w:rsid w:val="7BEFA26C"/>
    <w:rsid w:val="7BFA4220"/>
    <w:rsid w:val="7BFB678F"/>
    <w:rsid w:val="7BFF0ED1"/>
    <w:rsid w:val="7BFF89C3"/>
    <w:rsid w:val="7BFF99D5"/>
    <w:rsid w:val="7C6EDF03"/>
    <w:rsid w:val="7C87976F"/>
    <w:rsid w:val="7CB2C599"/>
    <w:rsid w:val="7CBF133B"/>
    <w:rsid w:val="7CDDED47"/>
    <w:rsid w:val="7CF715ED"/>
    <w:rsid w:val="7CFD3253"/>
    <w:rsid w:val="7D3D1C4A"/>
    <w:rsid w:val="7D7D68E6"/>
    <w:rsid w:val="7D7DC192"/>
    <w:rsid w:val="7D9B669E"/>
    <w:rsid w:val="7DDE29E7"/>
    <w:rsid w:val="7DF926F2"/>
    <w:rsid w:val="7DFD9CBB"/>
    <w:rsid w:val="7DFF1190"/>
    <w:rsid w:val="7E69D867"/>
    <w:rsid w:val="7E6D87E7"/>
    <w:rsid w:val="7E7142BE"/>
    <w:rsid w:val="7E7CBA9F"/>
    <w:rsid w:val="7E7DF421"/>
    <w:rsid w:val="7E7F4BFA"/>
    <w:rsid w:val="7E9DD492"/>
    <w:rsid w:val="7EB72ED1"/>
    <w:rsid w:val="7EBF3B67"/>
    <w:rsid w:val="7EDB6110"/>
    <w:rsid w:val="7EE38082"/>
    <w:rsid w:val="7EFD2BB5"/>
    <w:rsid w:val="7EFD8B51"/>
    <w:rsid w:val="7EFFC6FA"/>
    <w:rsid w:val="7EFFD207"/>
    <w:rsid w:val="7F3B92E9"/>
    <w:rsid w:val="7F3F0B30"/>
    <w:rsid w:val="7F4E9518"/>
    <w:rsid w:val="7F4F30F5"/>
    <w:rsid w:val="7F4FD433"/>
    <w:rsid w:val="7F5CE558"/>
    <w:rsid w:val="7F7B5F81"/>
    <w:rsid w:val="7F7D27FD"/>
    <w:rsid w:val="7F7E6576"/>
    <w:rsid w:val="7F7FF9EF"/>
    <w:rsid w:val="7F861607"/>
    <w:rsid w:val="7F8F6F85"/>
    <w:rsid w:val="7F9C6423"/>
    <w:rsid w:val="7F9FB2A2"/>
    <w:rsid w:val="7FBC5565"/>
    <w:rsid w:val="7FBE1540"/>
    <w:rsid w:val="7FBE5DB2"/>
    <w:rsid w:val="7FCE569C"/>
    <w:rsid w:val="7FCF82DB"/>
    <w:rsid w:val="7FD31AD3"/>
    <w:rsid w:val="7FD5603E"/>
    <w:rsid w:val="7FD9CC76"/>
    <w:rsid w:val="7FDE5F48"/>
    <w:rsid w:val="7FDEBE64"/>
    <w:rsid w:val="7FDF1DC4"/>
    <w:rsid w:val="7FDF72A8"/>
    <w:rsid w:val="7FDFF4DC"/>
    <w:rsid w:val="7FE74740"/>
    <w:rsid w:val="7FE7712A"/>
    <w:rsid w:val="7FEE242F"/>
    <w:rsid w:val="7FF54B34"/>
    <w:rsid w:val="7FF728F8"/>
    <w:rsid w:val="7FFB19DB"/>
    <w:rsid w:val="7FFD258F"/>
    <w:rsid w:val="7FFD9A7A"/>
    <w:rsid w:val="7FFF27F3"/>
    <w:rsid w:val="7FFF56B7"/>
    <w:rsid w:val="7FFF7BC0"/>
    <w:rsid w:val="93FE1A4B"/>
    <w:rsid w:val="95AF1681"/>
    <w:rsid w:val="95DD2252"/>
    <w:rsid w:val="96BE732D"/>
    <w:rsid w:val="975E2904"/>
    <w:rsid w:val="979EE7B2"/>
    <w:rsid w:val="97EA597C"/>
    <w:rsid w:val="9BE4D28B"/>
    <w:rsid w:val="9C2BC698"/>
    <w:rsid w:val="9DDFB1A4"/>
    <w:rsid w:val="9DFF8225"/>
    <w:rsid w:val="9F5BCA96"/>
    <w:rsid w:val="9FBA9F23"/>
    <w:rsid w:val="9FDF6248"/>
    <w:rsid w:val="9FF31426"/>
    <w:rsid w:val="A5FDEF8C"/>
    <w:rsid w:val="A7792EAD"/>
    <w:rsid w:val="AAEDE3BF"/>
    <w:rsid w:val="AAFB29CD"/>
    <w:rsid w:val="ABFABA88"/>
    <w:rsid w:val="ADB347D7"/>
    <w:rsid w:val="ADEDC39D"/>
    <w:rsid w:val="AEFF1A18"/>
    <w:rsid w:val="AF0C3A22"/>
    <w:rsid w:val="AF89ADF0"/>
    <w:rsid w:val="AFCED7B6"/>
    <w:rsid w:val="AFE88D0D"/>
    <w:rsid w:val="AFFF8F38"/>
    <w:rsid w:val="B24D0876"/>
    <w:rsid w:val="B3FA8C69"/>
    <w:rsid w:val="B5679CAF"/>
    <w:rsid w:val="B5D50BBF"/>
    <w:rsid w:val="B5F74B42"/>
    <w:rsid w:val="B7AF46E5"/>
    <w:rsid w:val="B9FBA668"/>
    <w:rsid w:val="BA071A26"/>
    <w:rsid w:val="BA6D63F5"/>
    <w:rsid w:val="BAD2A3EE"/>
    <w:rsid w:val="BAED0AB8"/>
    <w:rsid w:val="BB5FA89E"/>
    <w:rsid w:val="BB7D9861"/>
    <w:rsid w:val="BBB788F4"/>
    <w:rsid w:val="BBF33757"/>
    <w:rsid w:val="BBF35B11"/>
    <w:rsid w:val="BBF782BB"/>
    <w:rsid w:val="BBFFEBB5"/>
    <w:rsid w:val="BDF31E5C"/>
    <w:rsid w:val="BDF3DE00"/>
    <w:rsid w:val="BDF3DF24"/>
    <w:rsid w:val="BE7E6B81"/>
    <w:rsid w:val="BEF6AB97"/>
    <w:rsid w:val="BEFFB8AA"/>
    <w:rsid w:val="BF72C118"/>
    <w:rsid w:val="BF7F3158"/>
    <w:rsid w:val="BFEF2164"/>
    <w:rsid w:val="BFF288A8"/>
    <w:rsid w:val="BFF7C46E"/>
    <w:rsid w:val="BFFF6C71"/>
    <w:rsid w:val="BFFFAA28"/>
    <w:rsid w:val="C7DC5E10"/>
    <w:rsid w:val="CCB21B5A"/>
    <w:rsid w:val="CD3770B2"/>
    <w:rsid w:val="CDA7B088"/>
    <w:rsid w:val="CDCD3BCF"/>
    <w:rsid w:val="CDF117F1"/>
    <w:rsid w:val="CE655A82"/>
    <w:rsid w:val="CEAFD439"/>
    <w:rsid w:val="CEF8EBD9"/>
    <w:rsid w:val="CFBA943A"/>
    <w:rsid w:val="CFD7E2DC"/>
    <w:rsid w:val="D13D20B0"/>
    <w:rsid w:val="D1FFEAD8"/>
    <w:rsid w:val="D3677C00"/>
    <w:rsid w:val="D376A282"/>
    <w:rsid w:val="D377B4A7"/>
    <w:rsid w:val="D3D66018"/>
    <w:rsid w:val="D5F77290"/>
    <w:rsid w:val="D5FD0C22"/>
    <w:rsid w:val="D7BE0006"/>
    <w:rsid w:val="D7D4404D"/>
    <w:rsid w:val="D7DF4418"/>
    <w:rsid w:val="D7EA9C3E"/>
    <w:rsid w:val="D8F772AE"/>
    <w:rsid w:val="D8FDAB38"/>
    <w:rsid w:val="D933F32B"/>
    <w:rsid w:val="D9FC90C0"/>
    <w:rsid w:val="DA7FAA28"/>
    <w:rsid w:val="DAFB8EC0"/>
    <w:rsid w:val="DB679C5A"/>
    <w:rsid w:val="DB933CD2"/>
    <w:rsid w:val="DBDB1E0D"/>
    <w:rsid w:val="DCBF239C"/>
    <w:rsid w:val="DD3F25A6"/>
    <w:rsid w:val="DDD9984B"/>
    <w:rsid w:val="DE9B6801"/>
    <w:rsid w:val="DEFB1B27"/>
    <w:rsid w:val="DF6AE06A"/>
    <w:rsid w:val="DF6FB9BA"/>
    <w:rsid w:val="DF8F5C30"/>
    <w:rsid w:val="DF907F6C"/>
    <w:rsid w:val="DF97F684"/>
    <w:rsid w:val="DF9F9AFB"/>
    <w:rsid w:val="DFB77B6E"/>
    <w:rsid w:val="DFBF3A4E"/>
    <w:rsid w:val="DFCD95A5"/>
    <w:rsid w:val="DFE0E6B5"/>
    <w:rsid w:val="DFFB15EC"/>
    <w:rsid w:val="DFFF1F74"/>
    <w:rsid w:val="E17156F6"/>
    <w:rsid w:val="E3A5FB50"/>
    <w:rsid w:val="E3C5D380"/>
    <w:rsid w:val="E4FE2284"/>
    <w:rsid w:val="E69F5BDC"/>
    <w:rsid w:val="E73F33A3"/>
    <w:rsid w:val="E79F119C"/>
    <w:rsid w:val="E7BD5FE6"/>
    <w:rsid w:val="E87B75EE"/>
    <w:rsid w:val="E8F3777D"/>
    <w:rsid w:val="E9BF10BB"/>
    <w:rsid w:val="EA2B58B4"/>
    <w:rsid w:val="EAE72E8B"/>
    <w:rsid w:val="EB60D1A4"/>
    <w:rsid w:val="EB7F224E"/>
    <w:rsid w:val="EBD2940A"/>
    <w:rsid w:val="EBDB9508"/>
    <w:rsid w:val="EBEAB85B"/>
    <w:rsid w:val="ED4EC16F"/>
    <w:rsid w:val="ED68BC9C"/>
    <w:rsid w:val="ED79B61E"/>
    <w:rsid w:val="EDD71F47"/>
    <w:rsid w:val="EDF41F45"/>
    <w:rsid w:val="EDFB8B46"/>
    <w:rsid w:val="EDFDCA62"/>
    <w:rsid w:val="EDFF1167"/>
    <w:rsid w:val="EE7FA117"/>
    <w:rsid w:val="EEDD0956"/>
    <w:rsid w:val="EEFF0B96"/>
    <w:rsid w:val="EEFF6976"/>
    <w:rsid w:val="EF5EEE1C"/>
    <w:rsid w:val="EF73E1FB"/>
    <w:rsid w:val="EF7B1E88"/>
    <w:rsid w:val="EF7DD3AB"/>
    <w:rsid w:val="EF7F163F"/>
    <w:rsid w:val="EF9D8535"/>
    <w:rsid w:val="EFAF60C2"/>
    <w:rsid w:val="EFAF86C6"/>
    <w:rsid w:val="EFB70F32"/>
    <w:rsid w:val="EFBF6948"/>
    <w:rsid w:val="EFF7CEA2"/>
    <w:rsid w:val="EFFF1BD1"/>
    <w:rsid w:val="F379E740"/>
    <w:rsid w:val="F3EE03B9"/>
    <w:rsid w:val="F3EFB106"/>
    <w:rsid w:val="F5B22B3A"/>
    <w:rsid w:val="F5C7C258"/>
    <w:rsid w:val="F5F764D8"/>
    <w:rsid w:val="F5FA01FF"/>
    <w:rsid w:val="F6BF324E"/>
    <w:rsid w:val="F6F23BA0"/>
    <w:rsid w:val="F6F3BF74"/>
    <w:rsid w:val="F6FF043B"/>
    <w:rsid w:val="F6FF8B67"/>
    <w:rsid w:val="F77BCE91"/>
    <w:rsid w:val="F79A9EAF"/>
    <w:rsid w:val="F7AB5F17"/>
    <w:rsid w:val="F7BE3E94"/>
    <w:rsid w:val="F7D2D8B3"/>
    <w:rsid w:val="F7D3089B"/>
    <w:rsid w:val="F7DF09E8"/>
    <w:rsid w:val="F7ED0380"/>
    <w:rsid w:val="F7EF394F"/>
    <w:rsid w:val="F7FB3090"/>
    <w:rsid w:val="F7FDD044"/>
    <w:rsid w:val="F7FE33CB"/>
    <w:rsid w:val="F7FE435C"/>
    <w:rsid w:val="F8CF5239"/>
    <w:rsid w:val="F8FEA01A"/>
    <w:rsid w:val="F9A51466"/>
    <w:rsid w:val="F9B695B9"/>
    <w:rsid w:val="F9BECB40"/>
    <w:rsid w:val="F9BFF6D6"/>
    <w:rsid w:val="F9F70E19"/>
    <w:rsid w:val="F9FDD688"/>
    <w:rsid w:val="F9FF379B"/>
    <w:rsid w:val="FADF3C1C"/>
    <w:rsid w:val="FAE9F9ED"/>
    <w:rsid w:val="FAEF143C"/>
    <w:rsid w:val="FAFADFAC"/>
    <w:rsid w:val="FB4C9EFA"/>
    <w:rsid w:val="FB671E21"/>
    <w:rsid w:val="FB6ADC66"/>
    <w:rsid w:val="FB7FA775"/>
    <w:rsid w:val="FB7FDC5A"/>
    <w:rsid w:val="FBB37767"/>
    <w:rsid w:val="FBB3F1AB"/>
    <w:rsid w:val="FBC7EB53"/>
    <w:rsid w:val="FBD92EAF"/>
    <w:rsid w:val="FBE74D77"/>
    <w:rsid w:val="FBEDBAD1"/>
    <w:rsid w:val="FBF7B93C"/>
    <w:rsid w:val="FBFBCF2D"/>
    <w:rsid w:val="FBFDB6C9"/>
    <w:rsid w:val="FBFDC151"/>
    <w:rsid w:val="FBFF3800"/>
    <w:rsid w:val="FC5F23E5"/>
    <w:rsid w:val="FCFE611F"/>
    <w:rsid w:val="FCFFA031"/>
    <w:rsid w:val="FCFFA634"/>
    <w:rsid w:val="FCFFD0E4"/>
    <w:rsid w:val="FD7101E0"/>
    <w:rsid w:val="FD7FBCC8"/>
    <w:rsid w:val="FD99F1C6"/>
    <w:rsid w:val="FD9BCE42"/>
    <w:rsid w:val="FDAF2FD5"/>
    <w:rsid w:val="FDCF090D"/>
    <w:rsid w:val="FDF30BD6"/>
    <w:rsid w:val="FDF599E1"/>
    <w:rsid w:val="FDF62E9D"/>
    <w:rsid w:val="FDFF51B5"/>
    <w:rsid w:val="FDFFD6F8"/>
    <w:rsid w:val="FDFFE6B7"/>
    <w:rsid w:val="FDFFEB6A"/>
    <w:rsid w:val="FE670573"/>
    <w:rsid w:val="FEAFCD09"/>
    <w:rsid w:val="FEB6B1BC"/>
    <w:rsid w:val="FEB79C92"/>
    <w:rsid w:val="FEC26B02"/>
    <w:rsid w:val="FEDB6BE5"/>
    <w:rsid w:val="FEDEB825"/>
    <w:rsid w:val="FEEB1939"/>
    <w:rsid w:val="FEF8B8B0"/>
    <w:rsid w:val="FEFB57D6"/>
    <w:rsid w:val="FEFBB701"/>
    <w:rsid w:val="FEFD3504"/>
    <w:rsid w:val="FEFDB485"/>
    <w:rsid w:val="FEFDD987"/>
    <w:rsid w:val="FF0D165A"/>
    <w:rsid w:val="FF1F60C4"/>
    <w:rsid w:val="FF3B4A61"/>
    <w:rsid w:val="FF3B6B63"/>
    <w:rsid w:val="FF5295CF"/>
    <w:rsid w:val="FF75A6F2"/>
    <w:rsid w:val="FF77ABDA"/>
    <w:rsid w:val="FF7AB4DE"/>
    <w:rsid w:val="FF7B5C99"/>
    <w:rsid w:val="FF7BFD9A"/>
    <w:rsid w:val="FF7EAF2A"/>
    <w:rsid w:val="FF7F92E7"/>
    <w:rsid w:val="FF8FC4FF"/>
    <w:rsid w:val="FF9DD091"/>
    <w:rsid w:val="FF9FEA4C"/>
    <w:rsid w:val="FFB5135D"/>
    <w:rsid w:val="FFBEC07C"/>
    <w:rsid w:val="FFBEDF66"/>
    <w:rsid w:val="FFBF4A2A"/>
    <w:rsid w:val="FFBF50F0"/>
    <w:rsid w:val="FFBFAEC3"/>
    <w:rsid w:val="FFCFA392"/>
    <w:rsid w:val="FFD51BEF"/>
    <w:rsid w:val="FFD5E541"/>
    <w:rsid w:val="FFDB32A0"/>
    <w:rsid w:val="FFDB34D5"/>
    <w:rsid w:val="FFDB693A"/>
    <w:rsid w:val="FFED2E59"/>
    <w:rsid w:val="FFED55C2"/>
    <w:rsid w:val="FFEEF1A5"/>
    <w:rsid w:val="FFEF7706"/>
    <w:rsid w:val="FFEFFAA4"/>
    <w:rsid w:val="FFF6B163"/>
    <w:rsid w:val="FFF72185"/>
    <w:rsid w:val="FFF7BA94"/>
    <w:rsid w:val="FFFA2AD2"/>
    <w:rsid w:val="FFFA7B47"/>
    <w:rsid w:val="FFFB31C2"/>
    <w:rsid w:val="FFFB3440"/>
    <w:rsid w:val="FFFBDD3D"/>
    <w:rsid w:val="FFFF5D95"/>
    <w:rsid w:val="FFFF8688"/>
    <w:rsid w:val="FFFFE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4">
    <w:name w:val="Body Text"/>
    <w:basedOn w:val="1"/>
    <w:next w:val="1"/>
    <w:qFormat/>
    <w:uiPriority w:val="99"/>
    <w:pPr>
      <w:spacing w:beforeLines="30"/>
    </w:pPr>
    <w:rPr>
      <w:rFonts w:ascii="仿宋_GB2312" w:eastAsia="仿宋_GB2312"/>
      <w:kern w:val="0"/>
      <w:sz w:val="24"/>
      <w:szCs w:val="20"/>
    </w:rPr>
  </w:style>
  <w:style w:type="paragraph" w:styleId="5">
    <w:name w:val="Body Text Indent"/>
    <w:basedOn w:val="1"/>
    <w:next w:val="6"/>
    <w:qFormat/>
    <w:uiPriority w:val="0"/>
    <w:pPr>
      <w:ind w:firstLine="200" w:firstLineChars="200"/>
    </w:pPr>
    <w:rPr>
      <w:rFonts w:ascii="华文细黑" w:eastAsia="华文细黑"/>
      <w:b/>
      <w:sz w:val="32"/>
    </w:rPr>
  </w:style>
  <w:style w:type="paragraph" w:customStyle="1" w:styleId="6">
    <w:name w:val="Body Text First Indent 21"/>
    <w:basedOn w:val="5"/>
    <w:next w:val="1"/>
    <w:qFormat/>
    <w:uiPriority w:val="0"/>
    <w:pPr>
      <w:ind w:firstLine="420"/>
    </w:pPr>
    <w:rPr>
      <w:rFonts w:eastAsia="宋体"/>
    </w:rPr>
  </w:style>
  <w:style w:type="paragraph" w:styleId="7">
    <w:name w:val="footer"/>
    <w:basedOn w:val="1"/>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2021-06-03T10:11:00Z</dcterms:created>
  <dc:creator>大空翼</dc:creator>
  <cp:lastModifiedBy>user</cp:lastModifiedBy>
  <cp:lastPrinted>2023-09-23T09:28:00Z</cp:lastPrinted>
  <dcterms:modified xsi:type="dcterms:W3CDTF">2024-01-24T15:40:28Z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6BC0DC726410087AAF81BB635E73786F</vt:lpwstr>
  </property>
</Properties>
</file>