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pStyle w:val="4"/>
        <w:keepNext w:val="0"/>
        <w:keepLines w:val="0"/>
        <w:pageBreakBefore w:val="0"/>
        <w:widowControl w:val="0"/>
        <w:kinsoku/>
        <w:wordWrap/>
        <w:overflowPunct/>
        <w:topLinePunct w:val="0"/>
        <w:autoSpaceDE/>
        <w:autoSpaceDN/>
        <w:bidi w:val="0"/>
        <w:adjustRightInd/>
        <w:snapToGrid/>
        <w:spacing w:beforeLines="-2147483648" w:after="0" w:afterLines="-2147483648" w:line="560" w:lineRule="exact"/>
        <w:ind w:firstLine="0" w:firstLineChars="0"/>
        <w:jc w:val="center"/>
        <w:textAlignment w:val="auto"/>
        <w:rPr>
          <w:rFonts w:hint="eastAsia" w:ascii="方正小标宋_GBK" w:hAnsi="方正小标宋_GBK" w:eastAsia="方正小标宋_GBK" w:cs="方正小标宋_GBK"/>
          <w:b w:val="0"/>
          <w:w w:val="88"/>
          <w:lang w:eastAsia="zh-CN"/>
        </w:rPr>
      </w:pPr>
      <w:r>
        <w:rPr>
          <w:rFonts w:hint="eastAsia" w:ascii="方正小标宋_GBK" w:hAnsi="方正小标宋_GBK" w:eastAsia="方正小标宋_GBK" w:cs="方正小标宋_GBK"/>
          <w:b w:val="0"/>
          <w:w w:val="88"/>
          <w:lang w:eastAsia="zh-CN"/>
        </w:rPr>
        <w:t>阿坝州公务服务中心</w:t>
      </w:r>
    </w:p>
    <w:p>
      <w:pPr>
        <w:pStyle w:val="4"/>
        <w:keepNext w:val="0"/>
        <w:keepLines w:val="0"/>
        <w:pageBreakBefore w:val="0"/>
        <w:widowControl w:val="0"/>
        <w:kinsoku/>
        <w:wordWrap/>
        <w:overflowPunct/>
        <w:topLinePunct w:val="0"/>
        <w:autoSpaceDE/>
        <w:autoSpaceDN/>
        <w:bidi w:val="0"/>
        <w:adjustRightInd/>
        <w:snapToGrid/>
        <w:spacing w:beforeLines="-2147483648" w:after="0" w:afterLines="-2147483648" w:line="560" w:lineRule="exact"/>
        <w:jc w:val="center"/>
        <w:textAlignment w:val="auto"/>
        <w:rPr>
          <w:rFonts w:hint="eastAsia" w:ascii="方正小标宋_GBK" w:hAnsi="方正小标宋_GBK" w:eastAsia="方正小标宋_GBK" w:cs="方正小标宋_GBK"/>
          <w:b w:val="0"/>
          <w:w w:val="88"/>
          <w:lang w:eastAsia="zh-CN"/>
        </w:rPr>
      </w:pPr>
      <w:r>
        <w:rPr>
          <w:rFonts w:hint="eastAsia" w:ascii="方正小标宋_GBK" w:hAnsi="方正小标宋_GBK" w:eastAsia="方正小标宋_GBK" w:cs="方正小标宋_GBK"/>
          <w:b w:val="0"/>
          <w:w w:val="88"/>
          <w:lang w:val="en-US" w:eastAsia="zh-CN"/>
        </w:rPr>
        <w:t>2022年部门预算公开</w:t>
      </w:r>
    </w:p>
    <w:p>
      <w:pPr>
        <w:pStyle w:val="4"/>
        <w:keepNext w:val="0"/>
        <w:keepLines w:val="0"/>
        <w:pageBreakBefore w:val="0"/>
        <w:widowControl w:val="0"/>
        <w:kinsoku/>
        <w:wordWrap/>
        <w:overflowPunct/>
        <w:topLinePunct w:val="0"/>
        <w:autoSpaceDE/>
        <w:autoSpaceDN/>
        <w:bidi w:val="0"/>
        <w:adjustRightInd/>
        <w:snapToGrid/>
        <w:spacing w:beforeLines="-2147483648" w:after="0" w:afterLines="-2147483648" w:line="560" w:lineRule="exact"/>
        <w:ind w:firstLine="0" w:firstLineChars="0"/>
        <w:textAlignment w:val="auto"/>
        <w:rPr>
          <w:rFonts w:hint="eastAsia" w:ascii="方正小标宋_GBK" w:hAnsi="方正小标宋_GBK" w:eastAsia="方正小标宋_GBK" w:cs="方正小标宋_GBK"/>
          <w:b w:val="0"/>
          <w:w w:val="88"/>
          <w:lang w:eastAsia="zh-CN"/>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pStyle w:val="10"/>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目 </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pStyle w:val="8"/>
        <w:rPr>
          <w:rFonts w:hint="eastAsia"/>
        </w:rPr>
      </w:pP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一、基本职能及主要工作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2022年</w:t>
      </w:r>
      <w:r>
        <w:rPr>
          <w:rFonts w:hint="eastAsia" w:ascii="仿宋_GB2312" w:hAnsi="仿宋_GB2312" w:eastAsia="仿宋_GB2312" w:cs="仿宋_GB2312"/>
          <w:sz w:val="32"/>
          <w:szCs w:val="32"/>
        </w:rPr>
        <w:t>重点工作</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二、部门预算单位构成</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（二）支出预算情况</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四、财政拨款收支预算情况说明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（三）一般公共预算当年拨款具体使用情</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六、一般公共预算基本支出情况说明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七、“三公”经费财政拨款预算安排情况说明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八、政府性基金预算支出情况说明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九、其他重要事项的情况说明</w:t>
      </w:r>
    </w:p>
    <w:p>
      <w:pPr>
        <w:keepNext w:val="0"/>
        <w:keepLines w:val="0"/>
        <w:pageBreakBefore w:val="0"/>
        <w:widowControl w:val="0"/>
        <w:kinsoku/>
        <w:wordWrap/>
        <w:overflowPunct w:val="0"/>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十、名称解释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一、基本职能及主要工作</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val="en-US" w:eastAsia="zh-CN"/>
        </w:rPr>
      </w:pPr>
      <w:r>
        <w:rPr>
          <w:rFonts w:hint="eastAsia" w:ascii="Times New Roman" w:hAnsi="Times New Roman" w:eastAsia="方正楷体_GBK" w:cs="Times New Roman"/>
          <w:b/>
          <w:bCs/>
          <w:sz w:val="32"/>
          <w:szCs w:val="32"/>
          <w:lang w:val="en-US" w:eastAsia="zh-CN"/>
        </w:rPr>
        <w:t>（一）阿坝州公务服务中心简介</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我中心主要职能为贯彻落实党中央关于公务服务工作的方针政策和省委、州委的决策部署，在履行职责过程中坚持和加强党对公务服务工作的集中统一领导。负责重大公务活动的服务保障工作，承担州委、州政府交办的外事接待、招商引资、大型会议、活动的服务保障工作和州委、州政府交办的其他任务</w:t>
      </w:r>
      <w:r>
        <w:rPr>
          <w:rFonts w:hint="default" w:ascii="Times New Roman" w:hAnsi="Times New Roman" w:eastAsia="方正仿宋_GBK" w:cs="Times New Roman"/>
          <w:sz w:val="32"/>
          <w:szCs w:val="32"/>
          <w:lang w:eastAsia="zh-CN"/>
        </w:rPr>
        <w:t>。</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eastAsia="zh-CN"/>
        </w:rPr>
        <w:t>（二）</w:t>
      </w:r>
      <w:r>
        <w:rPr>
          <w:rFonts w:hint="eastAsia" w:ascii="Times New Roman" w:hAnsi="Times New Roman" w:eastAsia="方正楷体_GBK" w:cs="Times New Roman"/>
          <w:b/>
          <w:bCs/>
          <w:sz w:val="32"/>
          <w:szCs w:val="32"/>
          <w:lang w:val="en-US" w:eastAsia="zh-CN"/>
        </w:rPr>
        <w:t>阿坝州公务服务中心2022年重点工作。</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2022年，我中心将紧紧围绕州委、州政府工作大局，疑心聚力，创新突破，砥砺奋进，深化推动“公务接待由事务向政务转型”，在公务服务保障上彰显新作为。</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楷体_GBK" w:cs="Times New Roman"/>
          <w:b/>
          <w:bCs/>
          <w:sz w:val="32"/>
          <w:szCs w:val="32"/>
          <w:lang w:val="en-US" w:eastAsia="zh-CN"/>
        </w:rPr>
        <w:t>1.进一步强化服务意识。</w:t>
      </w:r>
      <w:r>
        <w:rPr>
          <w:rFonts w:hint="eastAsia" w:ascii="Times New Roman" w:hAnsi="Times New Roman" w:eastAsia="方正仿宋_GBK" w:cs="Times New Roman"/>
          <w:sz w:val="32"/>
          <w:szCs w:val="32"/>
          <w:lang w:val="en-US" w:eastAsia="zh-CN"/>
        </w:rPr>
        <w:t>秉承“人性化服务、精细化管理、规范化运行、标准化保障”的服务理念，以州委、州政府放心、服务对象满意作为公务接待工作的出发点和落脚点。</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楷体_GBK" w:cs="Times New Roman"/>
          <w:b/>
          <w:bCs/>
          <w:sz w:val="32"/>
          <w:szCs w:val="32"/>
          <w:lang w:val="en-US" w:eastAsia="zh-CN"/>
        </w:rPr>
        <w:t>2.进一步完善管理体制。</w:t>
      </w:r>
      <w:r>
        <w:rPr>
          <w:rFonts w:hint="eastAsia" w:ascii="Times New Roman" w:hAnsi="Times New Roman" w:eastAsia="方正仿宋_GBK" w:cs="Times New Roman"/>
          <w:sz w:val="32"/>
          <w:szCs w:val="32"/>
          <w:lang w:val="en-US" w:eastAsia="zh-CN"/>
        </w:rPr>
        <w:t>严格执行中央八项规定、省委省政府十项规定、州委州政府八条意见及实施细则等规定精神，增强内外监督合力，形成不愿、不敢、不能违规违纪接待的正确导向和正面预期。</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楷体_GBK" w:cs="Times New Roman"/>
          <w:b/>
          <w:bCs/>
          <w:sz w:val="32"/>
          <w:szCs w:val="32"/>
          <w:lang w:val="en-US" w:eastAsia="zh-CN"/>
        </w:rPr>
        <w:t>3.进一步夯实基础工作。</w:t>
      </w:r>
      <w:r>
        <w:rPr>
          <w:rFonts w:hint="eastAsia" w:ascii="Times New Roman" w:hAnsi="Times New Roman" w:eastAsia="方正仿宋_GBK" w:cs="Times New Roman"/>
          <w:sz w:val="32"/>
          <w:szCs w:val="32"/>
          <w:lang w:val="en-US" w:eastAsia="zh-CN"/>
        </w:rPr>
        <w:t>充实完善公务接待定点场所、特色美食、接待服务人才库、重要来宾档案、州县重要调研点位等基础数据库，为切实做好公务服务工作提供基础保障。</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楷体_GBK" w:cs="Times New Roman"/>
          <w:b/>
          <w:bCs/>
          <w:sz w:val="32"/>
          <w:szCs w:val="32"/>
          <w:lang w:val="en-US" w:eastAsia="zh-CN"/>
        </w:rPr>
        <w:t>4.进一步深化转型升级。</w:t>
      </w:r>
      <w:r>
        <w:rPr>
          <w:rFonts w:hint="eastAsia" w:ascii="Times New Roman" w:hAnsi="Times New Roman" w:eastAsia="方正仿宋_GBK" w:cs="Times New Roman"/>
          <w:sz w:val="32"/>
          <w:szCs w:val="32"/>
          <w:lang w:val="en-US" w:eastAsia="zh-CN"/>
        </w:rPr>
        <w:t>按照公务接待工作的“1234”工作布局，不断增强公务服务部门牵头抓总和参谋辅政能力，充分发挥政务接待的“桥梁、纽带、窗口”作用。</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楷体_GBK" w:cs="Times New Roman"/>
          <w:b/>
          <w:bCs/>
          <w:sz w:val="32"/>
          <w:szCs w:val="32"/>
          <w:lang w:val="en-US" w:eastAsia="zh-CN"/>
        </w:rPr>
        <w:t>5.进一步提升服务能力。</w:t>
      </w:r>
      <w:r>
        <w:rPr>
          <w:rFonts w:hint="eastAsia" w:ascii="Times New Roman" w:hAnsi="Times New Roman" w:eastAsia="方正仿宋_GBK" w:cs="Times New Roman"/>
          <w:sz w:val="32"/>
          <w:szCs w:val="32"/>
          <w:lang w:val="en-US" w:eastAsia="zh-CN"/>
        </w:rPr>
        <w:t xml:space="preserve">积极探索开展个性接待、亲情接待、文化接待，进一步深化公务接待的内涵，提升接待服务能力水平 </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二、部门预算单位构成</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阿坝州公务服务中心一级预算单位，下属二级预算单位0个，其中：其他事业单位0个。</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三、收支预算情况说明</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outlineLvl w:val="9"/>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sz w:val="32"/>
          <w:szCs w:val="32"/>
          <w:lang w:val="en-US" w:eastAsia="zh-CN"/>
        </w:rPr>
        <w:t>按照综合预算的原则，阿坝州公务服务中心单位所有收入和支出均纳入部门预算管理。收入包括：一般公共预算拨款收入902.57万元，无事业收入，无其他收入，上年结转42.28万元；支出包括：一般公共服务支出817.15万元，社会保障和就业</w:t>
      </w:r>
      <w:r>
        <w:rPr>
          <w:rFonts w:hint="eastAsia" w:ascii="Times New Roman" w:hAnsi="Times New Roman" w:eastAsia="方正仿宋_GBK" w:cs="Times New Roman"/>
          <w:color w:val="auto"/>
          <w:sz w:val="32"/>
          <w:szCs w:val="32"/>
          <w:highlight w:val="none"/>
          <w:lang w:val="en-US" w:eastAsia="zh-CN"/>
        </w:rPr>
        <w:t>支出45.37万元，卫生健康支出14.76万元，住房保障支出25.29万元，其他收入42.28万元。</w:t>
      </w:r>
      <w:r>
        <w:rPr>
          <w:rFonts w:hint="default" w:ascii="Times New Roman" w:hAnsi="Times New Roman" w:eastAsia="方正仿宋_GBK" w:cs="Times New Roman"/>
          <w:color w:val="auto"/>
          <w:sz w:val="32"/>
          <w:szCs w:val="32"/>
          <w:highlight w:val="none"/>
          <w:lang w:eastAsia="zh-CN"/>
        </w:rPr>
        <w:t>本单位</w:t>
      </w:r>
      <w:r>
        <w:rPr>
          <w:rFonts w:hint="eastAsia" w:ascii="Times New Roman" w:hAnsi="Times New Roman" w:eastAsia="方正仿宋_GBK" w:cs="Times New Roman"/>
          <w:color w:val="auto"/>
          <w:sz w:val="32"/>
          <w:szCs w:val="32"/>
          <w:highlight w:val="none"/>
          <w:lang w:eastAsia="zh-CN"/>
        </w:rPr>
        <w:t>2022年</w:t>
      </w:r>
      <w:r>
        <w:rPr>
          <w:rFonts w:hint="default" w:ascii="Times New Roman" w:hAnsi="Times New Roman" w:eastAsia="方正仿宋_GBK" w:cs="Times New Roman"/>
          <w:color w:val="auto"/>
          <w:sz w:val="32"/>
          <w:szCs w:val="32"/>
          <w:highlight w:val="none"/>
          <w:lang w:eastAsia="zh-CN"/>
        </w:rPr>
        <w:t>收支总预算</w:t>
      </w:r>
      <w:r>
        <w:rPr>
          <w:rFonts w:hint="eastAsia" w:ascii="Times New Roman" w:hAnsi="Times New Roman" w:eastAsia="方正仿宋_GBK" w:cs="Times New Roman"/>
          <w:color w:val="auto"/>
          <w:sz w:val="32"/>
          <w:szCs w:val="32"/>
          <w:highlight w:val="none"/>
          <w:lang w:val="en-US" w:eastAsia="zh-CN"/>
        </w:rPr>
        <w:t>944.85</w:t>
      </w:r>
      <w:r>
        <w:rPr>
          <w:rFonts w:hint="default" w:ascii="Times New Roman" w:hAnsi="Times New Roman" w:eastAsia="方正仿宋_GBK" w:cs="Times New Roman"/>
          <w:color w:val="auto"/>
          <w:sz w:val="32"/>
          <w:szCs w:val="32"/>
          <w:highlight w:val="none"/>
          <w:lang w:eastAsia="zh-CN"/>
        </w:rPr>
        <w:t>万元</w:t>
      </w:r>
      <w:r>
        <w:rPr>
          <w:rFonts w:hint="default" w:ascii="Times New Roman" w:hAnsi="Times New Roman" w:eastAsia="方正仿宋_GBK" w:cs="Times New Roman"/>
          <w:color w:val="0000FF"/>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比202</w:t>
      </w:r>
      <w:r>
        <w:rPr>
          <w:rFonts w:hint="eastAsia"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lang w:val="en-US" w:eastAsia="zh-CN"/>
        </w:rPr>
        <w:t>年收支预算总数减少</w:t>
      </w:r>
      <w:r>
        <w:rPr>
          <w:rFonts w:hint="eastAsia" w:ascii="Times New Roman" w:hAnsi="Times New Roman" w:eastAsia="方正仿宋_GBK" w:cs="Times New Roman"/>
          <w:color w:val="auto"/>
          <w:sz w:val="32"/>
          <w:szCs w:val="32"/>
          <w:highlight w:val="none"/>
          <w:lang w:val="en-US" w:eastAsia="zh-CN"/>
        </w:rPr>
        <w:t>3.66</w:t>
      </w:r>
      <w:r>
        <w:rPr>
          <w:rFonts w:hint="default" w:ascii="Times New Roman" w:hAnsi="Times New Roman" w:eastAsia="方正仿宋_GBK" w:cs="Times New Roman"/>
          <w:color w:val="auto"/>
          <w:sz w:val="32"/>
          <w:szCs w:val="32"/>
          <w:highlight w:val="none"/>
          <w:lang w:val="en-US" w:eastAsia="zh-CN"/>
        </w:rPr>
        <w:t>万元，其主要原因是</w:t>
      </w:r>
      <w:r>
        <w:rPr>
          <w:rFonts w:hint="eastAsia" w:ascii="Times New Roman" w:hAnsi="Times New Roman" w:eastAsia="方正仿宋_GBK" w:cs="Times New Roman"/>
          <w:color w:val="auto"/>
          <w:sz w:val="32"/>
          <w:szCs w:val="32"/>
          <w:highlight w:val="none"/>
          <w:lang w:val="en-US" w:eastAsia="zh-CN"/>
        </w:rPr>
        <w:t>主要原因减少了文旅大会、综合楼管理等项目经费</w:t>
      </w:r>
      <w:r>
        <w:rPr>
          <w:rFonts w:hint="default" w:ascii="Times New Roman" w:hAnsi="Times New Roman" w:eastAsia="方正仿宋_GBK" w:cs="Times New Roman"/>
          <w:color w:val="auto"/>
          <w:sz w:val="32"/>
          <w:szCs w:val="32"/>
          <w:highlight w:val="none"/>
          <w:lang w:val="en-US" w:eastAsia="zh-CN"/>
        </w:rPr>
        <w:t>。</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val="en-US" w:eastAsia="zh-CN"/>
        </w:rPr>
      </w:pPr>
      <w:r>
        <w:rPr>
          <w:rFonts w:hint="eastAsia" w:ascii="Times New Roman" w:hAnsi="Times New Roman" w:eastAsia="方正楷体_GBK" w:cs="Times New Roman"/>
          <w:b/>
          <w:bCs/>
          <w:sz w:val="32"/>
          <w:szCs w:val="32"/>
          <w:lang w:eastAsia="zh-CN"/>
        </w:rPr>
        <w:t>（一）收入预算情况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阿坝州公务服务中心2022年收入预算944.85万元，其中：上年结转42.28万元，占4.47%；一般公共预算拨款收入902.57万元，占95.53%；无事业收入；无其他收入。</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（二）支出预算情况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阿坝州公务服务中心2022年支出预算944.85万元，其中：基本支出314.57万元，占33.29%；项目支出630.28万元，占66.71%。</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四、财政拨款收支预算情况说明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阿坝州公务服务中心2022年财政拨款收支总预算902.57万元。</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支出包括：一般公共服务支出817.15万元，社会保障和就业支出45.37万元，卫生健康支出14.76万元，住房保障支出25.29万元。</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五、一般公共预算当年拨款情况说明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（一）一般公共预算当年拨款规模变化情况</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textAlignment w:val="auto"/>
        <w:outlineLvl w:val="9"/>
        <w:rPr>
          <w:rFonts w:hint="default" w:ascii="仿宋_GB2312" w:hAnsi="仿宋_GB2312" w:eastAsia="仿宋_GB2312" w:cs="仿宋_GB2312"/>
          <w:color w:val="0000FF"/>
          <w:sz w:val="32"/>
          <w:szCs w:val="32"/>
        </w:rPr>
      </w:pPr>
      <w:r>
        <w:rPr>
          <w:rFonts w:hint="eastAsia" w:ascii="仿宋_GB2312" w:hAnsi="仿宋_GB2312" w:eastAsia="仿宋_GB2312" w:cs="仿宋_GB2312"/>
          <w:sz w:val="32"/>
          <w:szCs w:val="32"/>
        </w:rPr>
        <w:t>阿坝州公务服务中心</w:t>
      </w:r>
      <w:r>
        <w:rPr>
          <w:rFonts w:hint="eastAsia" w:ascii="仿宋_GB2312" w:hAnsi="仿宋_GB2312" w:eastAsia="仿宋_GB2312" w:cs="仿宋_GB2312"/>
          <w:sz w:val="32"/>
          <w:szCs w:val="32"/>
          <w:lang w:eastAsia="zh-CN"/>
        </w:rPr>
        <w:t>2022年</w:t>
      </w:r>
      <w:r>
        <w:rPr>
          <w:rFonts w:hint="eastAsia" w:ascii="仿宋_GB2312" w:hAnsi="仿宋_GB2312" w:eastAsia="仿宋_GB2312" w:cs="仿宋_GB2312"/>
          <w:sz w:val="32"/>
          <w:szCs w:val="32"/>
        </w:rPr>
        <w:t>一般公共预算当年拨款</w:t>
      </w:r>
      <w:r>
        <w:rPr>
          <w:rFonts w:hint="eastAsia" w:ascii="Times New Roman" w:hAnsi="Times New Roman" w:eastAsia="方正仿宋_GBK" w:cs="Times New Roman"/>
          <w:color w:val="auto"/>
          <w:sz w:val="32"/>
          <w:szCs w:val="32"/>
          <w:highlight w:val="none"/>
          <w:lang w:val="en-US" w:eastAsia="zh-CN"/>
        </w:rPr>
        <w:t>902.57</w:t>
      </w:r>
      <w:r>
        <w:rPr>
          <w:rFonts w:hint="eastAsia" w:ascii="仿宋_GB2312" w:hAnsi="仿宋_GB2312" w:eastAsia="仿宋_GB2312" w:cs="仿宋_GB2312"/>
          <w:sz w:val="32"/>
          <w:szCs w:val="32"/>
        </w:rPr>
        <w:t>万元</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eastAsia="zh-CN"/>
        </w:rPr>
        <w:t>与202</w:t>
      </w:r>
      <w:r>
        <w:rPr>
          <w:rFonts w:hint="eastAsia"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lang w:eastAsia="zh-CN"/>
        </w:rPr>
        <w:t>年相比预算数减少</w:t>
      </w:r>
      <w:r>
        <w:rPr>
          <w:rFonts w:hint="eastAsia" w:ascii="Times New Roman" w:hAnsi="Times New Roman" w:eastAsia="方正仿宋_GBK" w:cs="Times New Roman"/>
          <w:color w:val="auto"/>
          <w:sz w:val="32"/>
          <w:szCs w:val="32"/>
          <w:highlight w:val="none"/>
          <w:lang w:val="en-US" w:eastAsia="zh-CN"/>
        </w:rPr>
        <w:t>14.73</w:t>
      </w:r>
      <w:r>
        <w:rPr>
          <w:rFonts w:hint="default" w:ascii="Times New Roman" w:hAnsi="Times New Roman" w:eastAsia="方正仿宋_GBK" w:cs="Times New Roman"/>
          <w:color w:val="auto"/>
          <w:sz w:val="32"/>
          <w:szCs w:val="32"/>
          <w:highlight w:val="none"/>
          <w:lang w:eastAsia="zh-CN"/>
        </w:rPr>
        <w:t>万元，其主要原因是</w:t>
      </w:r>
      <w:r>
        <w:rPr>
          <w:rFonts w:hint="eastAsia" w:ascii="Times New Roman" w:hAnsi="Times New Roman" w:eastAsia="方正仿宋_GBK" w:cs="Times New Roman"/>
          <w:color w:val="auto"/>
          <w:sz w:val="32"/>
          <w:szCs w:val="32"/>
          <w:highlight w:val="none"/>
          <w:lang w:val="en-US" w:eastAsia="zh-CN"/>
        </w:rPr>
        <w:t>减少了文旅大会、综合楼管理等项目经费</w:t>
      </w:r>
      <w:r>
        <w:rPr>
          <w:rFonts w:hint="default" w:ascii="Times New Roman" w:hAnsi="Times New Roman" w:eastAsia="方正仿宋_GBK" w:cs="Times New Roman"/>
          <w:color w:val="auto"/>
          <w:sz w:val="32"/>
          <w:szCs w:val="32"/>
          <w:highlight w:val="none"/>
          <w:lang w:val="en-US" w:eastAsia="zh-CN"/>
        </w:rPr>
        <w:t>。</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（二）一般公共预算当年拨款结构情况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一般公共服务支出817.15万元，占90.54%；社会保障和就业支出45.37万元，占5.03%；卫生健康支出14.76万元，占1.63%；住房保障支出25.29万元，占2.80%</w:t>
      </w:r>
      <w:r>
        <w:rPr>
          <w:rFonts w:hint="default" w:ascii="Times New Roman" w:hAnsi="Times New Roman" w:eastAsia="方正仿宋_GBK" w:cs="Times New Roman"/>
          <w:color w:val="auto"/>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（三）一般公共预算当年拨款具体使用情况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1．一般公共服务支出817.15万元。主要用于</w:t>
      </w:r>
      <w:r>
        <w:rPr>
          <w:rFonts w:hint="default" w:ascii="Times New Roman" w:hAnsi="Times New Roman" w:eastAsia="方正仿宋_GBK" w:cs="Times New Roman"/>
          <w:color w:val="auto"/>
          <w:sz w:val="32"/>
          <w:szCs w:val="32"/>
          <w:highlight w:val="none"/>
          <w:lang w:val="en-US" w:eastAsia="zh-CN"/>
        </w:rPr>
        <w:t>中心</w:t>
      </w:r>
      <w:r>
        <w:rPr>
          <w:rFonts w:hint="eastAsia" w:ascii="Times New Roman" w:hAnsi="Times New Roman" w:eastAsia="方正仿宋_GBK" w:cs="Times New Roman"/>
          <w:color w:val="auto"/>
          <w:sz w:val="32"/>
          <w:szCs w:val="32"/>
          <w:highlight w:val="none"/>
          <w:lang w:val="en-US" w:eastAsia="zh-CN"/>
        </w:rPr>
        <w:t>日常工作开展。</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2．社会保障和就业支出45.37万元。主要用于养老、职业年金保险。</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3．卫生健康支出14.76万元。主要用于职工行政单位医疗及行政单位医疗补助。</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4．住房保障支出25.29万元。主要用于职工住房公积金。</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六、一般公共预算基本支出情况说明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2022年一般公共预算基本支出314.57万元，其中：人员经费238.58万元，主要包括：基本工资、津贴补贴、奖金、其他社会保障缴费、绩效工资、机关事业单位基本养老保险缴费、职业年金缴费、其他工资福利支出、离休费、奖励金、住房公积金、其他对个人和家庭的补助支出。公用经费75.99万元，主要包括：办公费、印刷费、手续费、水费、电费、邮电费、差旅费、维修（护）费、租赁费、会议费、培训费、劳务费、福利费、</w:t>
      </w:r>
      <w:r>
        <w:rPr>
          <w:rFonts w:hint="default" w:ascii="Times New Roman" w:hAnsi="Times New Roman" w:eastAsia="方正仿宋_GBK" w:cs="Times New Roman"/>
          <w:color w:val="auto"/>
          <w:sz w:val="32"/>
          <w:szCs w:val="32"/>
          <w:highlight w:val="none"/>
          <w:lang w:eastAsia="zh-CN"/>
        </w:rPr>
        <w:t>其他交通工具</w:t>
      </w:r>
      <w:r>
        <w:rPr>
          <w:rFonts w:hint="eastAsia" w:ascii="Times New Roman" w:hAnsi="Times New Roman" w:eastAsia="方正仿宋_GBK" w:cs="Times New Roman"/>
          <w:color w:val="auto"/>
          <w:sz w:val="32"/>
          <w:szCs w:val="32"/>
          <w:highlight w:val="none"/>
          <w:lang w:val="en-US" w:eastAsia="zh-CN"/>
        </w:rPr>
        <w:t>运行维护费、其他商品和服务支出。</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七、“三公”经费财政拨款预算安排情况说明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阿坝州公务服务中心2022年“三公”经费财政拨款预算数587.39万元，其中：因公出国（境）经费0万元，公务接待费551.39万元，公务用车购置及运行维护费36万元。</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楷体_GBK" w:cs="Times New Roman"/>
          <w:b/>
          <w:bCs/>
          <w:sz w:val="32"/>
          <w:szCs w:val="32"/>
          <w:lang w:val="en-US" w:eastAsia="zh-CN"/>
        </w:rPr>
        <w:t>（一）2022年因公出国（境）经费0万元。</w:t>
      </w:r>
      <w:r>
        <w:rPr>
          <w:rFonts w:hint="eastAsia" w:ascii="Times New Roman" w:hAnsi="Times New Roman" w:eastAsia="方正仿宋_GBK" w:cs="Times New Roman"/>
          <w:color w:val="auto"/>
          <w:sz w:val="32"/>
          <w:szCs w:val="32"/>
          <w:highlight w:val="none"/>
          <w:lang w:val="en-US" w:eastAsia="zh-CN"/>
        </w:rPr>
        <w:t>全年安排因公出国（境）团组0次，出国（境）0人。因公出国（境）支出预算与2021年相同。主要原因是未涉及需因公出国（境）的相关事项。</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楷体_GBK" w:cs="Times New Roman"/>
          <w:b/>
          <w:bCs/>
          <w:sz w:val="32"/>
          <w:szCs w:val="32"/>
          <w:lang w:val="en-US" w:eastAsia="zh-CN"/>
        </w:rPr>
        <w:t>（二）2022年公务接待费551.39万元。</w:t>
      </w:r>
      <w:r>
        <w:rPr>
          <w:rFonts w:hint="eastAsia" w:ascii="Times New Roman" w:hAnsi="Times New Roman" w:eastAsia="方正仿宋_GBK" w:cs="Times New Roman"/>
          <w:color w:val="auto"/>
          <w:sz w:val="32"/>
          <w:szCs w:val="32"/>
          <w:highlight w:val="none"/>
          <w:lang w:val="en-US" w:eastAsia="zh-CN"/>
        </w:rPr>
        <w:t>较2021年预算经费减少0.09万元，下降0.02%。主要原因2022年人员减少，人员公务经费减少。</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仿宋_GBK" w:cs="Times New Roman"/>
          <w:b w:val="0"/>
          <w:bCs/>
          <w:color w:val="auto"/>
          <w:kern w:val="2"/>
          <w:sz w:val="32"/>
          <w:szCs w:val="32"/>
          <w:highlight w:val="none"/>
          <w:lang w:val="en-US" w:eastAsia="zh-CN" w:bidi="ar-SA"/>
        </w:rPr>
      </w:pPr>
      <w:r>
        <w:rPr>
          <w:rFonts w:hint="eastAsia" w:ascii="Times New Roman" w:hAnsi="Times New Roman" w:eastAsia="方正仿宋_GBK" w:cs="Times New Roman"/>
          <w:b/>
          <w:color w:val="auto"/>
          <w:kern w:val="2"/>
          <w:sz w:val="32"/>
          <w:szCs w:val="32"/>
          <w:highlight w:val="none"/>
          <w:lang w:val="en-US" w:eastAsia="zh-CN" w:bidi="ar-SA"/>
        </w:rPr>
        <w:t>国内公务接待支出551.39万元。</w:t>
      </w:r>
      <w:r>
        <w:rPr>
          <w:rFonts w:hint="eastAsia" w:ascii="Times New Roman" w:hAnsi="Times New Roman" w:eastAsia="方正仿宋_GBK" w:cs="Times New Roman"/>
          <w:color w:val="auto"/>
          <w:sz w:val="32"/>
          <w:szCs w:val="32"/>
          <w:highlight w:val="none"/>
          <w:lang w:val="en-US" w:eastAsia="zh-CN"/>
        </w:rPr>
        <w:t>较2021年预算经费减少0.09万元，下降0.02%。主要原因2022年人员减少，人员公务经费减少。</w:t>
      </w:r>
      <w:r>
        <w:rPr>
          <w:rFonts w:hint="eastAsia" w:ascii="Times New Roman" w:hAnsi="Times New Roman" w:eastAsia="方正仿宋_GBK" w:cs="Times New Roman"/>
          <w:b w:val="0"/>
          <w:bCs/>
          <w:color w:val="auto"/>
          <w:kern w:val="2"/>
          <w:sz w:val="32"/>
          <w:szCs w:val="32"/>
          <w:highlight w:val="none"/>
          <w:lang w:val="en-US" w:eastAsia="zh-CN" w:bidi="ar-SA"/>
        </w:rPr>
        <w:t>主要用于执行公务、开展业务活动开支的交通费、住宿费、用餐费等。</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lang w:val="en-US" w:eastAsia="zh-CN"/>
        </w:rPr>
      </w:pPr>
      <w:r>
        <w:rPr>
          <w:rFonts w:hint="eastAsia" w:ascii="Times New Roman" w:hAnsi="Times New Roman" w:eastAsia="方正仿宋_GBK" w:cs="Times New Roman"/>
          <w:b/>
          <w:color w:val="auto"/>
          <w:kern w:val="2"/>
          <w:sz w:val="32"/>
          <w:szCs w:val="32"/>
          <w:highlight w:val="none"/>
          <w:lang w:val="en-US" w:eastAsia="zh-CN" w:bidi="ar-SA"/>
        </w:rPr>
        <w:t>国（境）外接待费0万元。</w:t>
      </w:r>
      <w:r>
        <w:rPr>
          <w:rFonts w:hint="eastAsia" w:ascii="Times New Roman" w:hAnsi="Times New Roman" w:eastAsia="方正仿宋_GBK" w:cs="Times New Roman"/>
          <w:color w:val="auto"/>
          <w:sz w:val="32"/>
          <w:szCs w:val="32"/>
          <w:highlight w:val="none"/>
          <w:lang w:val="en-US" w:eastAsia="zh-CN"/>
        </w:rPr>
        <w:t>较2021预算经费相比持平。主要原因是我中心不涉及国（境）外接待费。国（境）外接待</w:t>
      </w:r>
      <w:bookmarkStart w:id="0" w:name="_GoBack"/>
      <w:bookmarkEnd w:id="0"/>
      <w:r>
        <w:rPr>
          <w:rFonts w:hint="eastAsia" w:ascii="Times New Roman" w:hAnsi="Times New Roman" w:eastAsia="方正仿宋_GBK" w:cs="Times New Roman"/>
          <w:color w:val="auto"/>
          <w:sz w:val="32"/>
          <w:szCs w:val="32"/>
          <w:highlight w:val="none"/>
          <w:lang w:val="en-US" w:eastAsia="zh-CN"/>
        </w:rPr>
        <w:t>0批次，0人次（不包括陪同人员）共计支出0万元。</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（三）2022年公务用车购置及运行维护费36万元。</w:t>
      </w:r>
      <w:r>
        <w:rPr>
          <w:rFonts w:hint="eastAsia" w:ascii="Times New Roman" w:hAnsi="Times New Roman" w:eastAsia="方正仿宋_GBK" w:cs="Times New Roman"/>
          <w:color w:val="auto"/>
          <w:sz w:val="32"/>
          <w:szCs w:val="32"/>
          <w:highlight w:val="none"/>
          <w:lang w:val="en-US" w:eastAsia="zh-CN"/>
        </w:rPr>
        <w:t>较2021年预算经费相比持平。主要原因是我中心2022年与2021年公务用车数一致。其中：</w:t>
      </w:r>
      <w:r>
        <w:rPr>
          <w:rFonts w:hint="eastAsia" w:ascii="Times New Roman" w:hAnsi="Times New Roman" w:eastAsia="方正仿宋_GBK" w:cs="Times New Roman"/>
          <w:b/>
          <w:color w:val="auto"/>
          <w:kern w:val="2"/>
          <w:sz w:val="32"/>
          <w:szCs w:val="32"/>
          <w:highlight w:val="none"/>
          <w:lang w:val="en-US" w:eastAsia="zh-CN" w:bidi="ar-SA"/>
        </w:rPr>
        <w:t>公务用车购置支出0万元。</w:t>
      </w:r>
      <w:r>
        <w:rPr>
          <w:rFonts w:hint="eastAsia" w:ascii="Times New Roman" w:hAnsi="Times New Roman" w:eastAsia="方正仿宋_GBK" w:cs="Times New Roman"/>
          <w:color w:val="auto"/>
          <w:sz w:val="32"/>
          <w:szCs w:val="32"/>
          <w:highlight w:val="none"/>
          <w:lang w:val="en-US" w:eastAsia="zh-CN"/>
        </w:rPr>
        <w:t>较2021年相比无变化。</w:t>
      </w:r>
      <w:r>
        <w:rPr>
          <w:rFonts w:hint="eastAsia" w:ascii="Times New Roman" w:hAnsi="Times New Roman" w:eastAsia="方正仿宋_GBK" w:cs="Times New Roman"/>
          <w:b/>
          <w:color w:val="auto"/>
          <w:kern w:val="2"/>
          <w:sz w:val="32"/>
          <w:szCs w:val="32"/>
          <w:highlight w:val="none"/>
          <w:lang w:val="en-US" w:eastAsia="zh-CN" w:bidi="ar-SA"/>
        </w:rPr>
        <w:t>公务用运行维护费36万元。</w:t>
      </w:r>
      <w:r>
        <w:rPr>
          <w:rFonts w:hint="eastAsia" w:ascii="Times New Roman" w:hAnsi="Times New Roman" w:eastAsia="方正仿宋_GBK" w:cs="Times New Roman"/>
          <w:color w:val="auto"/>
          <w:sz w:val="32"/>
          <w:szCs w:val="32"/>
          <w:highlight w:val="none"/>
          <w:lang w:val="en-US" w:eastAsia="zh-CN"/>
        </w:rPr>
        <w:t>较2021年相比无变化。主要用于我中心所需的公务用车燃料费、维修费、过路过桥费、保险费等支出。</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八、政府性基金预算支出情况说明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我中心2022年政府性基金预算拨款安排支出0万元。与2021年政府性基金预算支出0万元，无增长变化。主要原因为我中心不涉及政府性基金预算支出项目。</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九、其他重要事项的情况说明</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（一）机关运行经费</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阿坝州公务服务中心2022年机关运行经费财政拨款预算为75.99万元。</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sz w:val="32"/>
          <w:szCs w:val="32"/>
          <w:lang w:eastAsia="zh-CN"/>
        </w:rPr>
      </w:pPr>
      <w:r>
        <w:rPr>
          <w:rFonts w:hint="eastAsia" w:ascii="Times New Roman" w:hAnsi="Times New Roman" w:eastAsia="方正楷体_GBK" w:cs="Times New Roman"/>
          <w:b/>
          <w:bCs/>
          <w:sz w:val="32"/>
          <w:szCs w:val="32"/>
          <w:lang w:eastAsia="zh-CN"/>
        </w:rPr>
        <w:t>（二）政府采购情况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2022年阿坝州公务服务中心安排政府采购预算8万元。</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color w:val="auto"/>
          <w:sz w:val="32"/>
          <w:szCs w:val="32"/>
          <w:lang w:eastAsia="zh-CN"/>
        </w:rPr>
      </w:pPr>
      <w:r>
        <w:rPr>
          <w:rFonts w:hint="eastAsia" w:ascii="Times New Roman" w:hAnsi="Times New Roman" w:eastAsia="方正楷体_GBK" w:cs="Times New Roman"/>
          <w:b/>
          <w:bCs/>
          <w:color w:val="auto"/>
          <w:sz w:val="32"/>
          <w:szCs w:val="32"/>
          <w:lang w:eastAsia="zh-CN"/>
        </w:rPr>
        <w:t>（三）国有资产占有使用情况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固定资产原值总额254.19万元。</w:t>
      </w:r>
    </w:p>
    <w:p>
      <w:pPr>
        <w:keepNext w:val="0"/>
        <w:keepLines w:val="0"/>
        <w:pageBreakBefore w:val="0"/>
        <w:widowControl w:val="0"/>
        <w:kinsoku/>
        <w:wordWrap/>
        <w:overflowPunct w:val="0"/>
        <w:topLinePunct w:val="0"/>
        <w:autoSpaceDE/>
        <w:autoSpaceDN/>
        <w:bidi w:val="0"/>
        <w:adjustRightInd/>
        <w:snapToGrid/>
        <w:spacing w:line="576" w:lineRule="exact"/>
        <w:ind w:firstLine="642" w:firstLineChars="200"/>
        <w:jc w:val="both"/>
        <w:textAlignment w:val="auto"/>
        <w:rPr>
          <w:rFonts w:hint="eastAsia" w:ascii="Times New Roman" w:hAnsi="Times New Roman" w:eastAsia="方正楷体_GBK" w:cs="Times New Roman"/>
          <w:b/>
          <w:bCs/>
          <w:color w:val="auto"/>
          <w:sz w:val="32"/>
          <w:szCs w:val="32"/>
          <w:lang w:eastAsia="zh-CN"/>
        </w:rPr>
      </w:pPr>
      <w:r>
        <w:rPr>
          <w:rFonts w:hint="eastAsia" w:ascii="Times New Roman" w:hAnsi="Times New Roman" w:eastAsia="方正楷体_GBK" w:cs="Times New Roman"/>
          <w:b/>
          <w:bCs/>
          <w:color w:val="auto"/>
          <w:sz w:val="32"/>
          <w:szCs w:val="32"/>
          <w:lang w:eastAsia="zh-CN"/>
        </w:rPr>
        <w:t>（四）绩效目标设置情况</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2022年阿坝州公务服务中心通用项目和专用项目均按要求实行绩效目标管理，涉及一般公共预算当年拨款663.99万元。</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left"/>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十、名词解释</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（一）财政拨款收入：指由财政拨款形成的部门收入。按现行管理制度，部门预算中反映的财政拨款仅包括一般公共预算拨款和政府性基金预算拨款。</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（二）事业收入：指所属事业单位开展专业业务活动及辅助活动所取得的收入。</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（三）事业单位经营收入：指所属事业单位在专业业务活动及其辅助活动之外开展非独立核算经营活动取得的收入。</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（四）其他收入：指除上述“财政拨款收入”、“事业收入”、“事业单位经营收入”等以外的收入，主要是所属行政事业单位按规定动用的售房收入、存款利息收入等。</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val="0"/>
        <w:kinsoku/>
        <w:wordWrap/>
        <w:overflowPunct w:val="0"/>
        <w:topLinePunct w:val="0"/>
        <w:autoSpaceDE/>
        <w:autoSpaceDN/>
        <w:bidi w:val="0"/>
        <w:adjustRightInd/>
        <w:snapToGrid/>
        <w:spacing w:line="576"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（六）上年结转：指所属行政事业单位以前年度尚未完成、结转至本年按原规定用途继续使用的资金和以前年度已完成项目剩余资金经批准用于新用途使用的资金。</w:t>
      </w: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华文细黑">
    <w:altName w:val="宋体"/>
    <w:panose1 w:val="02010600040101010101"/>
    <w:charset w:val="00"/>
    <w:family w:val="auto"/>
    <w:pitch w:val="default"/>
    <w:sig w:usb0="00000000" w:usb1="00000000" w:usb2="00000010" w:usb3="00000000" w:csb0="000400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2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0D35FF"/>
    <w:rsid w:val="03F8652F"/>
    <w:rsid w:val="09B6D3D5"/>
    <w:rsid w:val="0FDBA692"/>
    <w:rsid w:val="13BFB808"/>
    <w:rsid w:val="13F3570C"/>
    <w:rsid w:val="1DF1CD16"/>
    <w:rsid w:val="1DF4340B"/>
    <w:rsid w:val="1DF59469"/>
    <w:rsid w:val="1E975EDC"/>
    <w:rsid w:val="1FBDFE53"/>
    <w:rsid w:val="1FFF5D8D"/>
    <w:rsid w:val="25FDA771"/>
    <w:rsid w:val="28D416DD"/>
    <w:rsid w:val="28D66BFD"/>
    <w:rsid w:val="28EA2E0B"/>
    <w:rsid w:val="29EF06E8"/>
    <w:rsid w:val="29FF0BCB"/>
    <w:rsid w:val="2BE75CE9"/>
    <w:rsid w:val="2EFEC417"/>
    <w:rsid w:val="2FE352D4"/>
    <w:rsid w:val="2FFE1C43"/>
    <w:rsid w:val="332F0AE6"/>
    <w:rsid w:val="349F9B2D"/>
    <w:rsid w:val="35BE1ED6"/>
    <w:rsid w:val="36EB78DD"/>
    <w:rsid w:val="37FD6ED3"/>
    <w:rsid w:val="397FFCCE"/>
    <w:rsid w:val="3BB6E1DB"/>
    <w:rsid w:val="3BDF7CAA"/>
    <w:rsid w:val="3BE79AD2"/>
    <w:rsid w:val="3BFDC132"/>
    <w:rsid w:val="3BFE1929"/>
    <w:rsid w:val="3D7F33AB"/>
    <w:rsid w:val="3DE18914"/>
    <w:rsid w:val="3DE5F8F3"/>
    <w:rsid w:val="3DF6E08F"/>
    <w:rsid w:val="3DFFB4A7"/>
    <w:rsid w:val="3E7DBF34"/>
    <w:rsid w:val="3EDD0365"/>
    <w:rsid w:val="3EDEE2AE"/>
    <w:rsid w:val="3EDF1F53"/>
    <w:rsid w:val="3EED03ED"/>
    <w:rsid w:val="3EEF2B39"/>
    <w:rsid w:val="3EF741AB"/>
    <w:rsid w:val="3F16DD54"/>
    <w:rsid w:val="3F4E249B"/>
    <w:rsid w:val="3F76EE96"/>
    <w:rsid w:val="3F7EC0AF"/>
    <w:rsid w:val="3FDD1FFF"/>
    <w:rsid w:val="3FDDFD26"/>
    <w:rsid w:val="3FF5E831"/>
    <w:rsid w:val="3FF70F0B"/>
    <w:rsid w:val="3FF7D4B0"/>
    <w:rsid w:val="3FFC656B"/>
    <w:rsid w:val="3FFE7051"/>
    <w:rsid w:val="4BF5BE2A"/>
    <w:rsid w:val="4BF738A6"/>
    <w:rsid w:val="4DFFA3A3"/>
    <w:rsid w:val="4F4F18B4"/>
    <w:rsid w:val="4FB719F7"/>
    <w:rsid w:val="4FBEB26C"/>
    <w:rsid w:val="50D61CB7"/>
    <w:rsid w:val="51B5C384"/>
    <w:rsid w:val="56E9ABFE"/>
    <w:rsid w:val="5798B211"/>
    <w:rsid w:val="57CF63D5"/>
    <w:rsid w:val="57FD763C"/>
    <w:rsid w:val="580D35FF"/>
    <w:rsid w:val="5B4DA890"/>
    <w:rsid w:val="5B5E3FEB"/>
    <w:rsid w:val="5B773C30"/>
    <w:rsid w:val="5BEC30CF"/>
    <w:rsid w:val="5BFD309E"/>
    <w:rsid w:val="5CAF4990"/>
    <w:rsid w:val="5DD74E3F"/>
    <w:rsid w:val="5DFF9304"/>
    <w:rsid w:val="5EB240CC"/>
    <w:rsid w:val="5EEF4543"/>
    <w:rsid w:val="5F7D5AB9"/>
    <w:rsid w:val="5FBEE1B7"/>
    <w:rsid w:val="5FD7C4F1"/>
    <w:rsid w:val="5FD8C2CD"/>
    <w:rsid w:val="5FF3FA5D"/>
    <w:rsid w:val="5FFF4905"/>
    <w:rsid w:val="5FFFCE8F"/>
    <w:rsid w:val="63BFA8BA"/>
    <w:rsid w:val="63FF78BB"/>
    <w:rsid w:val="65AB6172"/>
    <w:rsid w:val="67CD0D53"/>
    <w:rsid w:val="67D614CC"/>
    <w:rsid w:val="67DF37BC"/>
    <w:rsid w:val="683F3F69"/>
    <w:rsid w:val="6AFC6047"/>
    <w:rsid w:val="6B71F400"/>
    <w:rsid w:val="6BDE9A8A"/>
    <w:rsid w:val="6BDF15CD"/>
    <w:rsid w:val="6C6F617C"/>
    <w:rsid w:val="6D761C06"/>
    <w:rsid w:val="6DE770C9"/>
    <w:rsid w:val="6E3F3B74"/>
    <w:rsid w:val="6ECB9022"/>
    <w:rsid w:val="6EEFF796"/>
    <w:rsid w:val="6EFDAC88"/>
    <w:rsid w:val="6EFE2466"/>
    <w:rsid w:val="6EFE5D71"/>
    <w:rsid w:val="6EFFB281"/>
    <w:rsid w:val="6F6FFC43"/>
    <w:rsid w:val="6F7E21E7"/>
    <w:rsid w:val="6FDD478F"/>
    <w:rsid w:val="6FF7CB44"/>
    <w:rsid w:val="6FFBC19E"/>
    <w:rsid w:val="71DA5B06"/>
    <w:rsid w:val="72D93B17"/>
    <w:rsid w:val="73EF72FF"/>
    <w:rsid w:val="73FDCB11"/>
    <w:rsid w:val="73FFAE08"/>
    <w:rsid w:val="746F0E04"/>
    <w:rsid w:val="74ED34F4"/>
    <w:rsid w:val="75C3AB6B"/>
    <w:rsid w:val="75FFDF7B"/>
    <w:rsid w:val="764F5391"/>
    <w:rsid w:val="76BDEC9F"/>
    <w:rsid w:val="76E3AC26"/>
    <w:rsid w:val="76F36540"/>
    <w:rsid w:val="771E4A80"/>
    <w:rsid w:val="77A7D47B"/>
    <w:rsid w:val="77BD04C4"/>
    <w:rsid w:val="77BF4052"/>
    <w:rsid w:val="77DE7706"/>
    <w:rsid w:val="77DFDCF6"/>
    <w:rsid w:val="77FB0790"/>
    <w:rsid w:val="77FF134C"/>
    <w:rsid w:val="77FF1DBE"/>
    <w:rsid w:val="77FF8AD3"/>
    <w:rsid w:val="796B6EF9"/>
    <w:rsid w:val="799743C6"/>
    <w:rsid w:val="79F72563"/>
    <w:rsid w:val="79FBB747"/>
    <w:rsid w:val="7A7F3436"/>
    <w:rsid w:val="7AFBE1FD"/>
    <w:rsid w:val="7B5FCE4B"/>
    <w:rsid w:val="7B6DC0C1"/>
    <w:rsid w:val="7B6FE896"/>
    <w:rsid w:val="7B7B3324"/>
    <w:rsid w:val="7B7F5D7F"/>
    <w:rsid w:val="7B9F44AA"/>
    <w:rsid w:val="7B9F56ED"/>
    <w:rsid w:val="7BBFDCF2"/>
    <w:rsid w:val="7BDF0488"/>
    <w:rsid w:val="7BEBF6CD"/>
    <w:rsid w:val="7BFA4220"/>
    <w:rsid w:val="7BFB678F"/>
    <w:rsid w:val="7BFF0ED1"/>
    <w:rsid w:val="7BFF99D5"/>
    <w:rsid w:val="7C6EDF03"/>
    <w:rsid w:val="7CF715ED"/>
    <w:rsid w:val="7CFD3253"/>
    <w:rsid w:val="7D7D68E6"/>
    <w:rsid w:val="7D7DC192"/>
    <w:rsid w:val="7DDE29E7"/>
    <w:rsid w:val="7DF926F2"/>
    <w:rsid w:val="7DFD9CBB"/>
    <w:rsid w:val="7E6D87E7"/>
    <w:rsid w:val="7E7142BE"/>
    <w:rsid w:val="7E7CBA9F"/>
    <w:rsid w:val="7E7F4BFA"/>
    <w:rsid w:val="7E9DD492"/>
    <w:rsid w:val="7EB72ED1"/>
    <w:rsid w:val="7EBF3B67"/>
    <w:rsid w:val="7EDB6110"/>
    <w:rsid w:val="7EFD8B51"/>
    <w:rsid w:val="7F3F0B30"/>
    <w:rsid w:val="7F7B5F81"/>
    <w:rsid w:val="7F7E6576"/>
    <w:rsid w:val="7F7FF9EF"/>
    <w:rsid w:val="7F861607"/>
    <w:rsid w:val="7F8F6F85"/>
    <w:rsid w:val="7F9C6423"/>
    <w:rsid w:val="7F9FB2A2"/>
    <w:rsid w:val="7FBE1540"/>
    <w:rsid w:val="7FBE5DB2"/>
    <w:rsid w:val="7FCE569C"/>
    <w:rsid w:val="7FCF82DB"/>
    <w:rsid w:val="7FD5603E"/>
    <w:rsid w:val="7FD9CC76"/>
    <w:rsid w:val="7FDE5F48"/>
    <w:rsid w:val="7FDEBE64"/>
    <w:rsid w:val="7FDF1DC4"/>
    <w:rsid w:val="7FDF72A8"/>
    <w:rsid w:val="7FE74740"/>
    <w:rsid w:val="7FEE242F"/>
    <w:rsid w:val="7FF54B34"/>
    <w:rsid w:val="7FF728F8"/>
    <w:rsid w:val="7FFB19DB"/>
    <w:rsid w:val="7FFD9A7A"/>
    <w:rsid w:val="7FFF27F3"/>
    <w:rsid w:val="7FFF56B7"/>
    <w:rsid w:val="7FFF7BC0"/>
    <w:rsid w:val="93FE1A4B"/>
    <w:rsid w:val="95AF1681"/>
    <w:rsid w:val="95DD2252"/>
    <w:rsid w:val="979EE7B2"/>
    <w:rsid w:val="97EA597C"/>
    <w:rsid w:val="9BE4D28B"/>
    <w:rsid w:val="9C2BC698"/>
    <w:rsid w:val="9DDFB1A4"/>
    <w:rsid w:val="9DFF8225"/>
    <w:rsid w:val="9FBA9F23"/>
    <w:rsid w:val="9FDF6248"/>
    <w:rsid w:val="9FF31426"/>
    <w:rsid w:val="A5FDEF8C"/>
    <w:rsid w:val="AAEDE3BF"/>
    <w:rsid w:val="AAFB29CD"/>
    <w:rsid w:val="ADB347D7"/>
    <w:rsid w:val="ADEDC39D"/>
    <w:rsid w:val="AF89ADF0"/>
    <w:rsid w:val="AFCED7B6"/>
    <w:rsid w:val="AFE88D0D"/>
    <w:rsid w:val="AFFF8F38"/>
    <w:rsid w:val="B24D0876"/>
    <w:rsid w:val="B3FA8C69"/>
    <w:rsid w:val="B5679CAF"/>
    <w:rsid w:val="B5F74B42"/>
    <w:rsid w:val="B7AF46E5"/>
    <w:rsid w:val="BA6D63F5"/>
    <w:rsid w:val="BAD2A3EE"/>
    <w:rsid w:val="BBF33757"/>
    <w:rsid w:val="BBF782BB"/>
    <w:rsid w:val="BBFFEBB5"/>
    <w:rsid w:val="BDF31E5C"/>
    <w:rsid w:val="BDF3DE00"/>
    <w:rsid w:val="BEF6AB97"/>
    <w:rsid w:val="BF72C118"/>
    <w:rsid w:val="BF7F3158"/>
    <w:rsid w:val="BFF288A8"/>
    <w:rsid w:val="C7DC5E10"/>
    <w:rsid w:val="CCB21B5A"/>
    <w:rsid w:val="CD3770B2"/>
    <w:rsid w:val="CDCD3BCF"/>
    <w:rsid w:val="CDF117F1"/>
    <w:rsid w:val="CE655A82"/>
    <w:rsid w:val="CEAFD439"/>
    <w:rsid w:val="CFBA943A"/>
    <w:rsid w:val="CFD7E2DC"/>
    <w:rsid w:val="D13D20B0"/>
    <w:rsid w:val="D1FFEAD8"/>
    <w:rsid w:val="D3677C00"/>
    <w:rsid w:val="D376A282"/>
    <w:rsid w:val="D377B4A7"/>
    <w:rsid w:val="D3D66018"/>
    <w:rsid w:val="D5F77290"/>
    <w:rsid w:val="D7BE0006"/>
    <w:rsid w:val="D933F32B"/>
    <w:rsid w:val="D9FC90C0"/>
    <w:rsid w:val="DB679C5A"/>
    <w:rsid w:val="DB933CD2"/>
    <w:rsid w:val="DBDB1E0D"/>
    <w:rsid w:val="DDD9984B"/>
    <w:rsid w:val="DE9B6801"/>
    <w:rsid w:val="DEFB1B27"/>
    <w:rsid w:val="DF6AE06A"/>
    <w:rsid w:val="DF6FB9BA"/>
    <w:rsid w:val="DF8F5C30"/>
    <w:rsid w:val="DF97F684"/>
    <w:rsid w:val="DF9F9AFB"/>
    <w:rsid w:val="DFCD95A5"/>
    <w:rsid w:val="DFFB15EC"/>
    <w:rsid w:val="DFFF1F74"/>
    <w:rsid w:val="E17156F6"/>
    <w:rsid w:val="E3A5FB50"/>
    <w:rsid w:val="E4FE2284"/>
    <w:rsid w:val="E69F5BDC"/>
    <w:rsid w:val="E73F33A3"/>
    <w:rsid w:val="E7BD5FE6"/>
    <w:rsid w:val="E87B75EE"/>
    <w:rsid w:val="E8F3777D"/>
    <w:rsid w:val="E9BF10BB"/>
    <w:rsid w:val="EB60D1A4"/>
    <w:rsid w:val="EB7F224E"/>
    <w:rsid w:val="EBDB9508"/>
    <w:rsid w:val="ED4EC16F"/>
    <w:rsid w:val="ED79B61E"/>
    <w:rsid w:val="EDFDCA62"/>
    <w:rsid w:val="EDFF1167"/>
    <w:rsid w:val="EE7FA117"/>
    <w:rsid w:val="EEDD0956"/>
    <w:rsid w:val="EEFF6976"/>
    <w:rsid w:val="EF73E1FB"/>
    <w:rsid w:val="EF7B1E88"/>
    <w:rsid w:val="EF7DD3AB"/>
    <w:rsid w:val="EF7F163F"/>
    <w:rsid w:val="EFAF60C2"/>
    <w:rsid w:val="EFB70F32"/>
    <w:rsid w:val="F379E740"/>
    <w:rsid w:val="F3EE03B9"/>
    <w:rsid w:val="F3EFB106"/>
    <w:rsid w:val="F5B22B3A"/>
    <w:rsid w:val="F5C7C258"/>
    <w:rsid w:val="F5F764D8"/>
    <w:rsid w:val="F5FA01FF"/>
    <w:rsid w:val="F6BF324E"/>
    <w:rsid w:val="F6F23BA0"/>
    <w:rsid w:val="F6F3BF74"/>
    <w:rsid w:val="F6FF043B"/>
    <w:rsid w:val="F6FF8B67"/>
    <w:rsid w:val="F77BCE91"/>
    <w:rsid w:val="F79A9EAF"/>
    <w:rsid w:val="F7D2D8B3"/>
    <w:rsid w:val="F7D3089B"/>
    <w:rsid w:val="F7FDD044"/>
    <w:rsid w:val="F7FE33CB"/>
    <w:rsid w:val="F8CF5239"/>
    <w:rsid w:val="F9A51466"/>
    <w:rsid w:val="F9B695B9"/>
    <w:rsid w:val="F9BECB40"/>
    <w:rsid w:val="F9BFF6D6"/>
    <w:rsid w:val="F9F70E19"/>
    <w:rsid w:val="F9FF379B"/>
    <w:rsid w:val="FADF3C1C"/>
    <w:rsid w:val="FAE9F9ED"/>
    <w:rsid w:val="FAFADFAC"/>
    <w:rsid w:val="FB7FA775"/>
    <w:rsid w:val="FB7FDC5A"/>
    <w:rsid w:val="FBB37767"/>
    <w:rsid w:val="FBB3F1AB"/>
    <w:rsid w:val="FBD92EAF"/>
    <w:rsid w:val="FBE74D77"/>
    <w:rsid w:val="FBF7B93C"/>
    <w:rsid w:val="FBFBCF2D"/>
    <w:rsid w:val="FBFDB6C9"/>
    <w:rsid w:val="FBFDC151"/>
    <w:rsid w:val="FCFE611F"/>
    <w:rsid w:val="FCFFA031"/>
    <w:rsid w:val="FCFFA634"/>
    <w:rsid w:val="FCFFD0E4"/>
    <w:rsid w:val="FD7101E0"/>
    <w:rsid w:val="FDAF2FD5"/>
    <w:rsid w:val="FDF30BD6"/>
    <w:rsid w:val="FDF599E1"/>
    <w:rsid w:val="FDFF51B5"/>
    <w:rsid w:val="FDFFD6F8"/>
    <w:rsid w:val="FDFFE6B7"/>
    <w:rsid w:val="FEAFCD09"/>
    <w:rsid w:val="FEB6B1BC"/>
    <w:rsid w:val="FEC26B02"/>
    <w:rsid w:val="FEDB6BE5"/>
    <w:rsid w:val="FEDEB825"/>
    <w:rsid w:val="FEFB57D6"/>
    <w:rsid w:val="FEFD3504"/>
    <w:rsid w:val="FEFDD987"/>
    <w:rsid w:val="FF0D165A"/>
    <w:rsid w:val="FF3B4A61"/>
    <w:rsid w:val="FF5295CF"/>
    <w:rsid w:val="FF75A6F2"/>
    <w:rsid w:val="FF77ABDA"/>
    <w:rsid w:val="FF7AB4DE"/>
    <w:rsid w:val="FF7B5C99"/>
    <w:rsid w:val="FF7BFD9A"/>
    <w:rsid w:val="FF7EAF2A"/>
    <w:rsid w:val="FF7F92E7"/>
    <w:rsid w:val="FF8FC4FF"/>
    <w:rsid w:val="FFB5135D"/>
    <w:rsid w:val="FFBEC07C"/>
    <w:rsid w:val="FFBF50F0"/>
    <w:rsid w:val="FFBFAEC3"/>
    <w:rsid w:val="FFCFA392"/>
    <w:rsid w:val="FFD5E541"/>
    <w:rsid w:val="FFDB32A0"/>
    <w:rsid w:val="FFDB34D5"/>
    <w:rsid w:val="FFDB693A"/>
    <w:rsid w:val="FFED2E59"/>
    <w:rsid w:val="FFEFFAA4"/>
    <w:rsid w:val="FFF72185"/>
    <w:rsid w:val="FFFA2AD2"/>
    <w:rsid w:val="FFFB31C2"/>
    <w:rsid w:val="FFFF5D95"/>
    <w:rsid w:val="FFFF8688"/>
    <w:rsid w:val="FFFFE8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Lines="0" w:beforeAutospacing="0" w:afterLines="0" w:afterAutospacing="0" w:line="576" w:lineRule="exact"/>
      <w:jc w:val="center"/>
      <w:outlineLvl w:val="0"/>
    </w:pPr>
    <w:rPr>
      <w:rFonts w:eastAsia="方正小标宋简体" w:asciiTheme="minorAscii" w:hAnsiTheme="minorAscii"/>
      <w:b/>
      <w:kern w:val="44"/>
      <w:sz w:val="4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Body Text First Indent 21"/>
    <w:basedOn w:val="3"/>
    <w:next w:val="1"/>
    <w:qFormat/>
    <w:uiPriority w:val="0"/>
    <w:pPr>
      <w:ind w:firstLine="420"/>
    </w:pPr>
    <w:rPr>
      <w:rFonts w:eastAsia="宋体"/>
    </w:rPr>
  </w:style>
  <w:style w:type="paragraph" w:styleId="3">
    <w:name w:val="Body Text Indent"/>
    <w:basedOn w:val="1"/>
    <w:next w:val="2"/>
    <w:qFormat/>
    <w:uiPriority w:val="0"/>
    <w:pPr>
      <w:ind w:firstLine="200" w:firstLineChars="200"/>
    </w:pPr>
    <w:rPr>
      <w:rFonts w:ascii="华文细黑" w:eastAsia="华文细黑"/>
      <w:b/>
      <w:sz w:val="32"/>
    </w:rPr>
  </w:style>
  <w:style w:type="paragraph" w:styleId="5">
    <w:name w:val="Body Text"/>
    <w:basedOn w:val="1"/>
    <w:next w:val="1"/>
    <w:qFormat/>
    <w:uiPriority w:val="99"/>
    <w:pPr>
      <w:spacing w:beforeLines="30"/>
    </w:pPr>
    <w:rPr>
      <w:rFonts w:ascii="仿宋_GB2312" w:eastAsia="仿宋_GB2312"/>
      <w:kern w:val="0"/>
      <w:sz w:val="24"/>
      <w:szCs w:val="20"/>
    </w:rPr>
  </w:style>
  <w:style w:type="paragraph" w:styleId="6">
    <w:name w:val="footer"/>
    <w:qFormat/>
    <w:uiPriority w:val="0"/>
    <w:pPr>
      <w:widowControl w:val="0"/>
      <w:tabs>
        <w:tab w:val="center" w:pos="4153"/>
        <w:tab w:val="right" w:pos="8306"/>
      </w:tabs>
      <w:snapToGrid w:val="0"/>
      <w:spacing w:line="560" w:lineRule="exact"/>
      <w:ind w:firstLine="200" w:firstLineChars="200"/>
      <w:jc w:val="left"/>
    </w:pPr>
    <w:rPr>
      <w:rFonts w:ascii="Calibri" w:hAnsi="Calibri" w:eastAsia="仿宋_GB2312" w:cs="Times New Roman"/>
      <w:kern w:val="2"/>
      <w:sz w:val="18"/>
      <w:szCs w:val="24"/>
      <w:lang w:val="en-US" w:eastAsia="zh-CN"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2"/>
    <w:qFormat/>
    <w:uiPriority w:val="0"/>
    <w:pPr>
      <w:widowControl/>
      <w:spacing w:after="0" w:line="540" w:lineRule="exact"/>
      <w:ind w:left="0" w:firstLine="200" w:firstLineChars="200"/>
      <w:jc w:val="both"/>
      <w:textAlignment w:val="baseline"/>
    </w:pPr>
    <w:rPr>
      <w:rFonts w:ascii="Calibri" w:hAnsi="Calibri" w:eastAsia="仿宋_GB2312" w:cs="Times New Roman"/>
      <w:color w:val="000000"/>
      <w:kern w:val="0"/>
      <w:sz w:val="32"/>
      <w:szCs w:val="20"/>
      <w:lang w:val="en-US" w:eastAsia="zh-CN" w:bidi="ar-SA"/>
    </w:rPr>
  </w:style>
  <w:style w:type="character" w:styleId="13">
    <w:name w:val="Strong"/>
    <w:basedOn w:val="12"/>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2021-06-02T18:11:00Z</dcterms:created>
  <dc:creator>大空翼</dc:creator>
  <cp:lastModifiedBy>user</cp:lastModifiedBy>
  <cp:lastPrinted>2023-09-22T17:28:00Z</cp:lastPrinted>
  <dcterms:modified xsi:type="dcterms:W3CDTF">2023-09-25T17:23:24Z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ICV">
    <vt:lpwstr>6BC0DC726410087AAF81BB635E73786F</vt:lpwstr>
  </property>
</Properties>
</file>