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eastAsia="zh-CN"/>
        </w:rPr>
        <w:t>阿坝州公务服务中心</w:t>
      </w:r>
    </w:p>
    <w:p>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val="en-US" w:eastAsia="zh-CN"/>
        </w:rPr>
        <w:t>2023年部门预算公开</w:t>
      </w:r>
    </w:p>
    <w:p>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textAlignment w:val="auto"/>
        <w:rPr>
          <w:rFonts w:hint="eastAsia" w:ascii="方正小标宋_GBK" w:hAnsi="方正小标宋_GBK" w:eastAsia="方正小标宋_GBK" w:cs="方正小标宋_GBK"/>
          <w:b w:val="0"/>
          <w:w w:val="88"/>
          <w:lang w:eastAsia="zh-CN"/>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pStyle w:val="8"/>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目 </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pStyle w:val="7"/>
        <w:rPr>
          <w:rFonts w:hint="eastAsia"/>
        </w:rPr>
      </w:pP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年重点工作</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二、部门预算单位构成</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四、财政拨款收支预算情况说明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六、一般公共预算基本支出情况说明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七、“三公”经费财政拨款预算安排情况说明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八、政府性基金预算支出情况说明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九、国有资本经营预算支出情况说明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十、其他重要事项的情况说明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十一、名称解释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一、基本职能及主要工作</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（一）阿坝州公务服务中心简介</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我中心主要职能为贯彻落实党中央关于公务服务工作的方针政策和省委、州委的决策部署，在履行职责过程中坚持和加强党对公务服务工作的集中统一领导。负责重大公务活动的服务保障工作，承担州委、州政府交办的外事接待、招商引资、大型会议、活动的服务保障工作和州委、州政府交办的其他任务</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eastAsia="zh-CN"/>
        </w:rPr>
        <w:t>（二）</w:t>
      </w:r>
      <w:r>
        <w:rPr>
          <w:rFonts w:hint="eastAsia" w:ascii="Times New Roman" w:hAnsi="Times New Roman" w:eastAsia="方正楷体_GBK" w:cs="Times New Roman"/>
          <w:b/>
          <w:bCs/>
          <w:sz w:val="32"/>
          <w:szCs w:val="32"/>
          <w:lang w:val="en-US" w:eastAsia="zh-CN"/>
        </w:rPr>
        <w:t>阿坝州公务服务中心2023年重点工作。</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2023年</w:t>
      </w:r>
      <w:r>
        <w:rPr>
          <w:rFonts w:hint="eastAsia" w:ascii="Times New Roman" w:hAnsi="Times New Roman" w:eastAsia="方正仿宋_GBK" w:cs="Times New Roman"/>
          <w:sz w:val="32"/>
          <w:szCs w:val="32"/>
          <w:lang w:val="en-US" w:eastAsia="zh-CN"/>
        </w:rPr>
        <w:t>，州公务服务中心将始终坚持以习近平新时代中国特色社会主义思想为指引，把学习贯彻党的二十大精神作为当前和今后一段时期的重要政治任务，</w:t>
      </w:r>
      <w:r>
        <w:rPr>
          <w:rFonts w:hint="default" w:ascii="Times New Roman" w:hAnsi="Times New Roman" w:eastAsia="方正仿宋_GBK" w:cs="Times New Roman"/>
          <w:sz w:val="32"/>
          <w:szCs w:val="32"/>
          <w:lang w:val="en-US" w:eastAsia="zh-CN"/>
        </w:rPr>
        <w:t>牢固树立全州“一盘棋”思想，</w:t>
      </w:r>
      <w:r>
        <w:rPr>
          <w:rFonts w:hint="eastAsia" w:ascii="Times New Roman" w:hAnsi="Times New Roman" w:eastAsia="方正仿宋_GBK" w:cs="Times New Roman"/>
          <w:sz w:val="32"/>
          <w:szCs w:val="32"/>
          <w:lang w:val="en-US" w:eastAsia="zh-CN"/>
        </w:rPr>
        <w:t>努力开创</w:t>
      </w:r>
      <w:r>
        <w:rPr>
          <w:rFonts w:hint="default" w:ascii="Times New Roman" w:hAnsi="Times New Roman" w:eastAsia="方正仿宋_GBK" w:cs="Times New Roman"/>
          <w:sz w:val="32"/>
          <w:szCs w:val="32"/>
          <w:lang w:val="en-US" w:eastAsia="zh-CN"/>
        </w:rPr>
        <w:t>为一域增光、为全局添彩新局面，推</w:t>
      </w:r>
      <w:r>
        <w:rPr>
          <w:rFonts w:hint="eastAsia" w:ascii="Times New Roman" w:hAnsi="Times New Roman" w:eastAsia="方正仿宋_GBK" w:cs="Times New Roman"/>
          <w:sz w:val="32"/>
          <w:szCs w:val="32"/>
          <w:lang w:val="en-US" w:eastAsia="zh-CN"/>
        </w:rPr>
        <w:t>动全州</w:t>
      </w:r>
      <w:r>
        <w:rPr>
          <w:rFonts w:hint="default" w:ascii="Times New Roman" w:hAnsi="Times New Roman" w:eastAsia="方正仿宋_GBK" w:cs="Times New Roman"/>
          <w:sz w:val="32"/>
          <w:szCs w:val="32"/>
          <w:lang w:val="en-US" w:eastAsia="zh-CN"/>
        </w:rPr>
        <w:t>公务服务工作再上新台阶。</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1.</w:t>
      </w:r>
      <w:r>
        <w:rPr>
          <w:rFonts w:hint="default" w:ascii="Times New Roman" w:hAnsi="Times New Roman" w:eastAsia="方正楷体_GBK" w:cs="Times New Roman"/>
          <w:b/>
          <w:bCs/>
          <w:sz w:val="32"/>
          <w:szCs w:val="32"/>
          <w:lang w:val="en-US" w:eastAsia="zh-CN"/>
        </w:rPr>
        <w:t>始终把党的政治建设摆在首位，坚持不懈深化理论武装。</w:t>
      </w:r>
      <w:r>
        <w:rPr>
          <w:rFonts w:hint="eastAsia" w:ascii="Times New Roman" w:hAnsi="Times New Roman" w:eastAsia="方正仿宋_GBK" w:cs="Times New Roman"/>
          <w:sz w:val="32"/>
          <w:szCs w:val="32"/>
          <w:lang w:val="en-US" w:eastAsia="zh-CN"/>
        </w:rPr>
        <w:t>深刻领悟“两个确立”的决定性意义，</w:t>
      </w:r>
      <w:r>
        <w:rPr>
          <w:rFonts w:hint="default" w:ascii="Times New Roman" w:hAnsi="Times New Roman" w:eastAsia="方正仿宋_GBK" w:cs="Times New Roman"/>
          <w:sz w:val="32"/>
          <w:szCs w:val="32"/>
          <w:lang w:val="en-US" w:eastAsia="zh-CN"/>
        </w:rPr>
        <w:t>切实增强“四个意识”，坚定“四个自信”，做到“两个维护”，推动党员干部不断提高政治判断力、政治领悟力、政治执行力。持续开展党史学习教育，组织党员深入学习贯彻党的二十大精神和习近平总书记来川视察重要指示精神。充分发挥理论中心组、“三会一课”、主题党日示范带动作用，抓好</w:t>
      </w:r>
      <w:r>
        <w:rPr>
          <w:rFonts w:hint="eastAsia" w:ascii="Times New Roman" w:hAnsi="Times New Roman" w:eastAsia="方正仿宋_GBK" w:cs="Times New Roman"/>
          <w:sz w:val="32"/>
          <w:szCs w:val="32"/>
          <w:lang w:val="en-US" w:eastAsia="zh-CN"/>
        </w:rPr>
        <w:t>政治</w:t>
      </w:r>
      <w:r>
        <w:rPr>
          <w:rFonts w:hint="default" w:ascii="Times New Roman" w:hAnsi="Times New Roman" w:eastAsia="方正仿宋_GBK" w:cs="Times New Roman"/>
          <w:sz w:val="32"/>
          <w:szCs w:val="32"/>
          <w:lang w:val="en-US" w:eastAsia="zh-CN"/>
        </w:rPr>
        <w:t>理论学习提升。</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2.</w:t>
      </w:r>
      <w:r>
        <w:rPr>
          <w:rFonts w:hint="default" w:ascii="Times New Roman" w:hAnsi="Times New Roman" w:eastAsia="方正楷体_GBK" w:cs="Times New Roman"/>
          <w:b/>
          <w:bCs/>
          <w:sz w:val="32"/>
          <w:szCs w:val="32"/>
          <w:lang w:val="en-US" w:eastAsia="zh-CN"/>
        </w:rPr>
        <w:t>纵深推进公务服务工作转型升级。</w:t>
      </w:r>
      <w:r>
        <w:rPr>
          <w:rFonts w:hint="default" w:ascii="Times New Roman" w:hAnsi="Times New Roman" w:eastAsia="方正仿宋_GBK" w:cs="Times New Roman"/>
          <w:sz w:val="32"/>
          <w:szCs w:val="32"/>
          <w:lang w:val="en-US" w:eastAsia="zh-CN"/>
        </w:rPr>
        <w:t>按照既定的“1234”工作布局，持续深化“公务接待由事务向政务转型</w:t>
      </w:r>
      <w:r>
        <w:rPr>
          <w:rFonts w:hint="eastAsia" w:ascii="Times New Roman" w:hAnsi="Times New Roman" w:eastAsia="方正仿宋_GBK" w:cs="Times New Roman"/>
          <w:sz w:val="32"/>
          <w:szCs w:val="32"/>
          <w:lang w:val="en-US" w:eastAsia="zh-CN"/>
        </w:rPr>
        <w:t>升级</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更加优质高效完成好各项政务接待任务，</w:t>
      </w:r>
      <w:r>
        <w:rPr>
          <w:rFonts w:hint="default" w:ascii="Times New Roman" w:hAnsi="Times New Roman" w:eastAsia="方正仿宋_GBK" w:cs="Times New Roman"/>
          <w:sz w:val="32"/>
          <w:szCs w:val="32"/>
          <w:lang w:val="en-US" w:eastAsia="zh-CN"/>
        </w:rPr>
        <w:t>使公务服务部门真正成为讲好阿坝故事、传递阿坝声音、树立阿坝形象的重要窗口</w:t>
      </w:r>
      <w:r>
        <w:rPr>
          <w:rFonts w:hint="eastAsia" w:ascii="Times New Roman" w:hAnsi="Times New Roman" w:eastAsia="方正仿宋_GBK" w:cs="Times New Roman"/>
          <w:sz w:val="32"/>
          <w:szCs w:val="32"/>
          <w:lang w:val="en-US" w:eastAsia="zh-CN"/>
        </w:rPr>
        <w:t>。特别是要坚持“一切服从州庆、一切服务州庆”的大局观，运用好承办2021年全省文化和旅游发展大会后勤保障成功经验，全力以赴抓实</w:t>
      </w:r>
      <w:r>
        <w:rPr>
          <w:rFonts w:hint="default" w:ascii="Times New Roman" w:hAnsi="Times New Roman" w:eastAsia="方正仿宋_GBK" w:cs="Times New Roman"/>
          <w:sz w:val="32"/>
          <w:szCs w:val="32"/>
          <w:lang w:val="en-US" w:eastAsia="zh-CN"/>
        </w:rPr>
        <w:t>建州70周年</w:t>
      </w:r>
      <w:r>
        <w:rPr>
          <w:rFonts w:hint="eastAsia" w:ascii="Times New Roman" w:hAnsi="Times New Roman" w:eastAsia="方正仿宋_GBK" w:cs="Times New Roman"/>
          <w:sz w:val="32"/>
          <w:szCs w:val="32"/>
          <w:lang w:val="en-US" w:eastAsia="zh-CN"/>
        </w:rPr>
        <w:t>后勤保障任务</w:t>
      </w:r>
      <w:r>
        <w:rPr>
          <w:rFonts w:hint="default" w:ascii="Times New Roman" w:hAnsi="Times New Roman" w:eastAsia="方正仿宋_GBK" w:cs="Times New Roman"/>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3.</w:t>
      </w:r>
      <w:r>
        <w:rPr>
          <w:rFonts w:hint="default" w:ascii="Times New Roman" w:hAnsi="Times New Roman" w:eastAsia="方正楷体_GBK" w:cs="Times New Roman"/>
          <w:b/>
          <w:bCs/>
          <w:sz w:val="32"/>
          <w:szCs w:val="32"/>
          <w:lang w:val="en-US" w:eastAsia="zh-CN"/>
        </w:rPr>
        <w:t>持续深化“两联一进”群众工作。</w:t>
      </w:r>
      <w:r>
        <w:rPr>
          <w:rFonts w:hint="default" w:ascii="Times New Roman" w:hAnsi="Times New Roman" w:eastAsia="方正仿宋_GBK" w:cs="Times New Roman"/>
          <w:sz w:val="32"/>
          <w:szCs w:val="32"/>
          <w:lang w:val="en-US" w:eastAsia="zh-CN"/>
        </w:rPr>
        <w:t>通过开展走访入户，将党的二十大精神和习近平总书记来川视察重要指示精神及中央、省、州的决策部署带到田间地头。</w:t>
      </w:r>
      <w:r>
        <w:rPr>
          <w:rFonts w:hint="default" w:ascii="Times New Roman" w:hAnsi="Times New Roman" w:eastAsia="仿宋" w:cs="Times New Roman"/>
          <w:b w:val="0"/>
          <w:i w:val="0"/>
          <w:caps w:val="0"/>
          <w:color w:val="000000"/>
          <w:spacing w:val="0"/>
          <w:kern w:val="0"/>
          <w:sz w:val="32"/>
          <w:szCs w:val="32"/>
          <w:u w:val="none"/>
          <w:lang w:val="en-US" w:eastAsia="zh-CN" w:bidi="ar"/>
        </w:rPr>
        <w:t>围绕</w:t>
      </w:r>
      <w:r>
        <w:rPr>
          <w:rFonts w:hint="default" w:ascii="Times New Roman" w:hAnsi="Times New Roman" w:eastAsia="仿宋" w:cs="Times New Roman"/>
          <w:b w:val="0"/>
          <w:i w:val="0"/>
          <w:caps w:val="0"/>
          <w:color w:val="000000"/>
          <w:spacing w:val="0"/>
          <w:kern w:val="0"/>
          <w:sz w:val="32"/>
          <w:szCs w:val="32"/>
          <w:u w:val="none"/>
          <w:lang w:val="en-US" w:eastAsia="zh-Hans" w:bidi="ar"/>
        </w:rPr>
        <w:t>松潘县打造西山公园</w:t>
      </w:r>
      <w:r>
        <w:rPr>
          <w:rFonts w:hint="default" w:ascii="Times New Roman" w:hAnsi="Times New Roman" w:eastAsia="仿宋" w:cs="Times New Roman"/>
          <w:b w:val="0"/>
          <w:i w:val="0"/>
          <w:caps w:val="0"/>
          <w:color w:val="000000"/>
          <w:spacing w:val="0"/>
          <w:kern w:val="0"/>
          <w:sz w:val="32"/>
          <w:szCs w:val="32"/>
          <w:u w:val="none"/>
          <w:lang w:val="en-US" w:eastAsia="zh-CN" w:bidi="ar"/>
        </w:rPr>
        <w:t>发展目标任务，</w:t>
      </w:r>
      <w:r>
        <w:rPr>
          <w:rFonts w:hint="default" w:ascii="Times New Roman" w:hAnsi="Times New Roman" w:eastAsia="方正仿宋_GBK" w:cs="Times New Roman"/>
          <w:sz w:val="32"/>
          <w:szCs w:val="32"/>
          <w:lang w:val="en-US" w:eastAsia="zh-CN"/>
        </w:rPr>
        <w:t>持续解决联系村、困难群众的当务之急和现实之需，为</w:t>
      </w:r>
      <w:r>
        <w:rPr>
          <w:rFonts w:hint="eastAsia" w:ascii="Times New Roman" w:hAnsi="Times New Roman" w:eastAsia="方正仿宋_GBK" w:cs="Times New Roman"/>
          <w:sz w:val="32"/>
          <w:szCs w:val="32"/>
          <w:lang w:val="en-US" w:eastAsia="zh-CN"/>
        </w:rPr>
        <w:t>巩固脱贫攻坚成果，助力</w:t>
      </w:r>
      <w:r>
        <w:rPr>
          <w:rFonts w:hint="default" w:ascii="Times New Roman" w:hAnsi="Times New Roman" w:eastAsia="方正仿宋_GBK" w:cs="Times New Roman"/>
          <w:sz w:val="32"/>
          <w:szCs w:val="32"/>
          <w:lang w:val="en-US" w:eastAsia="zh-CN"/>
        </w:rPr>
        <w:t>乡村振兴贡献公务服务力量。</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4.</w:t>
      </w:r>
      <w:r>
        <w:rPr>
          <w:rFonts w:hint="default" w:ascii="Times New Roman" w:hAnsi="Times New Roman" w:eastAsia="方正楷体_GBK" w:cs="Times New Roman"/>
          <w:b/>
          <w:bCs/>
          <w:sz w:val="32"/>
          <w:szCs w:val="32"/>
          <w:lang w:val="en-US" w:eastAsia="zh-CN"/>
        </w:rPr>
        <w:t>不断加强党风廉政建设。</w:t>
      </w:r>
      <w:r>
        <w:rPr>
          <w:rFonts w:hint="default" w:ascii="Times New Roman" w:hAnsi="Times New Roman" w:eastAsia="方正仿宋_GBK" w:cs="Times New Roman"/>
          <w:sz w:val="32"/>
          <w:szCs w:val="32"/>
          <w:lang w:val="en-US" w:eastAsia="zh-CN"/>
        </w:rPr>
        <w:t>坚定不移持续推进全面从严治党，坚持以严的基调强化正风肃纪，锲而不舍落实中央八项规定精神</w:t>
      </w:r>
      <w:r>
        <w:rPr>
          <w:rFonts w:hint="eastAsia" w:ascii="Times New Roman" w:hAnsi="Times New Roman" w:eastAsia="方正仿宋_GBK" w:cs="Times New Roman"/>
          <w:sz w:val="32"/>
          <w:szCs w:val="32"/>
          <w:lang w:val="en-US" w:eastAsia="zh-CN"/>
        </w:rPr>
        <w:t>、省委省政府十项规定、州委州政府八条意见</w:t>
      </w:r>
      <w:r>
        <w:rPr>
          <w:rFonts w:hint="default" w:ascii="Times New Roman" w:hAnsi="Times New Roman" w:eastAsia="方正仿宋_GBK" w:cs="Times New Roman"/>
          <w:sz w:val="32"/>
          <w:szCs w:val="32"/>
          <w:lang w:val="en-US" w:eastAsia="zh-CN"/>
        </w:rPr>
        <w:t>，持之以恒纠治“四风”，推动党风廉政建设和反腐败工作取得新成效。</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二、部门预算单位构成</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阿坝州公务服务中心一级预算单位，下属二级预算单位0个，其中：其他事业单位0个。</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sz w:val="32"/>
          <w:szCs w:val="32"/>
          <w:lang w:val="en-US" w:eastAsia="zh-CN"/>
        </w:rPr>
        <w:t>按照综合预算的原则，阿坝州公务服务中心单位所有收入和支出均纳入部门预算管理。收入包括：一般公共预算拨款收入793.8万元，无事业收入，无其他收入，无上年结转；支出包括：一般公共服务支出707.86万元，社会保障和就业</w:t>
      </w:r>
      <w:r>
        <w:rPr>
          <w:rFonts w:hint="eastAsia" w:ascii="Times New Roman" w:hAnsi="Times New Roman" w:eastAsia="方正仿宋_GBK" w:cs="Times New Roman"/>
          <w:color w:val="auto"/>
          <w:sz w:val="32"/>
          <w:szCs w:val="32"/>
          <w:highlight w:val="none"/>
          <w:lang w:val="en-US" w:eastAsia="zh-CN"/>
        </w:rPr>
        <w:t>支出46.47万元，卫生健康支出16.8万元，住房保障支出22.67万元。</w:t>
      </w:r>
      <w:r>
        <w:rPr>
          <w:rFonts w:hint="default" w:ascii="Times New Roman" w:hAnsi="Times New Roman" w:eastAsia="方正仿宋_GBK" w:cs="Times New Roman"/>
          <w:color w:val="auto"/>
          <w:sz w:val="32"/>
          <w:szCs w:val="32"/>
          <w:highlight w:val="none"/>
          <w:lang w:eastAsia="zh-CN"/>
        </w:rPr>
        <w:t>本单位2023年收支总预算793.8万元，比2022年收支预算总数减少108.77万元，其主要原因是财政要求在2022年特定目标类批复数上压减30%。</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eastAsia="zh-CN"/>
        </w:rPr>
        <w:t>（一）收入预算情况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阿坝州公务服务中心2023年收入预算793.8万元，其中：无上年结转；一般公共预算拨款收入793.8万元，占100%；无事业收入；无其他收入。</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（二）支出预算情况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阿坝州公务服务中心2023年支出预算793.8万元，其中：基本支出382.9万元，占48%；项目支出410.9万元，占52%。</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四、财政拨款收支预算情况说明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阿坝州公务服务中心2023年财政拨款收支总预算793.8万元。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支出包括：一般公共服务支出707.86万元，社会保障和就业支出46.47万元，卫生健康支出16.8万元，住房保障支出22.67万元。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五、一般公共预算当年拨款情况说明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阿坝州公务服务中心</w:t>
      </w: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一般公共预算当年拨款</w:t>
      </w:r>
      <w:r>
        <w:rPr>
          <w:rFonts w:hint="eastAsia" w:ascii="Times New Roman" w:hAnsi="Times New Roman" w:eastAsia="方正仿宋_GBK" w:cs="Times New Roman"/>
          <w:color w:val="auto"/>
          <w:sz w:val="32"/>
          <w:szCs w:val="32"/>
          <w:highlight w:val="none"/>
          <w:lang w:val="en-US" w:eastAsia="zh-CN"/>
        </w:rPr>
        <w:t>793.8</w:t>
      </w:r>
      <w:r>
        <w:rPr>
          <w:rFonts w:hint="eastAsia" w:ascii="仿宋_GB2312" w:hAnsi="仿宋_GB2312" w:eastAsia="仿宋_GB2312" w:cs="仿宋_GB2312"/>
          <w:sz w:val="32"/>
          <w:szCs w:val="32"/>
        </w:rPr>
        <w:t>万元</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与2022年相比预算数减少108.77万元，其主要原因是财政要求在2022年特定目标类批复数上压减30%。</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（二）一般公共预算当年拨款结构情况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一般公共服务支出</w:t>
      </w:r>
      <w:r>
        <w:rPr>
          <w:rFonts w:hint="default" w:ascii="Times New Roman" w:hAnsi="Times New Roman" w:eastAsia="方正仿宋_GBK" w:cs="Times New Roman"/>
          <w:color w:val="auto"/>
          <w:sz w:val="32"/>
          <w:szCs w:val="32"/>
          <w:highlight w:val="none"/>
          <w:lang w:val="en-US" w:eastAsia="zh-CN"/>
        </w:rPr>
        <w:t>707.86</w:t>
      </w:r>
      <w:r>
        <w:rPr>
          <w:rFonts w:hint="eastAsia" w:ascii="Times New Roman" w:hAnsi="Times New Roman" w:eastAsia="方正仿宋_GBK" w:cs="Times New Roman"/>
          <w:color w:val="auto"/>
          <w:sz w:val="32"/>
          <w:szCs w:val="32"/>
          <w:highlight w:val="none"/>
          <w:lang w:val="en-US" w:eastAsia="zh-CN"/>
        </w:rPr>
        <w:t>万元，占</w:t>
      </w:r>
      <w:r>
        <w:rPr>
          <w:rFonts w:hint="default" w:ascii="Times New Roman" w:hAnsi="Times New Roman" w:eastAsia="方正仿宋_GBK" w:cs="Times New Roman"/>
          <w:color w:val="auto"/>
          <w:sz w:val="32"/>
          <w:szCs w:val="32"/>
          <w:highlight w:val="none"/>
          <w:lang w:val="en-US" w:eastAsia="zh-CN"/>
        </w:rPr>
        <w:t>89</w:t>
      </w:r>
      <w:r>
        <w:rPr>
          <w:rFonts w:hint="eastAsia" w:ascii="Times New Roman" w:hAnsi="Times New Roman" w:eastAsia="方正仿宋_GBK" w:cs="Times New Roman"/>
          <w:color w:val="auto"/>
          <w:sz w:val="32"/>
          <w:szCs w:val="32"/>
          <w:highlight w:val="none"/>
          <w:lang w:val="en-US" w:eastAsia="zh-CN"/>
        </w:rPr>
        <w:t>%；社会保障和就业支出</w:t>
      </w:r>
      <w:r>
        <w:rPr>
          <w:rFonts w:hint="default" w:ascii="Times New Roman" w:hAnsi="Times New Roman" w:eastAsia="方正仿宋_GBK" w:cs="Times New Roman"/>
          <w:color w:val="auto"/>
          <w:sz w:val="32"/>
          <w:szCs w:val="32"/>
          <w:highlight w:val="none"/>
          <w:lang w:val="en-US" w:eastAsia="zh-CN"/>
        </w:rPr>
        <w:t>46.47</w:t>
      </w:r>
      <w:r>
        <w:rPr>
          <w:rFonts w:hint="eastAsia" w:ascii="Times New Roman" w:hAnsi="Times New Roman" w:eastAsia="方正仿宋_GBK" w:cs="Times New Roman"/>
          <w:color w:val="auto"/>
          <w:sz w:val="32"/>
          <w:szCs w:val="32"/>
          <w:highlight w:val="none"/>
          <w:lang w:val="en-US" w:eastAsia="zh-CN"/>
        </w:rPr>
        <w:t>万元，占</w:t>
      </w:r>
      <w:r>
        <w:rPr>
          <w:rFonts w:hint="default" w:ascii="Times New Roman" w:hAnsi="Times New Roman" w:eastAsia="方正仿宋_GBK" w:cs="Times New Roman"/>
          <w:color w:val="auto"/>
          <w:sz w:val="32"/>
          <w:szCs w:val="32"/>
          <w:highlight w:val="none"/>
          <w:lang w:val="en-US" w:eastAsia="zh-CN"/>
        </w:rPr>
        <w:t>6</w:t>
      </w:r>
      <w:r>
        <w:rPr>
          <w:rFonts w:hint="eastAsia" w:ascii="Times New Roman" w:hAnsi="Times New Roman" w:eastAsia="方正仿宋_GBK" w:cs="Times New Roman"/>
          <w:color w:val="auto"/>
          <w:sz w:val="32"/>
          <w:szCs w:val="32"/>
          <w:highlight w:val="none"/>
          <w:lang w:val="en-US" w:eastAsia="zh-CN"/>
        </w:rPr>
        <w:t>%；卫生健康支出</w:t>
      </w:r>
      <w:r>
        <w:rPr>
          <w:rFonts w:hint="default" w:ascii="Times New Roman" w:hAnsi="Times New Roman" w:eastAsia="方正仿宋_GBK" w:cs="Times New Roman"/>
          <w:color w:val="auto"/>
          <w:sz w:val="32"/>
          <w:szCs w:val="32"/>
          <w:highlight w:val="none"/>
          <w:lang w:val="en-US" w:eastAsia="zh-CN"/>
        </w:rPr>
        <w:t>16.8</w:t>
      </w:r>
      <w:r>
        <w:rPr>
          <w:rFonts w:hint="eastAsia" w:ascii="Times New Roman" w:hAnsi="Times New Roman" w:eastAsia="方正仿宋_GBK" w:cs="Times New Roman"/>
          <w:color w:val="auto"/>
          <w:sz w:val="32"/>
          <w:szCs w:val="32"/>
          <w:highlight w:val="none"/>
          <w:lang w:val="en-US" w:eastAsia="zh-CN"/>
        </w:rPr>
        <w:t>万元，占</w:t>
      </w:r>
      <w:r>
        <w:rPr>
          <w:rFonts w:hint="default" w:ascii="Times New Roman" w:hAnsi="Times New Roman" w:eastAsia="方正仿宋_GBK" w:cs="Times New Roman"/>
          <w:color w:val="auto"/>
          <w:sz w:val="32"/>
          <w:szCs w:val="32"/>
          <w:highlight w:val="none"/>
          <w:lang w:val="en-US" w:eastAsia="zh-CN"/>
        </w:rPr>
        <w:t>2</w:t>
      </w:r>
      <w:r>
        <w:rPr>
          <w:rFonts w:hint="eastAsia" w:ascii="Times New Roman" w:hAnsi="Times New Roman" w:eastAsia="方正仿宋_GBK" w:cs="Times New Roman"/>
          <w:color w:val="auto"/>
          <w:sz w:val="32"/>
          <w:szCs w:val="32"/>
          <w:highlight w:val="none"/>
          <w:lang w:val="en-US" w:eastAsia="zh-CN"/>
        </w:rPr>
        <w:t>%；住房保障支出</w:t>
      </w:r>
      <w:r>
        <w:rPr>
          <w:rFonts w:hint="default" w:ascii="Times New Roman" w:hAnsi="Times New Roman" w:eastAsia="方正仿宋_GBK" w:cs="Times New Roman"/>
          <w:color w:val="auto"/>
          <w:sz w:val="32"/>
          <w:szCs w:val="32"/>
          <w:highlight w:val="none"/>
          <w:lang w:val="en-US" w:eastAsia="zh-CN"/>
        </w:rPr>
        <w:t>22.67</w:t>
      </w:r>
      <w:r>
        <w:rPr>
          <w:rFonts w:hint="eastAsia" w:ascii="Times New Roman" w:hAnsi="Times New Roman" w:eastAsia="方正仿宋_GBK" w:cs="Times New Roman"/>
          <w:color w:val="auto"/>
          <w:sz w:val="32"/>
          <w:szCs w:val="32"/>
          <w:highlight w:val="none"/>
          <w:lang w:val="en-US" w:eastAsia="zh-CN"/>
        </w:rPr>
        <w:t>万元，占</w:t>
      </w:r>
      <w:r>
        <w:rPr>
          <w:rFonts w:hint="default" w:ascii="Times New Roman" w:hAnsi="Times New Roman" w:eastAsia="方正仿宋_GBK" w:cs="Times New Roman"/>
          <w:color w:val="auto"/>
          <w:sz w:val="32"/>
          <w:szCs w:val="32"/>
          <w:highlight w:val="none"/>
          <w:lang w:val="en-US" w:eastAsia="zh-CN"/>
        </w:rPr>
        <w:t>3</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（三）一般公共预算当年拨款具体使用情况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1．一般公共服务支出</w:t>
      </w:r>
      <w:r>
        <w:rPr>
          <w:rFonts w:hint="default" w:ascii="Times New Roman" w:hAnsi="Times New Roman" w:eastAsia="方正仿宋_GBK" w:cs="Times New Roman"/>
          <w:color w:val="auto"/>
          <w:sz w:val="32"/>
          <w:szCs w:val="32"/>
          <w:highlight w:val="none"/>
          <w:lang w:val="en-US" w:eastAsia="zh-CN"/>
        </w:rPr>
        <w:t>707.86</w:t>
      </w:r>
      <w:r>
        <w:rPr>
          <w:rFonts w:hint="eastAsia" w:ascii="Times New Roman" w:hAnsi="Times New Roman" w:eastAsia="方正仿宋_GBK" w:cs="Times New Roman"/>
          <w:color w:val="auto"/>
          <w:sz w:val="32"/>
          <w:szCs w:val="32"/>
          <w:highlight w:val="none"/>
          <w:lang w:val="en-US" w:eastAsia="zh-CN"/>
        </w:rPr>
        <w:t>万元。主要用于</w:t>
      </w:r>
      <w:r>
        <w:rPr>
          <w:rFonts w:hint="default" w:ascii="Times New Roman" w:hAnsi="Times New Roman" w:eastAsia="方正仿宋_GBK" w:cs="Times New Roman"/>
          <w:color w:val="auto"/>
          <w:sz w:val="32"/>
          <w:szCs w:val="32"/>
          <w:highlight w:val="none"/>
          <w:lang w:val="en-US" w:eastAsia="zh-CN"/>
        </w:rPr>
        <w:t>中心</w:t>
      </w:r>
      <w:r>
        <w:rPr>
          <w:rFonts w:hint="eastAsia" w:ascii="Times New Roman" w:hAnsi="Times New Roman" w:eastAsia="方正仿宋_GBK" w:cs="Times New Roman"/>
          <w:color w:val="auto"/>
          <w:sz w:val="32"/>
          <w:szCs w:val="32"/>
          <w:highlight w:val="none"/>
          <w:lang w:val="en-US" w:eastAsia="zh-CN"/>
        </w:rPr>
        <w:t>日常工作开展。</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2．社会保障和就业支出</w:t>
      </w:r>
      <w:r>
        <w:rPr>
          <w:rFonts w:hint="default" w:ascii="Times New Roman" w:hAnsi="Times New Roman" w:eastAsia="方正仿宋_GBK" w:cs="Times New Roman"/>
          <w:color w:val="auto"/>
          <w:sz w:val="32"/>
          <w:szCs w:val="32"/>
          <w:highlight w:val="none"/>
          <w:lang w:val="en-US" w:eastAsia="zh-CN"/>
        </w:rPr>
        <w:t>46.47</w:t>
      </w:r>
      <w:r>
        <w:rPr>
          <w:rFonts w:hint="eastAsia" w:ascii="Times New Roman" w:hAnsi="Times New Roman" w:eastAsia="方正仿宋_GBK" w:cs="Times New Roman"/>
          <w:color w:val="auto"/>
          <w:sz w:val="32"/>
          <w:szCs w:val="32"/>
          <w:highlight w:val="none"/>
          <w:lang w:val="en-US" w:eastAsia="zh-CN"/>
        </w:rPr>
        <w:t>万元。主要用于养老、职业年金保险。</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3．卫生健康支出</w:t>
      </w:r>
      <w:r>
        <w:rPr>
          <w:rFonts w:hint="default" w:ascii="Times New Roman" w:hAnsi="Times New Roman" w:eastAsia="方正仿宋_GBK" w:cs="Times New Roman"/>
          <w:color w:val="auto"/>
          <w:sz w:val="32"/>
          <w:szCs w:val="32"/>
          <w:highlight w:val="none"/>
          <w:lang w:val="en-US" w:eastAsia="zh-CN"/>
        </w:rPr>
        <w:t>16.8</w:t>
      </w:r>
      <w:r>
        <w:rPr>
          <w:rFonts w:hint="eastAsia" w:ascii="Times New Roman" w:hAnsi="Times New Roman" w:eastAsia="方正仿宋_GBK" w:cs="Times New Roman"/>
          <w:color w:val="auto"/>
          <w:sz w:val="32"/>
          <w:szCs w:val="32"/>
          <w:highlight w:val="none"/>
          <w:lang w:val="en-US" w:eastAsia="zh-CN"/>
        </w:rPr>
        <w:t>万元。主要用于职工行政单位医疗及行政单位医疗补助。</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4．住房保障支出</w:t>
      </w:r>
      <w:r>
        <w:rPr>
          <w:rFonts w:hint="default" w:ascii="Times New Roman" w:hAnsi="Times New Roman" w:eastAsia="方正仿宋_GBK" w:cs="Times New Roman"/>
          <w:color w:val="auto"/>
          <w:sz w:val="32"/>
          <w:szCs w:val="32"/>
          <w:highlight w:val="none"/>
          <w:lang w:val="en-US" w:eastAsia="zh-CN"/>
        </w:rPr>
        <w:t>22.67</w:t>
      </w:r>
      <w:r>
        <w:rPr>
          <w:rFonts w:hint="eastAsia" w:ascii="Times New Roman" w:hAnsi="Times New Roman" w:eastAsia="方正仿宋_GBK" w:cs="Times New Roman"/>
          <w:color w:val="auto"/>
          <w:sz w:val="32"/>
          <w:szCs w:val="32"/>
          <w:highlight w:val="none"/>
          <w:lang w:val="en-US" w:eastAsia="zh-CN"/>
        </w:rPr>
        <w:t>万元。主要用于职工住房公积金。</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六、一般公共预算基本支出情况说明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阿坝州公务服务中心2023年一般公共预算基本支出</w:t>
      </w:r>
      <w:r>
        <w:rPr>
          <w:rFonts w:hint="default" w:ascii="Times New Roman" w:hAnsi="Times New Roman" w:eastAsia="方正仿宋_GBK" w:cs="Times New Roman"/>
          <w:color w:val="auto"/>
          <w:sz w:val="32"/>
          <w:szCs w:val="32"/>
          <w:highlight w:val="none"/>
          <w:lang w:val="en-US" w:eastAsia="zh-CN"/>
        </w:rPr>
        <w:t>382.9</w:t>
      </w:r>
      <w:r>
        <w:rPr>
          <w:rFonts w:hint="eastAsia" w:ascii="Times New Roman" w:hAnsi="Times New Roman" w:eastAsia="方正仿宋_GBK" w:cs="Times New Roman"/>
          <w:color w:val="auto"/>
          <w:sz w:val="32"/>
          <w:szCs w:val="32"/>
          <w:highlight w:val="none"/>
          <w:lang w:val="en-US" w:eastAsia="zh-CN"/>
        </w:rPr>
        <w:t>万元，其中：人员经费</w:t>
      </w:r>
      <w:r>
        <w:rPr>
          <w:rFonts w:hint="default" w:ascii="Times New Roman" w:hAnsi="Times New Roman" w:eastAsia="方正仿宋_GBK" w:cs="Times New Roman"/>
          <w:color w:val="auto"/>
          <w:sz w:val="32"/>
          <w:szCs w:val="32"/>
          <w:highlight w:val="none"/>
          <w:lang w:val="en-US" w:eastAsia="zh-CN"/>
        </w:rPr>
        <w:t>320.65</w:t>
      </w:r>
      <w:r>
        <w:rPr>
          <w:rFonts w:hint="eastAsia" w:ascii="Times New Roman" w:hAnsi="Times New Roman" w:eastAsia="方正仿宋_GBK" w:cs="Times New Roman"/>
          <w:color w:val="auto"/>
          <w:sz w:val="32"/>
          <w:szCs w:val="32"/>
          <w:highlight w:val="none"/>
          <w:lang w:val="en-US" w:eastAsia="zh-CN"/>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default" w:ascii="Times New Roman" w:hAnsi="Times New Roman" w:eastAsia="方正仿宋_GBK" w:cs="Times New Roman"/>
          <w:color w:val="auto"/>
          <w:sz w:val="32"/>
          <w:szCs w:val="32"/>
          <w:highlight w:val="none"/>
          <w:lang w:val="en-US" w:eastAsia="zh-CN"/>
        </w:rPr>
        <w:t>62.25</w:t>
      </w:r>
      <w:r>
        <w:rPr>
          <w:rFonts w:hint="eastAsia" w:ascii="Times New Roman" w:hAnsi="Times New Roman" w:eastAsia="方正仿宋_GBK" w:cs="Times New Roman"/>
          <w:color w:val="auto"/>
          <w:sz w:val="32"/>
          <w:szCs w:val="32"/>
          <w:highlight w:val="none"/>
          <w:lang w:val="en-US" w:eastAsia="zh-CN"/>
        </w:rPr>
        <w:t>万元，主要包括：办公费、印刷费、手续费、水费、电费、邮电费、差旅费、维修（护）费、租赁费、会议费、培训费、劳务费、福利费、</w:t>
      </w:r>
      <w:r>
        <w:rPr>
          <w:rFonts w:hint="default" w:ascii="Times New Roman" w:hAnsi="Times New Roman" w:eastAsia="方正仿宋_GBK" w:cs="Times New Roman"/>
          <w:color w:val="auto"/>
          <w:sz w:val="32"/>
          <w:szCs w:val="32"/>
          <w:highlight w:val="none"/>
          <w:lang w:eastAsia="zh-CN"/>
        </w:rPr>
        <w:t>其他交通工具</w:t>
      </w:r>
      <w:r>
        <w:rPr>
          <w:rFonts w:hint="eastAsia" w:ascii="Times New Roman" w:hAnsi="Times New Roman" w:eastAsia="方正仿宋_GBK" w:cs="Times New Roman"/>
          <w:color w:val="auto"/>
          <w:sz w:val="32"/>
          <w:szCs w:val="32"/>
          <w:highlight w:val="none"/>
          <w:lang w:val="en-US" w:eastAsia="zh-CN"/>
        </w:rPr>
        <w:t>运行维护费、其他商品和服务支出。</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七、“三公”经费财政拨款预算安排情况说明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阿坝州公务服务中心2023年“三公”经费财政拨款预算数</w:t>
      </w:r>
      <w:r>
        <w:rPr>
          <w:rFonts w:hint="default" w:ascii="Times New Roman" w:hAnsi="Times New Roman" w:eastAsia="方正仿宋_GBK" w:cs="Times New Roman"/>
          <w:color w:val="auto"/>
          <w:sz w:val="32"/>
          <w:szCs w:val="32"/>
          <w:highlight w:val="none"/>
          <w:lang w:val="en-US" w:eastAsia="zh-CN"/>
        </w:rPr>
        <w:t>393.67</w:t>
      </w:r>
      <w:r>
        <w:rPr>
          <w:rFonts w:hint="eastAsia" w:ascii="Times New Roman" w:hAnsi="Times New Roman" w:eastAsia="方正仿宋_GBK" w:cs="Times New Roman"/>
          <w:color w:val="auto"/>
          <w:sz w:val="32"/>
          <w:szCs w:val="32"/>
          <w:highlight w:val="none"/>
          <w:lang w:val="en-US" w:eastAsia="zh-CN"/>
        </w:rPr>
        <w:t>万元，与2022年相比减少193.72万元，下降32.98%，其原因是报废车二辆及在2022年基础上压减30%。其中：未安排因公出国（境）经费，公务接待费</w:t>
      </w:r>
      <w:r>
        <w:rPr>
          <w:rFonts w:hint="default" w:ascii="Times New Roman" w:hAnsi="Times New Roman" w:eastAsia="方正仿宋_GBK" w:cs="Times New Roman"/>
          <w:color w:val="auto"/>
          <w:sz w:val="32"/>
          <w:szCs w:val="32"/>
          <w:highlight w:val="none"/>
          <w:lang w:val="en-US" w:eastAsia="zh-CN"/>
        </w:rPr>
        <w:t>372.07</w:t>
      </w:r>
      <w:r>
        <w:rPr>
          <w:rFonts w:hint="eastAsia" w:ascii="Times New Roman" w:hAnsi="Times New Roman" w:eastAsia="方正仿宋_GBK" w:cs="Times New Roman"/>
          <w:color w:val="auto"/>
          <w:sz w:val="32"/>
          <w:szCs w:val="32"/>
          <w:highlight w:val="none"/>
          <w:lang w:val="en-US" w:eastAsia="zh-CN"/>
        </w:rPr>
        <w:t>万元，公务用车购置及运行维护费</w:t>
      </w:r>
      <w:r>
        <w:rPr>
          <w:rFonts w:hint="default" w:ascii="Times New Roman" w:hAnsi="Times New Roman" w:eastAsia="方正仿宋_GBK" w:cs="Times New Roman"/>
          <w:color w:val="auto"/>
          <w:sz w:val="32"/>
          <w:szCs w:val="32"/>
          <w:highlight w:val="none"/>
          <w:lang w:val="en-US" w:eastAsia="zh-CN"/>
        </w:rPr>
        <w:t>21.6</w:t>
      </w:r>
      <w:r>
        <w:rPr>
          <w:rFonts w:hint="eastAsia" w:ascii="Times New Roman" w:hAnsi="Times New Roman" w:eastAsia="方正仿宋_GBK" w:cs="Times New Roman"/>
          <w:color w:val="auto"/>
          <w:sz w:val="32"/>
          <w:szCs w:val="32"/>
          <w:highlight w:val="none"/>
          <w:lang w:val="en-US" w:eastAsia="zh-CN"/>
        </w:rPr>
        <w:t>万元。</w:t>
      </w:r>
    </w:p>
    <w:p>
      <w:pPr>
        <w:spacing w:line="600" w:lineRule="exact"/>
        <w:ind w:firstLine="640"/>
        <w:rPr>
          <w:rFonts w:hint="eastAsia" w:ascii="Times New Roman" w:hAnsi="Times New Roman" w:eastAsia="方正仿宋_GBK" w:cs="Times New Roman"/>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w:t>
      </w:r>
      <w:r>
        <w:rPr>
          <w:rFonts w:hint="eastAsia" w:ascii="楷体_GB2312" w:hAnsi="楷体_GB2312" w:eastAsia="楷体_GB2312" w:cs="楷体_GB2312"/>
          <w:b/>
          <w:bCs/>
          <w:color w:val="000000"/>
          <w:sz w:val="32"/>
          <w:szCs w:val="32"/>
        </w:rPr>
        <w:t>因公出国（境）经费</w:t>
      </w:r>
      <w:r>
        <w:rPr>
          <w:rFonts w:hint="eastAsia" w:ascii="楷体_GB2312" w:hAnsi="楷体_GB2312" w:eastAsia="楷体_GB2312" w:cs="楷体_GB2312"/>
          <w:b/>
          <w:bCs/>
          <w:color w:val="000000"/>
          <w:sz w:val="32"/>
          <w:szCs w:val="32"/>
          <w:lang w:val="en-US" w:eastAsia="zh-CN"/>
        </w:rPr>
        <w:t>0万元</w:t>
      </w:r>
      <w:r>
        <w:rPr>
          <w:rFonts w:hint="eastAsia" w:ascii="楷体_GB2312" w:hAnsi="楷体_GB2312" w:eastAsia="楷体_GB2312" w:cs="楷体_GB2312"/>
          <w:color w:val="auto"/>
          <w:sz w:val="32"/>
          <w:szCs w:val="32"/>
          <w:highlight w:val="none"/>
          <w:lang w:val="en-US" w:eastAsia="zh-CN"/>
        </w:rPr>
        <w:t>。</w:t>
      </w:r>
      <w:r>
        <w:rPr>
          <w:rFonts w:hint="eastAsia" w:ascii="仿宋_GB2312" w:eastAsia="仿宋_GB2312"/>
          <w:color w:val="000000"/>
          <w:sz w:val="32"/>
          <w:szCs w:val="32"/>
          <w:lang w:val="en-US" w:eastAsia="zh-CN"/>
        </w:rPr>
        <w:t>因公出国（境）经费预算比2022年增加0.00万元，增长0.00%。主要原因是我中心不涉及因公出国（境）经费支出。</w:t>
      </w:r>
    </w:p>
    <w:p>
      <w:pPr>
        <w:spacing w:line="600" w:lineRule="exact"/>
        <w:ind w:firstLine="640"/>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（二）2023年公务接待费372.07万元。</w:t>
      </w:r>
    </w:p>
    <w:p>
      <w:pPr>
        <w:numPr>
          <w:ilvl w:val="0"/>
          <w:numId w:val="0"/>
        </w:numPr>
        <w:spacing w:line="60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公务接待费372.07万元。公务接待费预算比2022年减少179.32万元，下降32.52%。主要原因是</w:t>
      </w:r>
      <w:r>
        <w:rPr>
          <w:rFonts w:hint="default" w:ascii="仿宋_GB2312" w:eastAsia="仿宋_GB2312"/>
          <w:color w:val="auto"/>
          <w:sz w:val="32"/>
          <w:szCs w:val="32"/>
          <w:lang w:val="en-US" w:eastAsia="zh-CN"/>
        </w:rPr>
        <w:t>财政要求在2022年特定目标类批复数上压减30%</w:t>
      </w:r>
      <w:r>
        <w:rPr>
          <w:rFonts w:hint="eastAsia" w:ascii="仿宋_GB2312" w:eastAsia="仿宋_GB2312"/>
          <w:color w:val="auto"/>
          <w:sz w:val="32"/>
          <w:szCs w:val="32"/>
          <w:lang w:val="en-US" w:eastAsia="zh-CN"/>
        </w:rPr>
        <w:t>。</w:t>
      </w:r>
    </w:p>
    <w:p>
      <w:pPr>
        <w:numPr>
          <w:ilvl w:val="0"/>
          <w:numId w:val="0"/>
        </w:num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其中：</w:t>
      </w:r>
      <w:r>
        <w:rPr>
          <w:rFonts w:hint="eastAsia" w:ascii="楷体_GB2312" w:hAnsi="楷体_GB2312" w:eastAsia="楷体_GB2312" w:cs="楷体_GB2312"/>
          <w:b/>
          <w:bCs/>
          <w:color w:val="auto"/>
          <w:sz w:val="32"/>
          <w:szCs w:val="32"/>
          <w:highlight w:val="none"/>
          <w:lang w:val="en-US" w:eastAsia="zh-CN"/>
        </w:rPr>
        <w:t>国内公务接待费372.07万元</w:t>
      </w:r>
      <w:r>
        <w:rPr>
          <w:rFonts w:hint="eastAsia"/>
          <w:color w:val="000000"/>
          <w:sz w:val="32"/>
          <w:szCs w:val="32"/>
        </w:rPr>
        <w:t>，</w:t>
      </w:r>
      <w:r>
        <w:rPr>
          <w:rFonts w:hint="eastAsia" w:ascii="仿宋_GB2312" w:eastAsia="仿宋_GB2312"/>
          <w:color w:val="000000"/>
          <w:sz w:val="32"/>
          <w:szCs w:val="32"/>
        </w:rPr>
        <w:t>主要用于各级重大公务活动的服务保障工作，州委、州政府交办的外事接待、招商引资、大型会议、活动的接待服务保障工作和州委、州政府交办的其他任务开支。</w:t>
      </w:r>
    </w:p>
    <w:p>
      <w:pPr>
        <w:pStyle w:val="11"/>
        <w:spacing w:line="566" w:lineRule="exact"/>
        <w:ind w:left="420" w:leftChars="200" w:firstLine="642" w:firstLineChars="200"/>
        <w:outlineLvl w:val="1"/>
        <w:rPr>
          <w:rFonts w:hint="eastAsia" w:ascii="Times New Roman" w:hAnsi="Times New Roman" w:eastAsia="方正仿宋_GBK" w:cs="Times New Roman"/>
          <w:color w:val="auto"/>
          <w:sz w:val="32"/>
          <w:szCs w:val="32"/>
          <w:highlight w:val="none"/>
          <w:lang w:val="en-US" w:eastAsia="zh-CN"/>
        </w:rPr>
      </w:pPr>
      <w:r>
        <w:rPr>
          <w:rFonts w:hint="eastAsia" w:ascii="楷体_GB2312" w:hAnsi="楷体_GB2312" w:eastAsia="楷体_GB2312" w:cs="楷体_GB2312"/>
          <w:b/>
          <w:bCs/>
          <w:color w:val="auto"/>
          <w:kern w:val="2"/>
          <w:sz w:val="32"/>
          <w:szCs w:val="32"/>
          <w:highlight w:val="none"/>
          <w:lang w:val="en-US" w:eastAsia="zh-CN" w:bidi="ar-SA"/>
        </w:rPr>
        <w:t>外事接待支出0.00万元</w:t>
      </w:r>
      <w:r>
        <w:rPr>
          <w:rFonts w:hint="eastAsia" w:ascii="仿宋_GB2312" w:hAnsi="Calibri" w:eastAsia="仿宋_GB2312" w:cs="Times New Roman"/>
          <w:b w:val="0"/>
          <w:bCs w:val="0"/>
          <w:color w:val="000000"/>
          <w:kern w:val="2"/>
          <w:sz w:val="32"/>
          <w:szCs w:val="32"/>
          <w:lang w:val="en-US" w:eastAsia="zh-CN" w:bidi="ar-SA"/>
        </w:rPr>
        <w:t>，外事接待0批次，0人，共计支出0.00万元，主要</w:t>
      </w:r>
      <w:r>
        <w:rPr>
          <w:rFonts w:hint="eastAsia" w:ascii="仿宋_GB2312" w:eastAsia="仿宋_GB2312" w:cs="Times New Roman"/>
          <w:b w:val="0"/>
          <w:bCs w:val="0"/>
          <w:color w:val="000000"/>
          <w:kern w:val="2"/>
          <w:sz w:val="32"/>
          <w:szCs w:val="32"/>
          <w:lang w:val="en-US" w:eastAsia="zh-CN" w:bidi="ar-SA"/>
        </w:rPr>
        <w:t>原因是我中心不涉及外事接待支出</w:t>
      </w:r>
    </w:p>
    <w:p>
      <w:pPr>
        <w:spacing w:line="600" w:lineRule="exact"/>
        <w:ind w:firstLine="640"/>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（三）2023年公务用车购置及运行维护费21.6万元。</w:t>
      </w:r>
    </w:p>
    <w:p>
      <w:pPr>
        <w:pStyle w:val="11"/>
        <w:spacing w:line="566" w:lineRule="exact"/>
        <w:ind w:left="420" w:leftChars="200" w:firstLine="640" w:firstLineChars="200"/>
        <w:outlineLvl w:val="1"/>
        <w:rPr>
          <w:rFonts w:hint="default"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公务用车购置及运行维护费21.6万元。公务用车购置及运行维护费预算与2022年相比减少14.4万元，下降40%，其原因是报废车二辆，相应经费减少。</w:t>
      </w:r>
    </w:p>
    <w:p>
      <w:pPr>
        <w:spacing w:line="600" w:lineRule="exact"/>
        <w:ind w:firstLine="640" w:firstLineChars="200"/>
        <w:rPr>
          <w:rFonts w:hint="default"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楷体_GB2312" w:hAnsi="楷体_GB2312" w:eastAsia="楷体_GB2312" w:cs="楷体_GB2312"/>
          <w:b/>
          <w:bCs/>
          <w:color w:val="auto"/>
          <w:kern w:val="2"/>
          <w:sz w:val="32"/>
          <w:szCs w:val="32"/>
          <w:highlight w:val="none"/>
          <w:lang w:val="en-US" w:eastAsia="zh-CN" w:bidi="ar-SA"/>
        </w:rPr>
        <w:t>公务用车购置费0万元。</w:t>
      </w:r>
      <w:r>
        <w:rPr>
          <w:rFonts w:hint="eastAsia" w:ascii="仿宋_GB2312" w:eastAsia="仿宋_GB2312"/>
          <w:color w:val="000000"/>
          <w:sz w:val="32"/>
          <w:szCs w:val="32"/>
          <w:lang w:eastAsia="zh-CN"/>
        </w:rPr>
        <w:t>全年按规定更新购置公务用车</w:t>
      </w:r>
      <w:r>
        <w:rPr>
          <w:rFonts w:hint="eastAsia" w:ascii="仿宋_GB2312" w:eastAsia="仿宋_GB2312"/>
          <w:color w:val="000000"/>
          <w:sz w:val="32"/>
          <w:szCs w:val="32"/>
          <w:lang w:val="en-US" w:eastAsia="zh-CN"/>
        </w:rPr>
        <w:t>0辆，其中轿车0辆，越野车0辆，载客汽车0辆。</w:t>
      </w:r>
    </w:p>
    <w:p>
      <w:pPr>
        <w:spacing w:line="600" w:lineRule="exact"/>
        <w:ind w:firstLine="640"/>
        <w:rPr>
          <w:rFonts w:ascii="仿宋_GB2312" w:eastAsia="仿宋_GB2312"/>
          <w:color w:val="000000"/>
          <w:sz w:val="32"/>
          <w:szCs w:val="32"/>
        </w:rPr>
      </w:pPr>
      <w:bookmarkStart w:id="0" w:name="_GoBack"/>
      <w:r>
        <w:rPr>
          <w:rFonts w:hint="eastAsia" w:ascii="楷体_GB2312" w:hAnsi="楷体_GB2312" w:eastAsia="楷体_GB2312" w:cs="楷体_GB2312"/>
          <w:b/>
          <w:bCs/>
          <w:color w:val="auto"/>
          <w:kern w:val="2"/>
          <w:sz w:val="32"/>
          <w:szCs w:val="32"/>
          <w:highlight w:val="none"/>
          <w:lang w:val="en-US" w:eastAsia="zh-CN" w:bidi="ar-SA"/>
        </w:rPr>
        <w:t>公务用车运行维护费21.6万元。</w:t>
      </w:r>
      <w:bookmarkEnd w:id="0"/>
      <w:r>
        <w:rPr>
          <w:rFonts w:hint="eastAsia" w:ascii="仿宋_GB2312" w:eastAsia="仿宋_GB2312"/>
          <w:color w:val="000000"/>
          <w:sz w:val="32"/>
          <w:szCs w:val="32"/>
        </w:rPr>
        <w:t>主要用于中心前往各县（市）开展公务服务等所需的公务用车燃料费、维修费、过路过桥费、保险费、维修费等支出。</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八、政府性基金预算支出情况说明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我单位无政府性基金预算支出。</w:t>
      </w:r>
    </w:p>
    <w:p>
      <w:pPr>
        <w:keepNext w:val="0"/>
        <w:keepLines w:val="0"/>
        <w:pageBreakBefore w:val="0"/>
        <w:widowControl w:val="0"/>
        <w:numPr>
          <w:ilvl w:val="0"/>
          <w:numId w:val="1"/>
        </w:numPr>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国有资本经营预算支出情况说明</w:t>
      </w:r>
    </w:p>
    <w:p>
      <w:pPr>
        <w:pStyle w:val="7"/>
        <w:numPr>
          <w:ilvl w:val="0"/>
          <w:numId w:val="0"/>
        </w:numPr>
        <w:ind w:left="400" w:leftChars="0"/>
        <w:rPr>
          <w:rFonts w:hint="default" w:ascii="Times New Roman" w:hAnsi="Times New Roman" w:eastAsia="方正仿宋_GBK" w:cs="Times New Roman"/>
          <w:color w:val="auto"/>
          <w:kern w:val="2"/>
          <w:sz w:val="32"/>
          <w:szCs w:val="32"/>
          <w:highlight w:val="none"/>
          <w:lang w:val="en-US" w:eastAsia="zh-CN" w:bidi="ar-SA"/>
        </w:rPr>
      </w:pPr>
      <w:r>
        <w:rPr>
          <w:rFonts w:hint="eastAsia"/>
          <w:lang w:val="en-US" w:eastAsia="zh-CN"/>
        </w:rPr>
        <w:t xml:space="preserve">     </w:t>
      </w:r>
      <w:r>
        <w:rPr>
          <w:rFonts w:hint="eastAsia" w:ascii="Times New Roman" w:hAnsi="Times New Roman" w:eastAsia="方正仿宋_GBK" w:cs="Times New Roman"/>
          <w:color w:val="auto"/>
          <w:kern w:val="2"/>
          <w:sz w:val="32"/>
          <w:szCs w:val="32"/>
          <w:highlight w:val="none"/>
          <w:lang w:val="en-US" w:eastAsia="zh-CN" w:bidi="ar-SA"/>
        </w:rPr>
        <w:t>我单位无国有资本经营预算支出。</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十、其他重要事项的情况说明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（一）机关运行经费</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阿坝州公务服务中心2023年机关运行经费财政拨款预算为</w:t>
      </w:r>
      <w:r>
        <w:rPr>
          <w:rFonts w:hint="default" w:ascii="Times New Roman" w:hAnsi="Times New Roman" w:eastAsia="方正仿宋_GBK" w:cs="Times New Roman"/>
          <w:color w:val="auto"/>
          <w:sz w:val="32"/>
          <w:szCs w:val="32"/>
          <w:highlight w:val="none"/>
          <w:lang w:val="en-US" w:eastAsia="zh-CN"/>
        </w:rPr>
        <w:t>62.25</w:t>
      </w:r>
      <w:r>
        <w:rPr>
          <w:rFonts w:hint="eastAsia" w:ascii="Times New Roman" w:hAnsi="Times New Roman" w:eastAsia="方正仿宋_GBK" w:cs="Times New Roman"/>
          <w:color w:val="auto"/>
          <w:sz w:val="32"/>
          <w:szCs w:val="32"/>
          <w:highlight w:val="none"/>
          <w:lang w:val="en-US" w:eastAsia="zh-CN"/>
        </w:rPr>
        <w:t>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（二）政府采购情况</w:t>
      </w:r>
    </w:p>
    <w:p>
      <w:pPr>
        <w:spacing w:line="600" w:lineRule="exact"/>
        <w:ind w:firstLine="640" w:firstLineChars="20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2023年阿坝州公务服务中心安排政府采购预算</w:t>
      </w:r>
      <w:r>
        <w:rPr>
          <w:rFonts w:hint="default" w:ascii="Times New Roman" w:hAnsi="Times New Roman"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lang w:val="en-US" w:eastAsia="zh-CN"/>
        </w:rPr>
        <w:t>万元。</w:t>
      </w:r>
      <w:r>
        <w:rPr>
          <w:rFonts w:hint="eastAsia" w:ascii="仿宋_GB2312" w:eastAsia="仿宋_GB2312"/>
          <w:color w:val="000000"/>
          <w:sz w:val="32"/>
          <w:szCs w:val="32"/>
          <w:lang w:eastAsia="zh-CN"/>
        </w:rPr>
        <w:t>其中：政府采购货物预算</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lang w:eastAsia="zh-CN"/>
        </w:rPr>
        <w:t>万元、政府采购工程预算0.00万元、政府采购服务预算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万元。主要用于更换</w:t>
      </w:r>
      <w:r>
        <w:rPr>
          <w:rFonts w:hint="eastAsia" w:ascii="仿宋_GB2312" w:eastAsia="仿宋_GB2312"/>
          <w:color w:val="000000"/>
          <w:sz w:val="32"/>
          <w:szCs w:val="32"/>
          <w:lang w:val="en-US" w:eastAsia="zh-CN"/>
        </w:rPr>
        <w:t>3台</w:t>
      </w:r>
      <w:r>
        <w:rPr>
          <w:rFonts w:hint="eastAsia" w:ascii="仿宋_GB2312" w:eastAsia="仿宋_GB2312"/>
          <w:color w:val="000000"/>
          <w:sz w:val="32"/>
          <w:szCs w:val="32"/>
          <w:lang w:eastAsia="zh-CN"/>
        </w:rPr>
        <w:t>台式电脑。授予中小企业合同金额</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lang w:eastAsia="zh-CN"/>
        </w:rPr>
        <w:t>万元，占政府采购支出总额的100.00%，其中：授予小微企业合同金额</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lang w:eastAsia="zh-CN"/>
        </w:rPr>
        <w:t>万元，占政府采购支出总额的100.00%。</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（三）国有资产占有使用情况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固定资产原值总额284</w:t>
      </w:r>
      <w:r>
        <w:rPr>
          <w:rFonts w:hint="default" w:ascii="Times New Roman" w:hAnsi="Times New Roman" w:eastAsia="方正仿宋_GBK" w:cs="Times New Roman"/>
          <w:color w:val="auto"/>
          <w:sz w:val="32"/>
          <w:szCs w:val="32"/>
          <w:highlight w:val="none"/>
          <w:lang w:val="en-US" w:eastAsia="zh-CN"/>
        </w:rPr>
        <w:t>.42</w:t>
      </w:r>
      <w:r>
        <w:rPr>
          <w:rFonts w:hint="eastAsia" w:ascii="Times New Roman" w:hAnsi="Times New Roman" w:eastAsia="方正仿宋_GBK" w:cs="Times New Roman"/>
          <w:color w:val="auto"/>
          <w:sz w:val="32"/>
          <w:szCs w:val="32"/>
          <w:highlight w:val="none"/>
          <w:lang w:val="en-US" w:eastAsia="zh-CN"/>
        </w:rPr>
        <w:t>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（四）绩效目标设置情况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2023年阿坝州公务服务中心通用项目和专用项目均按要求实行绩效目标管理，涉及一般公共预算当年拨款</w:t>
      </w:r>
      <w:r>
        <w:rPr>
          <w:rFonts w:hint="default" w:ascii="Times New Roman" w:hAnsi="Times New Roman" w:eastAsia="方正仿宋_GBK" w:cs="Times New Roman"/>
          <w:color w:val="auto"/>
          <w:sz w:val="32"/>
          <w:szCs w:val="32"/>
          <w:highlight w:val="none"/>
          <w:lang w:val="en-US" w:eastAsia="zh-CN"/>
        </w:rPr>
        <w:t>473.16</w:t>
      </w:r>
      <w:r>
        <w:rPr>
          <w:rFonts w:hint="eastAsia" w:ascii="Times New Roman" w:hAnsi="Times New Roman" w:eastAsia="方正仿宋_GBK" w:cs="Times New Roman"/>
          <w:color w:val="auto"/>
          <w:sz w:val="32"/>
          <w:szCs w:val="32"/>
          <w:highlight w:val="none"/>
          <w:lang w:val="en-US" w:eastAsia="zh-CN"/>
        </w:rPr>
        <w:t>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十一、名词解释</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（一）财政拨款收入：指由财政拨款形成的部门收入。按现行管理制度，部门预算中反映的财政拨款仅包括一般公共预算拨款和政府性基金预算拨款。</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（二）事业收入：指所属事业单位开展专业业务活动及辅助活动所取得的收入。</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（三）事业单位经营收入：指所属事业单位在专业业务活动及其辅助活动之外开展非独立核算经营活动取得的收入。</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（四）其他收入：指除上述“财政拨款收入”、“事业收入”、“事业单位经营收入”等以外的收入，主要是所属行政事业单位按规定动用的售房收入、存款利息收入等。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华文细黑">
    <w:altName w:val="汉仪中等线简"/>
    <w:panose1 w:val="02010600040101010101"/>
    <w:charset w:val="00"/>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等线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32F188"/>
    <w:multiLevelType w:val="singleLevel"/>
    <w:tmpl w:val="F632F188"/>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D35FF"/>
    <w:rsid w:val="03F8652F"/>
    <w:rsid w:val="0F42FEEB"/>
    <w:rsid w:val="13BFB808"/>
    <w:rsid w:val="15D5A889"/>
    <w:rsid w:val="16FFECB0"/>
    <w:rsid w:val="17D63BC6"/>
    <w:rsid w:val="1DF59469"/>
    <w:rsid w:val="1DFF5520"/>
    <w:rsid w:val="1E7047AC"/>
    <w:rsid w:val="1E948381"/>
    <w:rsid w:val="1E975EDC"/>
    <w:rsid w:val="1EDA46B4"/>
    <w:rsid w:val="1EF60513"/>
    <w:rsid w:val="1FB7B105"/>
    <w:rsid w:val="1FBDFE53"/>
    <w:rsid w:val="1FFF5D8D"/>
    <w:rsid w:val="23EEFB05"/>
    <w:rsid w:val="25FDA771"/>
    <w:rsid w:val="27DC7158"/>
    <w:rsid w:val="28D416DD"/>
    <w:rsid w:val="28D66BFD"/>
    <w:rsid w:val="28EA2E0B"/>
    <w:rsid w:val="29FF0BCB"/>
    <w:rsid w:val="2BE75CE9"/>
    <w:rsid w:val="2D3B0C1F"/>
    <w:rsid w:val="2DC86E67"/>
    <w:rsid w:val="2FE352D4"/>
    <w:rsid w:val="2FFE1C43"/>
    <w:rsid w:val="31FFAE8D"/>
    <w:rsid w:val="349F9B2D"/>
    <w:rsid w:val="35BE1ED6"/>
    <w:rsid w:val="367D5A2A"/>
    <w:rsid w:val="377F63D3"/>
    <w:rsid w:val="37FD6ED3"/>
    <w:rsid w:val="37FFF92C"/>
    <w:rsid w:val="3BB6E1DB"/>
    <w:rsid w:val="3BDF7CAA"/>
    <w:rsid w:val="3BFDC132"/>
    <w:rsid w:val="3BFE1929"/>
    <w:rsid w:val="3D6F261D"/>
    <w:rsid w:val="3D7F33AB"/>
    <w:rsid w:val="3DE18914"/>
    <w:rsid w:val="3DE5F8F3"/>
    <w:rsid w:val="3DF6E08F"/>
    <w:rsid w:val="3DFFB4A7"/>
    <w:rsid w:val="3DFFE063"/>
    <w:rsid w:val="3E7DBF34"/>
    <w:rsid w:val="3EDD0365"/>
    <w:rsid w:val="3EDEE2AE"/>
    <w:rsid w:val="3EEF2B39"/>
    <w:rsid w:val="3EF741AB"/>
    <w:rsid w:val="3F16DD54"/>
    <w:rsid w:val="3F76EE96"/>
    <w:rsid w:val="3F7EC0AF"/>
    <w:rsid w:val="3F9F0F2C"/>
    <w:rsid w:val="3FDD1FFF"/>
    <w:rsid w:val="3FDD4542"/>
    <w:rsid w:val="3FDDFD26"/>
    <w:rsid w:val="3FF70F0B"/>
    <w:rsid w:val="3FFE7051"/>
    <w:rsid w:val="44B29041"/>
    <w:rsid w:val="46EFD77E"/>
    <w:rsid w:val="47F03E9B"/>
    <w:rsid w:val="4BF738A6"/>
    <w:rsid w:val="4FB719F7"/>
    <w:rsid w:val="4FBDEE9E"/>
    <w:rsid w:val="4FBEB26C"/>
    <w:rsid w:val="51B5C384"/>
    <w:rsid w:val="573F7EA5"/>
    <w:rsid w:val="5798B211"/>
    <w:rsid w:val="57FD763C"/>
    <w:rsid w:val="580D35FF"/>
    <w:rsid w:val="589D8CA8"/>
    <w:rsid w:val="59D993D7"/>
    <w:rsid w:val="5B4DA890"/>
    <w:rsid w:val="5B5E3FEB"/>
    <w:rsid w:val="5BEC30CF"/>
    <w:rsid w:val="5BF799EE"/>
    <w:rsid w:val="5CFD1D64"/>
    <w:rsid w:val="5DD74E3F"/>
    <w:rsid w:val="5DDE9702"/>
    <w:rsid w:val="5EAFBBEC"/>
    <w:rsid w:val="5EF7F593"/>
    <w:rsid w:val="5F7D5AB9"/>
    <w:rsid w:val="5FBEE1B7"/>
    <w:rsid w:val="5FF3FA5D"/>
    <w:rsid w:val="5FF6476D"/>
    <w:rsid w:val="5FFFCE8F"/>
    <w:rsid w:val="63BFA8BA"/>
    <w:rsid w:val="63FF78BB"/>
    <w:rsid w:val="64BB63E8"/>
    <w:rsid w:val="65AB6172"/>
    <w:rsid w:val="67CD0D53"/>
    <w:rsid w:val="69BE8005"/>
    <w:rsid w:val="6AFC6047"/>
    <w:rsid w:val="6B71F400"/>
    <w:rsid w:val="6BDF15CD"/>
    <w:rsid w:val="6BFFE20D"/>
    <w:rsid w:val="6C6F617C"/>
    <w:rsid w:val="6D3FDA8A"/>
    <w:rsid w:val="6DE6659A"/>
    <w:rsid w:val="6DF79B34"/>
    <w:rsid w:val="6E358475"/>
    <w:rsid w:val="6ECB9022"/>
    <w:rsid w:val="6EEFE22C"/>
    <w:rsid w:val="6EFDAC88"/>
    <w:rsid w:val="6EFE2466"/>
    <w:rsid w:val="6EFE5D71"/>
    <w:rsid w:val="6F6FFC43"/>
    <w:rsid w:val="6F7E21E7"/>
    <w:rsid w:val="6FCFA6A5"/>
    <w:rsid w:val="6FDD478F"/>
    <w:rsid w:val="6FEF482C"/>
    <w:rsid w:val="6FF7CB44"/>
    <w:rsid w:val="7297BA80"/>
    <w:rsid w:val="72D93B17"/>
    <w:rsid w:val="73EFEA71"/>
    <w:rsid w:val="73FDCB11"/>
    <w:rsid w:val="73FFAE08"/>
    <w:rsid w:val="746F0E04"/>
    <w:rsid w:val="74ED34F4"/>
    <w:rsid w:val="756F1AB1"/>
    <w:rsid w:val="75C3AB6B"/>
    <w:rsid w:val="75EFD190"/>
    <w:rsid w:val="764F5391"/>
    <w:rsid w:val="76BDEC9F"/>
    <w:rsid w:val="76E3AC26"/>
    <w:rsid w:val="771E4A80"/>
    <w:rsid w:val="77A7D47B"/>
    <w:rsid w:val="77BD04C4"/>
    <w:rsid w:val="77FB0790"/>
    <w:rsid w:val="77FF134C"/>
    <w:rsid w:val="77FF8AD3"/>
    <w:rsid w:val="799743C6"/>
    <w:rsid w:val="79F72563"/>
    <w:rsid w:val="79FAF48E"/>
    <w:rsid w:val="7AB56476"/>
    <w:rsid w:val="7AEF99A9"/>
    <w:rsid w:val="7AFBE1FD"/>
    <w:rsid w:val="7B7B3324"/>
    <w:rsid w:val="7B9F44AA"/>
    <w:rsid w:val="7BDF0488"/>
    <w:rsid w:val="7BEBF6CD"/>
    <w:rsid w:val="7BFB678F"/>
    <w:rsid w:val="7BFF0ED1"/>
    <w:rsid w:val="7BFF21C1"/>
    <w:rsid w:val="7BFF80A1"/>
    <w:rsid w:val="7BFF99D5"/>
    <w:rsid w:val="7C6EDF03"/>
    <w:rsid w:val="7CC6663F"/>
    <w:rsid w:val="7D3789DE"/>
    <w:rsid w:val="7D7D68E6"/>
    <w:rsid w:val="7D7DC192"/>
    <w:rsid w:val="7DDBC126"/>
    <w:rsid w:val="7DDF61BB"/>
    <w:rsid w:val="7DF926F2"/>
    <w:rsid w:val="7DFD9CBB"/>
    <w:rsid w:val="7DFE0885"/>
    <w:rsid w:val="7E9DD492"/>
    <w:rsid w:val="7EB72ED1"/>
    <w:rsid w:val="7EBBA50F"/>
    <w:rsid w:val="7EBF3B67"/>
    <w:rsid w:val="7EC20482"/>
    <w:rsid w:val="7EDB6110"/>
    <w:rsid w:val="7EFD8B51"/>
    <w:rsid w:val="7EFFA4FF"/>
    <w:rsid w:val="7F3F0B30"/>
    <w:rsid w:val="7F77F5F8"/>
    <w:rsid w:val="7F7E6576"/>
    <w:rsid w:val="7F7FF9EF"/>
    <w:rsid w:val="7F861607"/>
    <w:rsid w:val="7F8F6F85"/>
    <w:rsid w:val="7F9C6423"/>
    <w:rsid w:val="7F9FB2A2"/>
    <w:rsid w:val="7FA7587B"/>
    <w:rsid w:val="7FAF485B"/>
    <w:rsid w:val="7FBCD774"/>
    <w:rsid w:val="7FBE5DB2"/>
    <w:rsid w:val="7FD5603E"/>
    <w:rsid w:val="7FD70C2F"/>
    <w:rsid w:val="7FDE5F48"/>
    <w:rsid w:val="7FDEBE64"/>
    <w:rsid w:val="7FDF1DC4"/>
    <w:rsid w:val="7FE74740"/>
    <w:rsid w:val="7FF6799C"/>
    <w:rsid w:val="7FF728F8"/>
    <w:rsid w:val="7FFB19DB"/>
    <w:rsid w:val="7FFD9A7A"/>
    <w:rsid w:val="7FFDA98A"/>
    <w:rsid w:val="7FFE18A5"/>
    <w:rsid w:val="7FFF56B7"/>
    <w:rsid w:val="7FFF6FAA"/>
    <w:rsid w:val="7FFF7BC0"/>
    <w:rsid w:val="85AD4411"/>
    <w:rsid w:val="8EEC87CA"/>
    <w:rsid w:val="93FE1A4B"/>
    <w:rsid w:val="99FFC1A2"/>
    <w:rsid w:val="9A8D88DC"/>
    <w:rsid w:val="9BE4D28B"/>
    <w:rsid w:val="9DDFB1A4"/>
    <w:rsid w:val="9FBA9F23"/>
    <w:rsid w:val="9FDF6248"/>
    <w:rsid w:val="9FF31426"/>
    <w:rsid w:val="9FFFC1AB"/>
    <w:rsid w:val="A6DD9CFB"/>
    <w:rsid w:val="A9FD9210"/>
    <w:rsid w:val="AE2FCECA"/>
    <w:rsid w:val="AF7F52AE"/>
    <w:rsid w:val="AF89ADF0"/>
    <w:rsid w:val="AFE88D0D"/>
    <w:rsid w:val="AFFF8F38"/>
    <w:rsid w:val="B5F74B42"/>
    <w:rsid w:val="BA6D63F5"/>
    <w:rsid w:val="BAD2A3EE"/>
    <w:rsid w:val="BADA4012"/>
    <w:rsid w:val="BB7FD503"/>
    <w:rsid w:val="BBDB9CC0"/>
    <w:rsid w:val="BBF33757"/>
    <w:rsid w:val="BCD7CE95"/>
    <w:rsid w:val="BDF31E5C"/>
    <w:rsid w:val="BEBF3F93"/>
    <w:rsid w:val="BEF6AB97"/>
    <w:rsid w:val="BFBBBB1F"/>
    <w:rsid w:val="BFBD4E2A"/>
    <w:rsid w:val="BFF43C39"/>
    <w:rsid w:val="BFF546F4"/>
    <w:rsid w:val="BFFA630E"/>
    <w:rsid w:val="C6FB701C"/>
    <w:rsid w:val="C7DC5E10"/>
    <w:rsid w:val="CAE7AE07"/>
    <w:rsid w:val="CDDFAD82"/>
    <w:rsid w:val="CDF117F1"/>
    <w:rsid w:val="CE655A82"/>
    <w:rsid w:val="CEAFD439"/>
    <w:rsid w:val="CFD7E2DC"/>
    <w:rsid w:val="D13D20B0"/>
    <w:rsid w:val="D3677C00"/>
    <w:rsid w:val="D376A282"/>
    <w:rsid w:val="D377B4A7"/>
    <w:rsid w:val="D5777FAF"/>
    <w:rsid w:val="D77D8B36"/>
    <w:rsid w:val="D7F52196"/>
    <w:rsid w:val="D7F77C13"/>
    <w:rsid w:val="D874F19C"/>
    <w:rsid w:val="DB679C5A"/>
    <w:rsid w:val="DB933CD2"/>
    <w:rsid w:val="DBBB0103"/>
    <w:rsid w:val="DBDB1E0D"/>
    <w:rsid w:val="DCED37E5"/>
    <w:rsid w:val="DDD9984B"/>
    <w:rsid w:val="DE9B6801"/>
    <w:rsid w:val="DEFB1B27"/>
    <w:rsid w:val="DF7A9870"/>
    <w:rsid w:val="DF9F9AFB"/>
    <w:rsid w:val="DFCD95A5"/>
    <w:rsid w:val="DFDE6E04"/>
    <w:rsid w:val="DFDF436B"/>
    <w:rsid w:val="DFFDE187"/>
    <w:rsid w:val="E3A5FB50"/>
    <w:rsid w:val="E49D2070"/>
    <w:rsid w:val="E4FE2284"/>
    <w:rsid w:val="E69F5BDC"/>
    <w:rsid w:val="E73F33A3"/>
    <w:rsid w:val="E75B599B"/>
    <w:rsid w:val="E77E11A9"/>
    <w:rsid w:val="E7FD4163"/>
    <w:rsid w:val="E7FED797"/>
    <w:rsid w:val="E87B75EE"/>
    <w:rsid w:val="E9BF10BB"/>
    <w:rsid w:val="EB7F224E"/>
    <w:rsid w:val="EBDB9508"/>
    <w:rsid w:val="ED4EC16F"/>
    <w:rsid w:val="ED79B61E"/>
    <w:rsid w:val="EDDFFBFB"/>
    <w:rsid w:val="EDFF1167"/>
    <w:rsid w:val="EE7FA117"/>
    <w:rsid w:val="EEDD0956"/>
    <w:rsid w:val="EEFF6976"/>
    <w:rsid w:val="EF27720F"/>
    <w:rsid w:val="EF2B03DF"/>
    <w:rsid w:val="EF73E1FB"/>
    <w:rsid w:val="EF7B1E88"/>
    <w:rsid w:val="EF7DD3AB"/>
    <w:rsid w:val="EF7F163F"/>
    <w:rsid w:val="EF7FDA33"/>
    <w:rsid w:val="EFAF60C2"/>
    <w:rsid w:val="EFB70F32"/>
    <w:rsid w:val="EFBBBC66"/>
    <w:rsid w:val="EFE18055"/>
    <w:rsid w:val="F379E740"/>
    <w:rsid w:val="F3BFFB2B"/>
    <w:rsid w:val="F3EFB106"/>
    <w:rsid w:val="F4C7D035"/>
    <w:rsid w:val="F4EE3B0A"/>
    <w:rsid w:val="F5C7C258"/>
    <w:rsid w:val="F5F764D8"/>
    <w:rsid w:val="F5FA01FF"/>
    <w:rsid w:val="F6BF324E"/>
    <w:rsid w:val="F6EF1D52"/>
    <w:rsid w:val="F6F23BA0"/>
    <w:rsid w:val="F7E97903"/>
    <w:rsid w:val="F7F785A6"/>
    <w:rsid w:val="F7FDD044"/>
    <w:rsid w:val="F7FE33CB"/>
    <w:rsid w:val="F9A51466"/>
    <w:rsid w:val="F9BF207E"/>
    <w:rsid w:val="F9BFF6D6"/>
    <w:rsid w:val="F9E5F661"/>
    <w:rsid w:val="F9F70E19"/>
    <w:rsid w:val="F9FF379B"/>
    <w:rsid w:val="FADF3C1C"/>
    <w:rsid w:val="FAFADFAC"/>
    <w:rsid w:val="FB3F8CD5"/>
    <w:rsid w:val="FB7FA775"/>
    <w:rsid w:val="FB7FDC5A"/>
    <w:rsid w:val="FBBA660A"/>
    <w:rsid w:val="FBBE5B79"/>
    <w:rsid w:val="FBD92EAF"/>
    <w:rsid w:val="FBE74D77"/>
    <w:rsid w:val="FBF7B93C"/>
    <w:rsid w:val="FBFB2B58"/>
    <w:rsid w:val="FBFDC5E8"/>
    <w:rsid w:val="FCFFA031"/>
    <w:rsid w:val="FCFFA634"/>
    <w:rsid w:val="FCFFB708"/>
    <w:rsid w:val="FD5E6A57"/>
    <w:rsid w:val="FD6BBBFC"/>
    <w:rsid w:val="FD7ABDD9"/>
    <w:rsid w:val="FD9C1CD1"/>
    <w:rsid w:val="FD9F8898"/>
    <w:rsid w:val="FDAF2FD5"/>
    <w:rsid w:val="FDCB304D"/>
    <w:rsid w:val="FDF599E1"/>
    <w:rsid w:val="FDF97C3E"/>
    <w:rsid w:val="FDFBFA23"/>
    <w:rsid w:val="FDFFD6F8"/>
    <w:rsid w:val="FDFFE6B7"/>
    <w:rsid w:val="FE7F7B21"/>
    <w:rsid w:val="FEB6B1BC"/>
    <w:rsid w:val="FEDEB825"/>
    <w:rsid w:val="FEFB2BAA"/>
    <w:rsid w:val="FEFB57D6"/>
    <w:rsid w:val="FF5E1076"/>
    <w:rsid w:val="FF746FAC"/>
    <w:rsid w:val="FF77ABDA"/>
    <w:rsid w:val="FF7B5C99"/>
    <w:rsid w:val="FF7FDD70"/>
    <w:rsid w:val="FF8FC4FF"/>
    <w:rsid w:val="FFB276DF"/>
    <w:rsid w:val="FFBEC07C"/>
    <w:rsid w:val="FFBF50F0"/>
    <w:rsid w:val="FFD5E541"/>
    <w:rsid w:val="FFDB32A0"/>
    <w:rsid w:val="FFDB34D5"/>
    <w:rsid w:val="FFDB693A"/>
    <w:rsid w:val="FFDEB8CD"/>
    <w:rsid w:val="FFED2E59"/>
    <w:rsid w:val="FFEFFAA4"/>
    <w:rsid w:val="FFF2A6FD"/>
    <w:rsid w:val="FFFB103D"/>
    <w:rsid w:val="FFFF5D95"/>
    <w:rsid w:val="FFFF6797"/>
    <w:rsid w:val="FFFFE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576" w:lineRule="exact"/>
      <w:jc w:val="center"/>
      <w:outlineLvl w:val="0"/>
    </w:pPr>
    <w:rPr>
      <w:rFonts w:eastAsia="方正小标宋简体" w:asciiTheme="minorAscii" w:hAnsiTheme="minorAscii"/>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next w:val="1"/>
    <w:qFormat/>
    <w:uiPriority w:val="0"/>
    <w:pPr>
      <w:ind w:firstLine="420"/>
    </w:pPr>
    <w:rPr>
      <w:rFonts w:eastAsia="宋体"/>
    </w:rPr>
  </w:style>
  <w:style w:type="paragraph" w:styleId="3">
    <w:name w:val="Body Text Indent"/>
    <w:basedOn w:val="1"/>
    <w:next w:val="2"/>
    <w:qFormat/>
    <w:uiPriority w:val="0"/>
    <w:pPr>
      <w:ind w:firstLine="641" w:firstLineChars="200"/>
    </w:pPr>
    <w:rPr>
      <w:rFonts w:ascii="华文细黑" w:eastAsia="华文细黑"/>
      <w:b/>
      <w:bCs/>
      <w:sz w:val="32"/>
    </w:rPr>
  </w:style>
  <w:style w:type="paragraph" w:styleId="5">
    <w:name w:val="Body Text"/>
    <w:basedOn w:val="1"/>
    <w:next w:val="1"/>
    <w:qFormat/>
    <w:uiPriority w:val="99"/>
    <w:pPr>
      <w:spacing w:beforeLines="30"/>
    </w:pPr>
    <w:rPr>
      <w:rFonts w:ascii="仿宋_GB2312" w:eastAsia="仿宋_GB2312"/>
      <w:kern w:val="0"/>
      <w:sz w:val="24"/>
      <w:szCs w:val="20"/>
    </w:rPr>
  </w:style>
  <w:style w:type="paragraph" w:styleId="6">
    <w:name w:val="footer"/>
    <w:qFormat/>
    <w:uiPriority w:val="0"/>
    <w:pPr>
      <w:widowControl w:val="0"/>
      <w:tabs>
        <w:tab w:val="center" w:pos="4153"/>
        <w:tab w:val="right" w:pos="8306"/>
      </w:tabs>
      <w:snapToGrid w:val="0"/>
      <w:spacing w:line="560" w:lineRule="exact"/>
      <w:ind w:firstLine="200" w:firstLineChars="200"/>
      <w:jc w:val="left"/>
    </w:pPr>
    <w:rPr>
      <w:rFonts w:ascii="Calibri" w:hAnsi="Calibri" w:eastAsia="仿宋_GB2312" w:cs="Times New Roman"/>
      <w:kern w:val="2"/>
      <w:sz w:val="18"/>
      <w:szCs w:val="24"/>
      <w:lang w:val="en-US" w:eastAsia="zh-CN" w:bidi="ar-SA"/>
    </w:rPr>
  </w:style>
  <w:style w:type="paragraph" w:styleId="7">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8">
    <w:name w:val="Body Text First Indent 2"/>
    <w:qFormat/>
    <w:uiPriority w:val="0"/>
    <w:pPr>
      <w:widowControl/>
      <w:spacing w:after="0" w:line="540" w:lineRule="exact"/>
      <w:ind w:left="0" w:firstLine="200" w:firstLineChars="200"/>
      <w:jc w:val="both"/>
      <w:textAlignment w:val="baseline"/>
    </w:pPr>
    <w:rPr>
      <w:rFonts w:ascii="Calibri" w:hAnsi="Calibri" w:eastAsia="仿宋_GB2312" w:cs="Times New Roman"/>
      <w:color w:val="000000"/>
      <w:kern w:val="0"/>
      <w:sz w:val="32"/>
      <w:szCs w:val="20"/>
      <w:lang w:val="en-US" w:eastAsia="zh-CN" w:bidi="ar-SA"/>
    </w:rPr>
  </w:style>
  <w:style w:type="paragraph" w:customStyle="1" w:styleId="11">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2021-05-31T10:11:00Z</dcterms:created>
  <dc:creator>大空翼</dc:creator>
  <cp:lastModifiedBy>user</cp:lastModifiedBy>
  <cp:lastPrinted>2023-01-12T22:46:00Z</cp:lastPrinted>
  <dcterms:modified xsi:type="dcterms:W3CDTF">2024-08-19T15:30:34Z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6BC0DC726410087AAF81BB635E73786F</vt:lpwstr>
  </property>
</Properties>
</file>