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Times New Roman" w:eastAsia="黑体" w:hAnsi="Times New Roman"/>
          <w:sz w:val="32"/>
          <w:szCs w:val="32"/>
        </w:rPr>
      </w:pPr>
      <w:r>
        <w:rPr>
          <w:rFonts w:ascii="Times New Roman" w:eastAsia="黑体" w:hAnsi="Times New Roman"/>
          <w:sz w:val="32"/>
          <w:szCs w:val="32"/>
        </w:rPr>
        <w:t>附件2</w:t>
      </w:r>
    </w:p>
    <w:p>
      <w:pPr>
        <w:rPr>
          <w:rFonts w:ascii="Times New Roman" w:hAnsi="Times New Roman"/>
        </w:rPr>
      </w:pPr>
    </w:p>
    <w:p>
      <w:pPr>
        <w:rPr>
          <w:rFonts w:ascii="Times New Roman" w:hAnsi="Times New Roman"/>
        </w:rPr>
      </w:pPr>
    </w:p>
    <w:p>
      <w:pPr>
        <w:rPr>
          <w:rFonts w:ascii="Times New Roman" w:hAnsi="Times New Roman"/>
        </w:rPr>
      </w:pPr>
    </w:p>
    <w:p>
      <w:pPr>
        <w:ind w:firstLineChars="500" w:firstLine="1050"/>
        <w:rPr>
          <w:rFonts w:ascii="Times New Roman" w:hAnsi="Times New Roman"/>
        </w:rPr>
      </w:pPr>
    </w:p>
    <w:p>
      <w:pPr>
        <w:ind w:firstLineChars="500" w:firstLine="1050"/>
        <w:rPr>
          <w:rFonts w:ascii="Times New Roman" w:hAnsi="Times New Roman"/>
        </w:rPr>
      </w:pPr>
    </w:p>
    <w:p>
      <w:pPr>
        <w:ind w:firstLineChars="400" w:firstLine="1760"/>
        <w:rPr>
          <w:rFonts w:ascii="Times New Roman" w:eastAsia="黑体" w:hAnsi="Times New Roman"/>
          <w:sz w:val="44"/>
          <w:szCs w:val="44"/>
        </w:rPr>
      </w:pPr>
    </w:p>
    <w:p>
      <w:pPr>
        <w:ind w:firstLineChars="400" w:firstLine="1760"/>
        <w:rPr>
          <w:rFonts w:ascii="Times New Roman" w:eastAsia="黑体" w:hAnsi="Times New Roman"/>
          <w:sz w:val="44"/>
          <w:szCs w:val="44"/>
        </w:rPr>
      </w:pPr>
    </w:p>
    <w:p>
      <w:pPr>
        <w:jc w:val="center"/>
        <w:rPr>
          <w:rFonts w:ascii="Times New Roman" w:eastAsia="黑体" w:hAnsi="Times New Roman"/>
          <w:sz w:val="44"/>
          <w:szCs w:val="44"/>
        </w:rPr>
      </w:pPr>
      <w:r>
        <w:rPr>
          <w:rFonts w:ascii="Times New Roman" w:eastAsia="黑体" w:hAnsi="Times New Roman"/>
          <w:sz w:val="44"/>
          <w:szCs w:val="44"/>
        </w:rPr>
        <w:t>阿坝州工商联</w:t>
      </w:r>
    </w:p>
    <w:p>
      <w:pPr>
        <w:jc w:val="center"/>
        <w:rPr>
          <w:rFonts w:ascii="Times New Roman" w:eastAsia="黑体" w:hAnsi="Times New Roman"/>
          <w:sz w:val="44"/>
          <w:szCs w:val="44"/>
        </w:rPr>
      </w:pPr>
      <w:r>
        <w:rPr>
          <w:rFonts w:ascii="Times New Roman" w:eastAsia="黑体" w:hAnsi="Times New Roman"/>
          <w:sz w:val="44"/>
          <w:szCs w:val="44"/>
        </w:rPr>
        <w:t>2025年部门预算</w:t>
      </w:r>
    </w:p>
    <w:p>
      <w:pPr>
        <w:ind w:firstLineChars="400" w:firstLine="1760"/>
        <w:rPr>
          <w:rFonts w:ascii="Times New Roman" w:eastAsia="黑体" w:hAnsi="Times New Roman"/>
          <w:sz w:val="44"/>
          <w:szCs w:val="44"/>
        </w:rPr>
      </w:pPr>
    </w:p>
    <w:p>
      <w:pPr>
        <w:ind w:firstLineChars="400" w:firstLine="1760"/>
        <w:rPr>
          <w:rFonts w:ascii="Times New Roman" w:eastAsia="黑体" w:hAnsi="Times New Roman"/>
          <w:sz w:val="44"/>
          <w:szCs w:val="44"/>
        </w:rPr>
      </w:pPr>
    </w:p>
    <w:p>
      <w:pPr>
        <w:ind w:firstLineChars="400" w:firstLine="1760"/>
        <w:rPr>
          <w:rFonts w:ascii="Times New Roman" w:eastAsia="黑体" w:hAnsi="Times New Roman"/>
          <w:sz w:val="44"/>
          <w:szCs w:val="44"/>
        </w:rPr>
      </w:pPr>
    </w:p>
    <w:p>
      <w:pPr>
        <w:ind w:firstLineChars="400" w:firstLine="1760"/>
        <w:rPr>
          <w:rFonts w:ascii="Times New Roman" w:eastAsia="黑体" w:hAnsi="Times New Roman"/>
          <w:sz w:val="44"/>
          <w:szCs w:val="44"/>
        </w:rPr>
      </w:pPr>
    </w:p>
    <w:p>
      <w:pPr>
        <w:ind w:firstLineChars="400" w:firstLine="1760"/>
        <w:rPr>
          <w:rFonts w:ascii="Times New Roman" w:eastAsia="黑体" w:hAnsi="Times New Roman"/>
          <w:sz w:val="44"/>
          <w:szCs w:val="44"/>
        </w:rPr>
      </w:pPr>
    </w:p>
    <w:p>
      <w:pPr>
        <w:ind w:firstLineChars="400" w:firstLine="1760"/>
        <w:rPr>
          <w:rFonts w:ascii="Times New Roman" w:eastAsia="黑体" w:hAnsi="Times New Roman"/>
          <w:sz w:val="44"/>
          <w:szCs w:val="44"/>
        </w:rPr>
      </w:pPr>
    </w:p>
    <w:p>
      <w:pPr>
        <w:ind w:firstLineChars="400" w:firstLine="1760"/>
        <w:rPr>
          <w:rFonts w:ascii="Times New Roman" w:eastAsia="黑体" w:hAnsi="Times New Roman"/>
          <w:sz w:val="44"/>
          <w:szCs w:val="44"/>
        </w:rPr>
      </w:pPr>
    </w:p>
    <w:p>
      <w:pPr>
        <w:ind w:firstLineChars="400" w:firstLine="1760"/>
        <w:rPr>
          <w:rFonts w:ascii="Times New Roman" w:eastAsia="黑体" w:hAnsi="Times New Roman"/>
          <w:sz w:val="44"/>
          <w:szCs w:val="44"/>
        </w:rPr>
      </w:pPr>
    </w:p>
    <w:p>
      <w:pPr>
        <w:ind w:firstLineChars="400" w:firstLine="1760"/>
        <w:rPr>
          <w:rFonts w:ascii="Times New Roman" w:eastAsia="黑体" w:hAnsi="Times New Roman"/>
          <w:sz w:val="44"/>
          <w:szCs w:val="44"/>
        </w:rPr>
      </w:pPr>
    </w:p>
    <w:p>
      <w:pPr>
        <w:ind w:firstLineChars="400" w:firstLine="1760"/>
        <w:rPr>
          <w:rFonts w:ascii="Times New Roman" w:eastAsia="黑体" w:hAnsi="Times New Roman"/>
          <w:sz w:val="44"/>
          <w:szCs w:val="44"/>
        </w:rPr>
      </w:pPr>
    </w:p>
    <w:p>
      <w:pPr>
        <w:ind w:firstLineChars="400" w:firstLine="1760"/>
        <w:rPr>
          <w:rFonts w:ascii="Times New Roman" w:eastAsia="黑体" w:hAnsi="Times New Roman"/>
          <w:sz w:val="44"/>
          <w:szCs w:val="44"/>
        </w:rPr>
      </w:pPr>
    </w:p>
    <w:p>
      <w:pPr>
        <w:ind w:firstLineChars="400" w:firstLine="1760"/>
        <w:rPr>
          <w:rFonts w:ascii="Times New Roman" w:eastAsia="黑体" w:hAnsi="Times New Roman"/>
          <w:sz w:val="44"/>
          <w:szCs w:val="44"/>
        </w:rPr>
      </w:pPr>
    </w:p>
    <w:p>
      <w:pPr>
        <w:ind w:firstLineChars="400" w:firstLine="1760"/>
        <w:rPr>
          <w:rFonts w:ascii="Times New Roman" w:eastAsia="黑体" w:hAnsi="Times New Roman"/>
          <w:sz w:val="44"/>
          <w:szCs w:val="44"/>
        </w:rPr>
      </w:pPr>
    </w:p>
    <w:p>
      <w:pPr>
        <w:ind w:firstLineChars="400" w:firstLine="1760"/>
        <w:rPr>
          <w:rFonts w:ascii="Times New Roman" w:eastAsia="黑体" w:hAnsi="Times New Roman"/>
          <w:sz w:val="44"/>
          <w:szCs w:val="44"/>
        </w:rPr>
      </w:pPr>
    </w:p>
    <w:p>
      <w:pPr>
        <w:rPr>
          <w:rFonts w:ascii="Times New Roman" w:eastAsia="黑体" w:hAnsi="Times New Roman"/>
          <w:sz w:val="44"/>
          <w:szCs w:val="44"/>
        </w:rPr>
      </w:pPr>
    </w:p>
    <w:p>
      <w:pPr>
        <w:ind w:firstLineChars="600" w:firstLine="3120"/>
        <w:rPr>
          <w:rFonts w:ascii="Times New Roman" w:eastAsia="黑体" w:hAnsi="Times New Roman"/>
          <w:sz w:val="52"/>
          <w:szCs w:val="52"/>
        </w:rPr>
      </w:pPr>
      <w:r>
        <w:rPr>
          <w:rFonts w:ascii="Times New Roman" w:eastAsia="黑体" w:hAnsi="Times New Roman"/>
          <w:sz w:val="52"/>
          <w:szCs w:val="52"/>
        </w:rPr>
        <w:t>目录</w:t>
      </w:r>
    </w:p>
    <w:p>
      <w:pPr>
        <w:ind w:firstLineChars="700" w:firstLine="3080"/>
        <w:rPr>
          <w:rFonts w:ascii="Times New Roman" w:eastAsia="黑体" w:hAnsi="Times New Roman"/>
          <w:sz w:val="44"/>
          <w:szCs w:val="44"/>
        </w:rPr>
      </w:pPr>
    </w:p>
    <w:p>
      <w:pPr>
        <w:pStyle w:val="17"/>
        <w:ind w:firstLineChars="0" w:firstLine="0"/>
        <w:rPr>
          <w:rFonts w:ascii="Times New Roman" w:eastAsia="黑体" w:hAnsi="Times New Roman"/>
          <w:sz w:val="32"/>
          <w:szCs w:val="32"/>
        </w:rPr>
      </w:pPr>
      <w:r>
        <w:rPr>
          <w:rFonts w:ascii="Times New Roman" w:eastAsia="黑体" w:hAnsi="Times New Roman"/>
          <w:sz w:val="32"/>
          <w:szCs w:val="32"/>
        </w:rPr>
        <w:t>一、基本职能及主要工作</w:t>
      </w:r>
    </w:p>
    <w:p>
      <w:pPr>
        <w:rPr>
          <w:rFonts w:ascii="Times New Roman" w:eastAsia="楷体" w:hAnsi="Times New Roman"/>
          <w:sz w:val="32"/>
          <w:szCs w:val="32"/>
        </w:rPr>
      </w:pPr>
      <w:r>
        <w:rPr>
          <w:rFonts w:ascii="Times New Roman" w:eastAsia="楷体" w:hAnsi="Times New Roman"/>
          <w:sz w:val="32"/>
          <w:szCs w:val="32"/>
        </w:rPr>
        <w:t>（一）部门职能简介</w:t>
      </w:r>
    </w:p>
    <w:p>
      <w:pPr>
        <w:rPr>
          <w:rFonts w:ascii="Times New Roman" w:eastAsia="楷体" w:hAnsi="Times New Roman"/>
          <w:sz w:val="32"/>
          <w:szCs w:val="32"/>
        </w:rPr>
      </w:pPr>
      <w:r>
        <w:rPr>
          <w:rFonts w:ascii="Times New Roman" w:eastAsia="楷体" w:hAnsi="Times New Roman"/>
          <w:sz w:val="32"/>
          <w:szCs w:val="32"/>
        </w:rPr>
        <w:t>（二）2025年重点工作</w:t>
      </w:r>
    </w:p>
    <w:p>
      <w:pPr>
        <w:rPr>
          <w:rFonts w:ascii="Times New Roman" w:eastAsia="黑体" w:hAnsi="Times New Roman"/>
          <w:sz w:val="32"/>
          <w:szCs w:val="32"/>
        </w:rPr>
      </w:pPr>
      <w:r>
        <w:rPr>
          <w:rFonts w:ascii="Times New Roman" w:eastAsia="黑体" w:hAnsi="Times New Roman"/>
          <w:sz w:val="32"/>
          <w:szCs w:val="32"/>
        </w:rPr>
        <w:t>二、部门预算单位构成</w:t>
      </w:r>
    </w:p>
    <w:p>
      <w:pPr>
        <w:rPr>
          <w:rFonts w:ascii="Times New Roman" w:eastAsia="黑体" w:hAnsi="Times New Roman"/>
          <w:sz w:val="32"/>
          <w:szCs w:val="32"/>
        </w:rPr>
      </w:pPr>
      <w:r>
        <w:rPr>
          <w:rFonts w:ascii="Times New Roman" w:eastAsia="黑体" w:hAnsi="Times New Roman"/>
          <w:sz w:val="32"/>
          <w:szCs w:val="32"/>
        </w:rPr>
        <w:t>三、收支预算情况说明</w:t>
      </w:r>
    </w:p>
    <w:p>
      <w:pPr>
        <w:rPr>
          <w:rFonts w:ascii="Times New Roman" w:eastAsia="楷体" w:hAnsi="Times New Roman"/>
          <w:sz w:val="32"/>
          <w:szCs w:val="32"/>
        </w:rPr>
      </w:pPr>
      <w:r>
        <w:rPr>
          <w:rFonts w:ascii="Times New Roman" w:eastAsia="楷体" w:hAnsi="Times New Roman"/>
          <w:sz w:val="32"/>
          <w:szCs w:val="32"/>
        </w:rPr>
        <w:t>（一）收入预算情况</w:t>
      </w:r>
    </w:p>
    <w:p>
      <w:pPr>
        <w:rPr>
          <w:rFonts w:ascii="Times New Roman" w:eastAsia="楷体" w:hAnsi="Times New Roman"/>
          <w:sz w:val="32"/>
          <w:szCs w:val="32"/>
        </w:rPr>
      </w:pPr>
      <w:r>
        <w:rPr>
          <w:rFonts w:ascii="Times New Roman" w:eastAsia="楷体" w:hAnsi="Times New Roman"/>
          <w:sz w:val="32"/>
          <w:szCs w:val="32"/>
        </w:rPr>
        <w:t>（二）支出预算情况</w:t>
      </w:r>
    </w:p>
    <w:p>
      <w:pPr>
        <w:rPr>
          <w:rFonts w:ascii="Times New Roman" w:eastAsia="黑体" w:hAnsi="Times New Roman"/>
          <w:sz w:val="32"/>
          <w:szCs w:val="32"/>
        </w:rPr>
      </w:pPr>
      <w:r>
        <w:rPr>
          <w:rFonts w:ascii="Times New Roman" w:eastAsia="黑体" w:hAnsi="Times New Roman"/>
          <w:sz w:val="32"/>
          <w:szCs w:val="32"/>
        </w:rPr>
        <w:t>四、财政拨款收支预算情况说明</w:t>
      </w:r>
    </w:p>
    <w:p>
      <w:pPr>
        <w:rPr>
          <w:rFonts w:ascii="Times New Roman" w:eastAsia="黑体" w:hAnsi="Times New Roman"/>
          <w:sz w:val="32"/>
          <w:szCs w:val="32"/>
        </w:rPr>
      </w:pPr>
      <w:r>
        <w:rPr>
          <w:rFonts w:ascii="Times New Roman" w:eastAsia="黑体" w:hAnsi="Times New Roman"/>
          <w:sz w:val="32"/>
          <w:szCs w:val="32"/>
        </w:rPr>
        <w:t>五、一般公共预算当年拨款情况说明</w:t>
      </w:r>
    </w:p>
    <w:p>
      <w:pPr>
        <w:rPr>
          <w:rFonts w:ascii="Times New Roman" w:eastAsia="黑体" w:hAnsi="Times New Roman"/>
          <w:sz w:val="32"/>
          <w:szCs w:val="32"/>
        </w:rPr>
      </w:pPr>
      <w:r>
        <w:rPr>
          <w:rFonts w:ascii="Times New Roman" w:eastAsia="楷体" w:hAnsi="Times New Roman"/>
          <w:sz w:val="32"/>
          <w:szCs w:val="32"/>
        </w:rPr>
        <w:t>（一）一般公共预算当年拨款规模变化情况</w:t>
        <w:br/>
        <w:t>（二）一般公共预算当年拨款结构情况</w:t>
        <w:br/>
        <w:t>（三）一般公共预算当年拨款具体使用情况</w:t>
      </w:r>
      <w:r>
        <w:rPr>
          <w:rFonts w:ascii="Times New Roman" w:hAnsi="Times New Roman"/>
          <w:kern w:val="0"/>
          <w:sz w:val="16"/>
          <w:szCs w:val="16"/>
        </w:rPr>
        <w:br/>
      </w:r>
      <w:r>
        <w:rPr>
          <w:rFonts w:ascii="Times New Roman" w:eastAsia="黑体" w:hAnsi="Times New Roman"/>
          <w:sz w:val="32"/>
          <w:szCs w:val="32"/>
        </w:rPr>
        <w:t>六、一般公共预算基本支出情况说明</w:t>
        <w:br/>
        <w:t>七、“三公”经费财政拨款预算安排情况说明</w:t>
        <w:br/>
        <w:t>八、政府性基金预算支出情况说明</w:t>
        <w:br/>
        <w:t>九、其他重要事项的情况说明</w:t>
        <w:br/>
        <w:t>十、名称解释</w:t>
      </w:r>
    </w:p>
    <w:p>
      <w:pPr>
        <w:rPr>
          <w:rFonts w:ascii="Times New Roman" w:eastAsia="黑体" w:hAnsi="Times New Roman"/>
          <w:sz w:val="32"/>
          <w:szCs w:val="32"/>
        </w:rPr>
      </w:pPr>
    </w:p>
    <w:p>
      <w:pPr>
        <w:widowControl/>
        <w:shd w:val="clear" w:color="auto" w:fill="FFFFFF"/>
        <w:spacing w:before="100" w:beforeAutospacing="1" w:after="100" w:afterAutospacing="1" w:line="290" w:lineRule="atLeast"/>
        <w:ind w:right="300"/>
        <w:jc w:val="left"/>
        <w:rPr>
          <w:rFonts w:ascii="Times New Roman" w:hAnsi="Times New Roman"/>
          <w:kern w:val="0"/>
          <w:sz w:val="12"/>
          <w:szCs w:val="12"/>
        </w:rPr>
      </w:pPr>
    </w:p>
    <w:p>
      <w:pPr>
        <w:pStyle w:val="17"/>
        <w:spacing w:line="560" w:lineRule="exact"/>
        <w:rPr>
          <w:rFonts w:ascii="Times New Roman" w:eastAsia="黑体" w:hAnsi="Times New Roman"/>
          <w:sz w:val="32"/>
          <w:szCs w:val="32"/>
        </w:rPr>
      </w:pPr>
      <w:r>
        <w:rPr>
          <w:rFonts w:ascii="Times New Roman" w:eastAsia="黑体" w:hAnsi="Times New Roman"/>
          <w:sz w:val="32"/>
          <w:szCs w:val="32"/>
        </w:rPr>
        <w:t>一、基本职能及主要工作</w:t>
      </w:r>
    </w:p>
    <w:p>
      <w:pPr>
        <w:spacing w:line="560" w:lineRule="exact"/>
        <w:ind w:firstLineChars="200" w:firstLine="640"/>
        <w:rPr>
          <w:rFonts w:ascii="Times New Roman" w:eastAsia="楷体" w:hAnsi="Times New Roman"/>
          <w:sz w:val="32"/>
          <w:szCs w:val="32"/>
        </w:rPr>
      </w:pPr>
      <w:r>
        <w:rPr>
          <w:rFonts w:ascii="Times New Roman" w:eastAsia="楷体" w:hAnsi="Times New Roman"/>
          <w:sz w:val="32"/>
          <w:szCs w:val="32"/>
        </w:rPr>
        <w:t>（一）州工商联职能简介</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根据《中华全国工商业联合会章程》、《中共中央 国务院关于加强和改进新形式下工商联工作的意见》（中发〔2010〕16号）文件规定，工商联是中国共产党领导的以非公有制企业和非公有制经济人士为主体的人民团体和商会组织，是党和政府联系非公有制经济人士的桥梁和纽带，是政府管理非公有制经济的助手。加强非公有制经济代表人士思想政治工作；引导非公有制经济和非公有制经济代表人士健康成长；积极参政议政、发挥民主监督作用；服务非公有制经济发展，参加各种商务活动；履行社会团体业务主管单位职责，促进行业协会商会改革发展是工商联的主要职责。</w:t>
      </w:r>
    </w:p>
    <w:p>
      <w:pPr>
        <w:spacing w:line="560" w:lineRule="exact"/>
        <w:ind w:firstLineChars="200" w:firstLine="640"/>
        <w:rPr>
          <w:rFonts w:ascii="Times New Roman" w:eastAsia="楷体" w:hAnsi="Times New Roman"/>
          <w:sz w:val="32"/>
          <w:szCs w:val="32"/>
        </w:rPr>
      </w:pPr>
      <w:r>
        <w:rPr>
          <w:rFonts w:ascii="Times New Roman" w:eastAsia="楷体" w:hAnsi="Times New Roman"/>
          <w:sz w:val="32"/>
          <w:szCs w:val="32"/>
        </w:rPr>
        <w:t>（二）2025年重点工作</w:t>
      </w:r>
    </w:p>
    <w:p>
      <w:pPr>
        <w:keepNext w:val="0"/>
        <w:keepLines w:val="0"/>
        <w:pageBreakBefore w:val="0"/>
        <w:widowControl w:val="0"/>
        <w:pBdr>
          <w:bottom w:val="single" w:sz="4" w:space="31" w:color="FFFFFF"/>
        </w:pBdr>
        <w:kinsoku/>
        <w:wordWrap/>
        <w:overflowPunct/>
        <w:topLinePunct w:val="0"/>
        <w:autoSpaceDE/>
        <w:autoSpaceDN/>
        <w:bidi w:val="0"/>
        <w:adjustRightInd/>
        <w:snapToGrid/>
        <w:spacing w:line="560" w:lineRule="exact"/>
        <w:ind w:firstLineChars="250" w:firstLine="800"/>
        <w:textAlignment w:val="auto"/>
        <w:rPr>
          <w:rFonts w:ascii="Times New Roman" w:eastAsia="方正仿宋_GBK" w:hAnsi="Times New Roman"/>
          <w:kern w:val="2"/>
          <w:sz w:val="32"/>
          <w:szCs w:val="32"/>
          <w:lang w:val="en-US" w:eastAsia="zh-CN" w:bidi="ar-SA"/>
        </w:rPr>
      </w:pPr>
      <w:r>
        <w:rPr>
          <w:rFonts w:ascii="Times New Roman" w:eastAsia="方正楷体_GBK" w:hAnsi="Times New Roman"/>
          <w:sz w:val="32"/>
          <w:szCs w:val="32"/>
          <w:lang w:val="en-US" w:eastAsia="zh-CN"/>
        </w:rPr>
        <w:t>（一）</w:t>
      </w:r>
      <w:r>
        <w:rPr>
          <w:rFonts w:ascii="Times New Roman" w:eastAsia="方正仿宋_GBK" w:hAnsi="Times New Roman"/>
          <w:kern w:val="2"/>
          <w:sz w:val="32"/>
          <w:szCs w:val="32"/>
          <w:lang w:val="en-US" w:eastAsia="zh-CN" w:bidi="ar-SA"/>
        </w:rPr>
        <w:t>围绕州委建设“民宿之州”和推进现代农牧业发展培育特色品牌战略部署，深入企业、基层开展调研，力争成立州县民宿协会，引导民营企业参与“净土阿坝”特色农牧产品特色品牌打造。</w:t>
      </w:r>
    </w:p>
    <w:p>
      <w:pPr>
        <w:keepNext w:val="0"/>
        <w:keepLines w:val="0"/>
        <w:pageBreakBefore w:val="0"/>
        <w:widowControl w:val="0"/>
        <w:pBdr>
          <w:bottom w:val="single" w:sz="4" w:space="31" w:color="FFFFFF"/>
        </w:pBdr>
        <w:kinsoku/>
        <w:wordWrap/>
        <w:overflowPunct/>
        <w:topLinePunct w:val="0"/>
        <w:autoSpaceDE/>
        <w:autoSpaceDN/>
        <w:bidi w:val="0"/>
        <w:adjustRightInd/>
        <w:snapToGrid/>
        <w:spacing w:line="560" w:lineRule="exact"/>
        <w:ind w:firstLineChars="250" w:firstLine="800"/>
        <w:textAlignment w:val="auto"/>
        <w:rPr>
          <w:rFonts w:ascii="Times New Roman" w:eastAsia="方正仿宋_GBK" w:hAnsi="Times New Roman"/>
          <w:kern w:val="2"/>
          <w:sz w:val="32"/>
          <w:szCs w:val="32"/>
          <w:lang w:val="en-US" w:eastAsia="zh-CN" w:bidi="ar-SA"/>
        </w:rPr>
      </w:pPr>
      <w:r>
        <w:rPr>
          <w:rFonts w:ascii="Times New Roman" w:eastAsia="方正仿宋_GBK" w:hAnsi="Times New Roman"/>
          <w:kern w:val="2"/>
          <w:sz w:val="32"/>
          <w:szCs w:val="32"/>
          <w:lang w:val="en-US" w:eastAsia="zh-CN" w:bidi="ar-SA"/>
        </w:rPr>
        <w:t>（二）搭建州、县政策发布和</w:t>
      </w:r>
      <w:bookmarkStart w:id="0" w:name="_GoBack"/>
      <w:bookmarkEnd w:id="0"/>
      <w:r>
        <w:rPr>
          <w:rFonts w:ascii="Times New Roman" w:eastAsia="方正仿宋_GBK" w:hAnsi="Times New Roman"/>
          <w:kern w:val="2"/>
          <w:sz w:val="32"/>
          <w:szCs w:val="32"/>
          <w:lang w:val="en-US" w:eastAsia="zh-CN" w:bidi="ar-SA"/>
        </w:rPr>
        <w:t>宣传平台，建立定期发布惠企、助企政策机制。</w:t>
      </w:r>
    </w:p>
    <w:p>
      <w:pPr>
        <w:keepNext w:val="0"/>
        <w:keepLines w:val="0"/>
        <w:pageBreakBefore w:val="0"/>
        <w:widowControl w:val="0"/>
        <w:pBdr>
          <w:bottom w:val="single" w:sz="4" w:space="31" w:color="FFFFFF"/>
        </w:pBdr>
        <w:kinsoku/>
        <w:wordWrap/>
        <w:overflowPunct/>
        <w:topLinePunct w:val="0"/>
        <w:autoSpaceDE/>
        <w:autoSpaceDN/>
        <w:bidi w:val="0"/>
        <w:adjustRightInd/>
        <w:snapToGrid/>
        <w:spacing w:line="560" w:lineRule="exact"/>
        <w:ind w:firstLineChars="250" w:firstLine="800"/>
        <w:textAlignment w:val="auto"/>
        <w:rPr>
          <w:rFonts w:ascii="Times New Roman" w:eastAsia="方正仿宋_GBK" w:hAnsi="Times New Roman"/>
          <w:kern w:val="2"/>
          <w:sz w:val="32"/>
          <w:szCs w:val="32"/>
          <w:lang w:val="en-US" w:eastAsia="zh-CN" w:bidi="ar-SA"/>
        </w:rPr>
      </w:pPr>
      <w:r>
        <w:rPr>
          <w:rFonts w:ascii="Times New Roman" w:eastAsia="方正仿宋_GBK" w:hAnsi="Times New Roman"/>
          <w:kern w:val="2"/>
          <w:sz w:val="32"/>
          <w:szCs w:val="32"/>
          <w:lang w:val="en-US" w:eastAsia="zh-CN" w:bidi="ar-SA"/>
        </w:rPr>
        <w:t>（三）定期召开政银企座谈会，统筹协调相关部门梳理收集解决民营企业诉求和困难意见建议。</w:t>
      </w:r>
    </w:p>
    <w:p>
      <w:pPr>
        <w:keepNext w:val="0"/>
        <w:keepLines w:val="0"/>
        <w:pageBreakBefore w:val="0"/>
        <w:widowControl w:val="0"/>
        <w:pBdr>
          <w:bottom w:val="single" w:sz="4" w:space="31" w:color="FFFFFF"/>
        </w:pBdr>
        <w:kinsoku/>
        <w:wordWrap/>
        <w:overflowPunct/>
        <w:topLinePunct w:val="0"/>
        <w:autoSpaceDE/>
        <w:autoSpaceDN/>
        <w:bidi w:val="0"/>
        <w:adjustRightInd/>
        <w:snapToGrid/>
        <w:spacing w:line="560" w:lineRule="exact"/>
        <w:ind w:firstLineChars="250" w:firstLine="800"/>
        <w:textAlignment w:val="auto"/>
        <w:rPr>
          <w:rFonts w:ascii="Times New Roman" w:eastAsia="方正仿宋_GBK" w:hAnsi="Times New Roman"/>
          <w:b w:val="0"/>
          <w:bCs w:val="0"/>
          <w:i w:val="0"/>
          <w:color w:val="000000"/>
          <w:spacing w:val="0"/>
          <w:w w:val="100"/>
          <w:sz w:val="32"/>
          <w:szCs w:val="32"/>
          <w:lang w:val="en-US" w:eastAsia="zh-CN" w:bidi="ar-SA"/>
        </w:rPr>
      </w:pPr>
      <w:r>
        <w:rPr>
          <w:rFonts w:ascii="Times New Roman" w:eastAsia="方正仿宋_GBK" w:hAnsi="Times New Roman"/>
          <w:kern w:val="2"/>
          <w:sz w:val="32"/>
          <w:szCs w:val="32"/>
          <w:lang w:val="en-US" w:eastAsia="zh-CN" w:bidi="ar-SA"/>
        </w:rPr>
        <w:t>（四）积极引导民营企业履行社会责任。</w:t>
      </w:r>
      <w:r>
        <w:rPr>
          <w:rFonts w:ascii="Times New Roman" w:eastAsia="方正仿宋_GBK" w:hAnsi="Times New Roman"/>
          <w:b/>
          <w:bCs/>
          <w:sz w:val="32"/>
          <w:szCs w:val="32"/>
          <w:lang w:val="en-US" w:eastAsia="zh-CN" w:bidi="ar-SA"/>
        </w:rPr>
        <w:t>一是</w:t>
      </w:r>
      <w:r>
        <w:rPr>
          <w:rFonts w:ascii="Times New Roman" w:eastAsia="方正仿宋_GBK" w:hAnsi="Times New Roman"/>
          <w:sz w:val="32"/>
          <w:szCs w:val="32"/>
          <w:lang w:val="en-US" w:eastAsia="zh-CN" w:bidi="ar-SA"/>
        </w:rPr>
        <w:t>深入开展“万企兴万村”行动，助力发展壮大村集体经济，搭建“万企兴万村”消费扶贫平台，积极引导企业、商（协）会参与消费扶贫行动；</w:t>
      </w:r>
      <w:r>
        <w:rPr>
          <w:rFonts w:ascii="Times New Roman" w:eastAsia="方正仿宋_GBK" w:hAnsi="Times New Roman"/>
          <w:b/>
          <w:bCs/>
          <w:sz w:val="32"/>
          <w:szCs w:val="32"/>
          <w:lang w:val="en-US" w:eastAsia="zh-CN"/>
        </w:rPr>
        <w:t>二是</w:t>
      </w:r>
      <w:r>
        <w:rPr>
          <w:rFonts w:ascii="Times New Roman" w:eastAsia="方正仿宋_GBK" w:hAnsi="Times New Roman"/>
          <w:sz w:val="32"/>
          <w:szCs w:val="32"/>
          <w:lang w:val="en-US" w:eastAsia="zh-CN"/>
        </w:rPr>
        <w:t>扎实推进欠发达县域托底帮扶工作和困难乡镇托底性帮扶工作，</w:t>
      </w:r>
      <w:r>
        <w:rPr>
          <w:rFonts w:ascii="Times New Roman" w:eastAsia="方正仿宋_GBK" w:hAnsi="Times New Roman"/>
          <w:b w:val="0"/>
          <w:bCs w:val="0"/>
          <w:color w:val="auto"/>
          <w:sz w:val="32"/>
          <w:szCs w:val="32"/>
          <w:lang w:val="en-US" w:eastAsia="zh-CN" w:bidi="ar-SA"/>
        </w:rPr>
        <w:t>持续</w:t>
      </w:r>
      <w:r>
        <w:rPr>
          <w:rFonts w:ascii="Times New Roman" w:eastAsia="方正仿宋_GBK" w:hAnsi="Times New Roman"/>
          <w:b w:val="0"/>
          <w:bCs w:val="0"/>
          <w:sz w:val="32"/>
          <w:szCs w:val="32"/>
          <w:lang w:val="en-US" w:eastAsia="zh-CN"/>
        </w:rPr>
        <w:t>对接省工商联、成都工商联、州内外结对帮扶企业，</w:t>
      </w:r>
      <w:r>
        <w:rPr>
          <w:rFonts w:ascii="Times New Roman" w:eastAsia="方正仿宋_GBK" w:hAnsi="Times New Roman"/>
          <w:b w:val="0"/>
          <w:bCs w:val="0"/>
          <w:i w:val="0"/>
          <w:color w:val="000000"/>
          <w:spacing w:val="0"/>
          <w:w w:val="100"/>
          <w:sz w:val="32"/>
          <w:szCs w:val="32"/>
          <w:lang w:val="en-US" w:eastAsia="zh-CN" w:bidi="ar-SA"/>
        </w:rPr>
        <w:t>重点开展产业培育、商贸流通、消费就业等领域县企合作，助推县域经济发展。</w:t>
      </w:r>
    </w:p>
    <w:p>
      <w:pPr>
        <w:keepNext w:val="0"/>
        <w:keepLines w:val="0"/>
        <w:pageBreakBefore w:val="0"/>
        <w:widowControl w:val="0"/>
        <w:pBdr>
          <w:bottom w:val="single" w:sz="4" w:space="31" w:color="FFFFFF"/>
        </w:pBdr>
        <w:kinsoku/>
        <w:wordWrap/>
        <w:overflowPunct/>
        <w:topLinePunct w:val="0"/>
        <w:autoSpaceDE/>
        <w:autoSpaceDN/>
        <w:bidi w:val="0"/>
        <w:adjustRightInd/>
        <w:snapToGrid/>
        <w:spacing w:line="560" w:lineRule="exact"/>
        <w:ind w:firstLineChars="250" w:firstLine="800"/>
        <w:textAlignment w:val="auto"/>
        <w:rPr>
          <w:rFonts w:ascii="Times New Roman" w:eastAsia="方正仿宋_GBK" w:hAnsi="Times New Roman"/>
          <w:color w:val="000000"/>
          <w:spacing w:val="0"/>
          <w:sz w:val="32"/>
          <w:szCs w:val="32"/>
          <w:lang w:bidi="ar-SA"/>
        </w:rPr>
      </w:pPr>
      <w:r>
        <w:rPr>
          <w:rFonts w:ascii="Times New Roman" w:eastAsia="方正仿宋_GBK" w:hAnsi="Times New Roman"/>
          <w:kern w:val="2"/>
          <w:sz w:val="32"/>
          <w:szCs w:val="32"/>
          <w:lang w:val="en-US" w:eastAsia="zh-CN" w:bidi="ar-SA"/>
        </w:rPr>
        <w:t>（五）强化东西部协作。积极发挥工商联</w:t>
      </w:r>
      <w:r>
        <w:rPr>
          <w:rFonts w:ascii="Times New Roman" w:eastAsia="方正仿宋_GBK" w:hAnsi="Times New Roman"/>
          <w:b w:val="0"/>
          <w:bCs w:val="0"/>
          <w:i w:val="0"/>
          <w:color w:val="000000"/>
          <w:spacing w:val="0"/>
          <w:w w:val="100"/>
          <w:sz w:val="32"/>
          <w:szCs w:val="32"/>
          <w:lang w:val="en-US" w:eastAsia="zh-CN" w:bidi="ar-SA"/>
        </w:rPr>
        <w:t>桥梁纽带作用，促进民营企业与东部发达城市在村企结对、产业合作、项目投资、消费帮扶、信息对接、人才培育、促进农牧民增收等方面的交流和协作，</w:t>
      </w:r>
      <w:r>
        <w:rPr>
          <w:rFonts w:ascii="Times New Roman" w:eastAsia="方正仿宋_GBK" w:hAnsi="Times New Roman"/>
          <w:sz w:val="32"/>
          <w:szCs w:val="32"/>
          <w:lang w:val="en-US" w:eastAsia="zh-CN" w:bidi="ar-SA"/>
        </w:rPr>
        <w:t>力争开展一次“民营企业光彩阿坝行”活动</w:t>
      </w:r>
    </w:p>
    <w:p>
      <w:pPr>
        <w:keepNext w:val="0"/>
        <w:keepLines w:val="0"/>
        <w:pageBreakBefore w:val="0"/>
        <w:widowControl w:val="0"/>
        <w:pBdr>
          <w:bottom w:val="single" w:sz="4" w:space="31" w:color="FFFFFF"/>
        </w:pBdr>
        <w:kinsoku/>
        <w:wordWrap/>
        <w:overflowPunct/>
        <w:topLinePunct w:val="0"/>
        <w:autoSpaceDE/>
        <w:autoSpaceDN/>
        <w:bidi w:val="0"/>
        <w:adjustRightInd/>
        <w:snapToGrid/>
        <w:spacing w:line="560" w:lineRule="exact"/>
        <w:ind w:firstLineChars="200" w:firstLine="640"/>
        <w:textAlignment w:val="auto"/>
        <w:rPr>
          <w:rFonts w:ascii="Times New Roman" w:eastAsia="方正仿宋_GBK" w:hAnsi="Times New Roman"/>
          <w:sz w:val="32"/>
          <w:szCs w:val="32"/>
          <w:lang w:val="en-US" w:eastAsia="zh-CN" w:bidi="ar-SA"/>
        </w:rPr>
      </w:pPr>
      <w:r>
        <w:rPr>
          <w:rFonts w:ascii="Times New Roman" w:eastAsia="方正仿宋_GBK" w:hAnsi="Times New Roman"/>
          <w:kern w:val="2"/>
          <w:sz w:val="32"/>
          <w:szCs w:val="32"/>
          <w:lang w:val="en-US" w:eastAsia="zh-CN" w:bidi="ar-SA"/>
        </w:rPr>
        <w:t>（六）加强</w:t>
      </w:r>
      <w:r>
        <w:rPr>
          <w:rFonts w:ascii="Times New Roman" w:eastAsia="方正仿宋_GBK" w:hAnsi="Times New Roman"/>
          <w:sz w:val="32"/>
          <w:szCs w:val="32"/>
          <w:lang w:val="en-US" w:eastAsia="zh-CN" w:bidi="ar-SA"/>
        </w:rPr>
        <w:t>民营企业家理想信念教育，年内举办一期“家风教育”主题培训班，建立青年企业家储备库。开展兼职副主席、副会长和商会会长考评考察工作，发掘一批工商联班子人员储备人才。</w:t>
      </w:r>
    </w:p>
    <w:p>
      <w:pPr>
        <w:keepNext w:val="0"/>
        <w:keepLines w:val="0"/>
        <w:pageBreakBefore w:val="0"/>
        <w:widowControl w:val="0"/>
        <w:pBdr>
          <w:bottom w:val="single" w:sz="4" w:space="31" w:color="FFFFFF"/>
        </w:pBdr>
        <w:kinsoku/>
        <w:wordWrap/>
        <w:overflowPunct/>
        <w:topLinePunct w:val="0"/>
        <w:autoSpaceDE/>
        <w:autoSpaceDN/>
        <w:adjustRightInd/>
        <w:snapToGrid/>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lang w:val="en-US" w:eastAsia="zh-CN" w:bidi="ar-SA"/>
        </w:rPr>
        <w:t>（七）开展“枫桥式”商会建设工作，提升商会在预防与化解矛盾纠纷、促进企业和谐发展方面的能力与影响力。</w:t>
      </w:r>
    </w:p>
    <w:p>
      <w:pPr>
        <w:keepNext w:val="0"/>
        <w:keepLines w:val="0"/>
        <w:pageBreakBefore w:val="0"/>
        <w:widowControl w:val="0"/>
        <w:pBdr>
          <w:bottom w:val="single" w:sz="4" w:space="31" w:color="FFFFFF"/>
        </w:pBdr>
        <w:kinsoku/>
        <w:wordWrap/>
        <w:overflowPunct/>
        <w:topLinePunct w:val="0"/>
        <w:autoSpaceDE/>
        <w:autoSpaceDN/>
        <w:adjustRightInd/>
        <w:snapToGrid/>
        <w:spacing w:line="560" w:lineRule="exact"/>
        <w:ind w:firstLineChars="200" w:firstLine="640"/>
        <w:rPr>
          <w:rFonts w:ascii="Times New Roman" w:eastAsia="黑体" w:hAnsi="Times New Roman"/>
          <w:sz w:val="32"/>
          <w:szCs w:val="32"/>
        </w:rPr>
      </w:pPr>
      <w:r>
        <w:rPr>
          <w:rFonts w:ascii="Times New Roman" w:eastAsia="黑体" w:hAnsi="Times New Roman"/>
          <w:sz w:val="32"/>
          <w:szCs w:val="32"/>
        </w:rPr>
        <w:t>二、部门预算单位构成</w:t>
      </w:r>
    </w:p>
    <w:p>
      <w:pPr>
        <w:keepNext w:val="0"/>
        <w:keepLines w:val="0"/>
        <w:pageBreakBefore w:val="0"/>
        <w:widowControl w:val="0"/>
        <w:pBdr>
          <w:bottom w:val="single" w:sz="4" w:space="31" w:color="FFFFFF"/>
        </w:pBdr>
        <w:kinsoku/>
        <w:wordWrap/>
        <w:overflowPunct/>
        <w:topLinePunct w:val="0"/>
        <w:autoSpaceDE/>
        <w:autoSpaceDN/>
        <w:adjustRightInd/>
        <w:snapToGrid/>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州工商联属一级预算单位。</w:t>
      </w:r>
    </w:p>
    <w:p>
      <w:pPr>
        <w:keepNext w:val="0"/>
        <w:keepLines w:val="0"/>
        <w:pageBreakBefore w:val="0"/>
        <w:widowControl w:val="0"/>
        <w:pBdr>
          <w:bottom w:val="single" w:sz="4" w:space="31" w:color="FFFFFF"/>
        </w:pBdr>
        <w:kinsoku/>
        <w:wordWrap/>
        <w:overflowPunct/>
        <w:topLinePunct w:val="0"/>
        <w:autoSpaceDE/>
        <w:autoSpaceDN/>
        <w:adjustRightInd/>
        <w:snapToGrid/>
        <w:spacing w:line="560" w:lineRule="exact"/>
        <w:ind w:firstLineChars="200" w:firstLine="640"/>
        <w:rPr>
          <w:rFonts w:ascii="Times New Roman" w:eastAsia="黑体" w:hAnsi="Times New Roman"/>
          <w:sz w:val="32"/>
          <w:szCs w:val="32"/>
        </w:rPr>
      </w:pPr>
      <w:r>
        <w:rPr>
          <w:rFonts w:ascii="Times New Roman" w:eastAsia="黑体" w:hAnsi="Times New Roman"/>
          <w:sz w:val="32"/>
          <w:szCs w:val="32"/>
        </w:rPr>
        <w:t>三、收支预算情况说明</w:t>
      </w:r>
    </w:p>
    <w:p>
      <w:pPr>
        <w:keepNext w:val="0"/>
        <w:keepLines w:val="0"/>
        <w:pageBreakBefore w:val="0"/>
        <w:widowControl w:val="0"/>
        <w:pBdr>
          <w:bottom w:val="single" w:sz="4" w:space="31" w:color="FFFFFF"/>
        </w:pBdr>
        <w:kinsoku/>
        <w:wordWrap/>
        <w:overflowPunct/>
        <w:topLinePunct w:val="0"/>
        <w:autoSpaceDE/>
        <w:autoSpaceDN/>
        <w:adjustRightInd/>
        <w:snapToGrid/>
        <w:spacing w:line="560" w:lineRule="exact"/>
        <w:ind w:firstLineChars="200" w:firstLine="640"/>
        <w:jc w:val="center"/>
        <w:rPr>
          <w:rFonts w:ascii="Times New Roman" w:eastAsia="方正仿宋_GBK" w:hAnsi="Times New Roman"/>
          <w:sz w:val="32"/>
          <w:szCs w:val="32"/>
        </w:rPr>
      </w:pPr>
      <w:r>
        <w:rPr>
          <w:rFonts w:ascii="Times New Roman" w:eastAsia="方正仿宋_GBK" w:hAnsi="Times New Roman"/>
          <w:sz w:val="32"/>
          <w:szCs w:val="32"/>
        </w:rPr>
        <w:t>按照综合预算的原则，州工商联所有收入和支出均纳入部门预算管理。收入包括：一般公共预算拨款收入423.24万元；支出包括：一般公共服务支出343.13万元，社会保障和就业支出47万元，卫生健康支出12.38万元，住房保障支出20.73万元。州工商联2025年收支总预算423.24万</w:t>
      </w:r>
    </w:p>
    <w:p>
      <w:pPr>
        <w:keepNext w:val="0"/>
        <w:keepLines w:val="0"/>
        <w:pageBreakBefore w:val="0"/>
        <w:widowControl w:val="0"/>
        <w:pBdr>
          <w:bottom w:val="single" w:sz="4" w:space="31" w:color="FFFFFF"/>
        </w:pBdr>
        <w:kinsoku/>
        <w:wordWrap/>
        <w:overflowPunct/>
        <w:topLinePunct w:val="0"/>
        <w:autoSpaceDE/>
        <w:autoSpaceDN/>
        <w:adjustRightInd/>
        <w:snapToGrid/>
        <w:spacing w:line="560" w:lineRule="exact"/>
        <w:ind w:left="0"/>
        <w:rPr>
          <w:rFonts w:ascii="Times New Roman" w:eastAsia="方正仿宋_GBK" w:hAnsi="Times New Roman"/>
          <w:sz w:val="32"/>
          <w:szCs w:val="32"/>
        </w:rPr>
      </w:pPr>
      <w:r>
        <w:rPr>
          <w:rFonts w:ascii="Times New Roman" w:eastAsia="方正仿宋_GBK" w:hAnsi="Times New Roman"/>
          <w:sz w:val="32"/>
          <w:szCs w:val="32"/>
        </w:rPr>
        <w:t>元,比2024年收支预算总数减少19.28万元，主要原因：</w:t>
      </w:r>
    </w:p>
    <w:p>
      <w:pPr>
        <w:keepNext w:val="0"/>
        <w:keepLines w:val="0"/>
        <w:pageBreakBefore w:val="0"/>
        <w:widowControl w:val="0"/>
        <w:pBdr>
          <w:bottom w:val="single" w:sz="4" w:space="31" w:color="FFFFFF"/>
        </w:pBdr>
        <w:kinsoku/>
        <w:wordWrap/>
        <w:overflowPunct/>
        <w:topLinePunct w:val="0"/>
        <w:autoSpaceDE/>
        <w:autoSpaceDN/>
        <w:adjustRightInd/>
        <w:snapToGrid/>
        <w:spacing w:line="560" w:lineRule="exact"/>
        <w:ind w:left="0"/>
        <w:rPr>
          <w:rFonts w:ascii="Times New Roman" w:eastAsia="仿宋_GB2312" w:hAnsi="Times New Roman"/>
          <w:sz w:val="32"/>
          <w:szCs w:val="32"/>
        </w:rPr>
      </w:pPr>
      <w:r>
        <w:rPr>
          <w:rFonts w:ascii="Times New Roman" w:eastAsia="方正仿宋_GBK" w:hAnsi="Times New Roman"/>
          <w:sz w:val="32"/>
          <w:szCs w:val="32"/>
        </w:rPr>
        <w:t>厉行节约，财政压减经费，取消申报部分项目。</w:t>
      </w:r>
    </w:p>
    <w:p>
      <w:pPr>
        <w:keepNext w:val="0"/>
        <w:keepLines w:val="0"/>
        <w:pageBreakBefore w:val="0"/>
        <w:widowControl w:val="0"/>
        <w:pBdr>
          <w:bottom w:val="single" w:sz="4" w:space="31" w:color="FFFFFF"/>
        </w:pBdr>
        <w:kinsoku/>
        <w:wordWrap/>
        <w:overflowPunct/>
        <w:topLinePunct w:val="0"/>
        <w:autoSpaceDE/>
        <w:autoSpaceDN/>
        <w:adjustRightInd/>
        <w:snapToGrid/>
        <w:spacing w:line="560" w:lineRule="exact"/>
        <w:ind w:firstLineChars="200" w:firstLine="640"/>
        <w:rPr>
          <w:rFonts w:ascii="Times New Roman" w:eastAsia="楷体" w:hAnsi="Times New Roman"/>
          <w:sz w:val="32"/>
          <w:szCs w:val="32"/>
        </w:rPr>
      </w:pPr>
      <w:r>
        <w:rPr>
          <w:rFonts w:ascii="Times New Roman" w:eastAsia="楷体" w:hAnsi="Times New Roman"/>
          <w:sz w:val="32"/>
          <w:szCs w:val="32"/>
        </w:rPr>
        <w:t>（一）收入预算情况</w:t>
      </w:r>
    </w:p>
    <w:p>
      <w:pPr>
        <w:keepNext w:val="0"/>
        <w:keepLines w:val="0"/>
        <w:pageBreakBefore w:val="0"/>
        <w:widowControl w:val="0"/>
        <w:pBdr>
          <w:bottom w:val="single" w:sz="4" w:space="31" w:color="FFFFFF"/>
        </w:pBdr>
        <w:kinsoku/>
        <w:wordWrap/>
        <w:overflowPunct/>
        <w:topLinePunct w:val="0"/>
        <w:autoSpaceDE/>
        <w:autoSpaceDN/>
        <w:adjustRightInd/>
        <w:snapToGrid/>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州工商联2025年收入预算423.24万元；一般公共预算拨款收入423.24万元，占100%，无上年结转。</w:t>
      </w:r>
    </w:p>
    <w:p>
      <w:pPr>
        <w:keepNext w:val="0"/>
        <w:keepLines w:val="0"/>
        <w:pageBreakBefore w:val="0"/>
        <w:widowControl w:val="0"/>
        <w:pBdr>
          <w:bottom w:val="single" w:sz="4" w:space="31" w:color="FFFFFF"/>
        </w:pBdr>
        <w:kinsoku/>
        <w:wordWrap/>
        <w:overflowPunct/>
        <w:topLinePunct w:val="0"/>
        <w:autoSpaceDE/>
        <w:autoSpaceDN/>
        <w:adjustRightInd/>
        <w:snapToGrid/>
        <w:spacing w:line="560" w:lineRule="exact"/>
        <w:ind w:firstLineChars="200" w:firstLine="640"/>
        <w:rPr>
          <w:rFonts w:ascii="Times New Roman" w:eastAsia="楷体" w:hAnsi="Times New Roman"/>
          <w:sz w:val="32"/>
          <w:szCs w:val="32"/>
        </w:rPr>
      </w:pPr>
      <w:r>
        <w:rPr>
          <w:rFonts w:ascii="Times New Roman" w:eastAsia="楷体" w:hAnsi="Times New Roman"/>
          <w:sz w:val="32"/>
          <w:szCs w:val="32"/>
        </w:rPr>
        <w:t>（二）支出预算情况</w:t>
      </w:r>
    </w:p>
    <w:p>
      <w:pPr>
        <w:keepNext w:val="0"/>
        <w:keepLines w:val="0"/>
        <w:pageBreakBefore w:val="0"/>
        <w:widowControl w:val="0"/>
        <w:pBdr>
          <w:bottom w:val="single" w:sz="4" w:space="31" w:color="FFFFFF"/>
        </w:pBdr>
        <w:kinsoku/>
        <w:wordWrap/>
        <w:overflowPunct/>
        <w:topLinePunct w:val="0"/>
        <w:autoSpaceDE/>
        <w:autoSpaceDN/>
        <w:adjustRightInd/>
        <w:snapToGrid/>
        <w:spacing w:line="560" w:lineRule="exact"/>
        <w:ind w:firstLineChars="200" w:firstLine="640"/>
        <w:rPr>
          <w:rFonts w:ascii="Times New Roman" w:eastAsia="方正仿宋_GBK" w:hAnsi="Times New Roman"/>
          <w:b/>
          <w:bCs/>
          <w:sz w:val="32"/>
          <w:szCs w:val="32"/>
        </w:rPr>
      </w:pPr>
      <w:r>
        <w:rPr>
          <w:rFonts w:ascii="Times New Roman" w:eastAsia="方正仿宋_GBK" w:hAnsi="Times New Roman"/>
          <w:sz w:val="32"/>
          <w:szCs w:val="32"/>
        </w:rPr>
        <w:t>州工商联2025年支出预算423.24万元，其中：基本支出349.01万元，占82.46%；项目支出74.23万元，占17.54%。</w:t>
      </w:r>
    </w:p>
    <w:p>
      <w:pPr>
        <w:keepNext w:val="0"/>
        <w:keepLines w:val="0"/>
        <w:pageBreakBefore w:val="0"/>
        <w:widowControl w:val="0"/>
        <w:pBdr>
          <w:bottom w:val="single" w:sz="4" w:space="31" w:color="FFFFFF"/>
        </w:pBdr>
        <w:kinsoku/>
        <w:wordWrap/>
        <w:overflowPunct/>
        <w:topLinePunct w:val="0"/>
        <w:autoSpaceDE/>
        <w:autoSpaceDN/>
        <w:adjustRightInd/>
        <w:snapToGrid/>
        <w:spacing w:line="560" w:lineRule="exact"/>
        <w:ind w:firstLineChars="200" w:firstLine="640"/>
        <w:rPr>
          <w:rFonts w:ascii="Times New Roman" w:eastAsia="黑体" w:hAnsi="Times New Roman"/>
          <w:sz w:val="32"/>
          <w:szCs w:val="32"/>
        </w:rPr>
      </w:pPr>
      <w:r>
        <w:rPr>
          <w:rFonts w:ascii="Times New Roman" w:eastAsia="黑体" w:hAnsi="Times New Roman"/>
          <w:sz w:val="32"/>
          <w:szCs w:val="32"/>
        </w:rPr>
        <w:t>四、财政拨款收支预算情况说明</w:t>
      </w:r>
    </w:p>
    <w:p>
      <w:pPr>
        <w:keepNext w:val="0"/>
        <w:keepLines w:val="0"/>
        <w:pageBreakBefore w:val="0"/>
        <w:widowControl w:val="0"/>
        <w:pBdr>
          <w:bottom w:val="single" w:sz="4" w:space="31" w:color="FFFFFF"/>
        </w:pBdr>
        <w:kinsoku/>
        <w:wordWrap/>
        <w:overflowPunct/>
        <w:topLinePunct w:val="0"/>
        <w:autoSpaceDE/>
        <w:autoSpaceDN/>
        <w:adjustRightInd/>
        <w:snapToGrid/>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州工商联州工商联2025年收支总预算423.24万元</w:t>
      </w:r>
    </w:p>
    <w:p>
      <w:pPr>
        <w:keepNext w:val="0"/>
        <w:keepLines w:val="0"/>
        <w:pageBreakBefore w:val="0"/>
        <w:widowControl w:val="0"/>
        <w:pBdr>
          <w:bottom w:val="single" w:sz="4" w:space="31" w:color="FFFFFF"/>
        </w:pBdr>
        <w:kinsoku/>
        <w:wordWrap/>
        <w:overflowPunct/>
        <w:topLinePunct w:val="0"/>
        <w:autoSpaceDE/>
        <w:autoSpaceDN/>
        <w:adjustRightInd/>
        <w:snapToGrid/>
        <w:spacing w:line="560" w:lineRule="exact"/>
        <w:ind w:left="0"/>
        <w:rPr>
          <w:rFonts w:ascii="Times New Roman" w:eastAsia="方正仿宋_GBK" w:hAnsi="Times New Roman"/>
          <w:sz w:val="32"/>
          <w:szCs w:val="32"/>
        </w:rPr>
      </w:pPr>
      <w:r>
        <w:rPr>
          <w:rFonts w:ascii="Times New Roman" w:eastAsia="方正仿宋_GBK" w:hAnsi="Times New Roman"/>
          <w:sz w:val="32"/>
          <w:szCs w:val="32"/>
        </w:rPr>
        <w:t>比2024年收支预算总数减少19.28万元，主要原因：厉行节约，财政压减经费，取消申报部分项目。</w:t>
      </w:r>
    </w:p>
    <w:p>
      <w:pPr>
        <w:keepNext w:val="0"/>
        <w:keepLines w:val="0"/>
        <w:pageBreakBefore w:val="0"/>
        <w:widowControl w:val="0"/>
        <w:pBdr>
          <w:bottom w:val="single" w:sz="4" w:space="31" w:color="FFFFFF"/>
        </w:pBdr>
        <w:kinsoku/>
        <w:wordWrap/>
        <w:overflowPunct/>
        <w:topLinePunct w:val="0"/>
        <w:autoSpaceDE/>
        <w:autoSpaceDN/>
        <w:adjustRightInd/>
        <w:snapToGrid/>
        <w:spacing w:line="560" w:lineRule="exact"/>
        <w:ind w:left="0" w:firstLineChars="200" w:firstLine="640"/>
        <w:rPr>
          <w:rFonts w:ascii="Times New Roman" w:eastAsia="方正仿宋_GBK" w:hAnsi="Times New Roman"/>
          <w:sz w:val="32"/>
          <w:szCs w:val="32"/>
        </w:rPr>
      </w:pPr>
      <w:r>
        <w:rPr>
          <w:rFonts w:ascii="Times New Roman" w:eastAsia="方正仿宋_GBK" w:hAnsi="Times New Roman"/>
          <w:sz w:val="32"/>
          <w:szCs w:val="32"/>
        </w:rPr>
        <w:t>收入包括：本年一般公共预算拨款收入423.24万元；</w:t>
      </w:r>
    </w:p>
    <w:p>
      <w:pPr>
        <w:keepNext w:val="0"/>
        <w:keepLines w:val="0"/>
        <w:pageBreakBefore w:val="0"/>
        <w:widowControl w:val="0"/>
        <w:pBdr>
          <w:bottom w:val="single" w:sz="4" w:space="31" w:color="FFFFFF"/>
        </w:pBdr>
        <w:kinsoku/>
        <w:wordWrap/>
        <w:overflowPunct/>
        <w:topLinePunct w:val="0"/>
        <w:autoSpaceDE/>
        <w:autoSpaceDN/>
        <w:adjustRightInd/>
        <w:snapToGrid/>
        <w:spacing w:line="560" w:lineRule="exact"/>
        <w:ind w:left="0" w:firstLineChars="200" w:firstLine="640"/>
        <w:rPr>
          <w:rFonts w:ascii="Times New Roman" w:eastAsia="方正仿宋_GBK" w:hAnsi="Times New Roman"/>
          <w:sz w:val="32"/>
          <w:szCs w:val="32"/>
        </w:rPr>
      </w:pPr>
      <w:r>
        <w:rPr>
          <w:rFonts w:ascii="Times New Roman" w:eastAsia="方正仿宋_GBK" w:hAnsi="Times New Roman"/>
          <w:sz w:val="32"/>
          <w:szCs w:val="32"/>
        </w:rPr>
        <w:t>支出包括：一般公共服务支出343.13万元，社会保障和就业支出47万元，卫生健康支出12.38万元，住房保障支出20.73万元。</w:t>
      </w:r>
    </w:p>
    <w:p>
      <w:pPr>
        <w:keepNext w:val="0"/>
        <w:keepLines w:val="0"/>
        <w:pageBreakBefore w:val="0"/>
        <w:widowControl w:val="0"/>
        <w:pBdr>
          <w:bottom w:val="single" w:sz="4" w:space="31" w:color="FFFFFF"/>
        </w:pBdr>
        <w:kinsoku/>
        <w:wordWrap/>
        <w:overflowPunct/>
        <w:topLinePunct w:val="0"/>
        <w:autoSpaceDE/>
        <w:autoSpaceDN/>
        <w:adjustRightInd/>
        <w:snapToGrid/>
        <w:spacing w:line="560" w:lineRule="exact"/>
        <w:ind w:left="0" w:firstLineChars="150" w:firstLine="480"/>
        <w:rPr>
          <w:rFonts w:ascii="Times New Roman" w:eastAsia="黑体" w:hAnsi="Times New Roman"/>
          <w:sz w:val="32"/>
          <w:szCs w:val="32"/>
        </w:rPr>
      </w:pPr>
      <w:r>
        <w:rPr>
          <w:rFonts w:ascii="Times New Roman" w:eastAsia="黑体" w:hAnsi="Times New Roman"/>
          <w:sz w:val="32"/>
          <w:szCs w:val="32"/>
        </w:rPr>
        <w:t>五、一般公共预算当年拨款情况说明</w:t>
      </w:r>
    </w:p>
    <w:p>
      <w:pPr>
        <w:keepNext w:val="0"/>
        <w:keepLines w:val="0"/>
        <w:pageBreakBefore w:val="0"/>
        <w:widowControl w:val="0"/>
        <w:pBdr>
          <w:bottom w:val="single" w:sz="4" w:space="31" w:color="FFFFFF"/>
        </w:pBdr>
        <w:kinsoku/>
        <w:wordWrap/>
        <w:overflowPunct/>
        <w:topLinePunct w:val="0"/>
        <w:autoSpaceDE/>
        <w:autoSpaceDN/>
        <w:adjustRightInd/>
        <w:snapToGrid/>
        <w:spacing w:line="560" w:lineRule="exact"/>
        <w:ind w:left="0" w:firstLineChars="150" w:firstLine="480"/>
        <w:rPr>
          <w:rFonts w:ascii="Times New Roman" w:eastAsia="黑体" w:hAnsi="Times New Roman"/>
          <w:sz w:val="32"/>
          <w:szCs w:val="32"/>
        </w:rPr>
      </w:pPr>
      <w:r>
        <w:rPr>
          <w:rFonts w:ascii="Times New Roman" w:eastAsia="楷体" w:hAnsi="Times New Roman"/>
          <w:kern w:val="2"/>
          <w:sz w:val="32"/>
          <w:szCs w:val="32"/>
        </w:rPr>
        <w:t>（一）一般公共预算当年拨款规模变化情况</w:t>
      </w:r>
    </w:p>
    <w:p>
      <w:pPr>
        <w:keepNext w:val="0"/>
        <w:keepLines w:val="0"/>
        <w:pageBreakBefore w:val="0"/>
        <w:widowControl w:val="0"/>
        <w:pBdr>
          <w:bottom w:val="single" w:sz="4" w:space="31" w:color="FFFFFF"/>
        </w:pBdr>
        <w:kinsoku/>
        <w:wordWrap/>
        <w:overflowPunct/>
        <w:topLinePunct w:val="0"/>
        <w:autoSpaceDE/>
        <w:autoSpaceDN/>
        <w:adjustRightInd/>
        <w:snapToGrid/>
        <w:spacing w:line="560" w:lineRule="exact"/>
        <w:ind w:firstLineChars="200" w:firstLine="640"/>
        <w:jc w:val="center"/>
        <w:rPr>
          <w:rFonts w:ascii="Times New Roman" w:eastAsia="方正仿宋_GBK" w:hAnsi="Times New Roman"/>
          <w:sz w:val="32"/>
          <w:szCs w:val="32"/>
        </w:rPr>
      </w:pPr>
      <w:r>
        <w:rPr>
          <w:rFonts w:ascii="Times New Roman" w:eastAsia="方正仿宋_GBK" w:hAnsi="Times New Roman"/>
          <w:sz w:val="32"/>
          <w:szCs w:val="32"/>
        </w:rPr>
        <w:t>州工商联2025年一般公共预算当年拨款423.24万元，比2024年预算数减少19.28万元，主要是基本支出减少4.01</w:t>
      </w:r>
    </w:p>
    <w:p>
      <w:pPr>
        <w:keepNext w:val="0"/>
        <w:keepLines w:val="0"/>
        <w:pageBreakBefore w:val="0"/>
        <w:widowControl w:val="0"/>
        <w:pBdr>
          <w:bottom w:val="single" w:sz="4" w:space="31" w:color="FFFFFF"/>
        </w:pBdr>
        <w:kinsoku/>
        <w:wordWrap/>
        <w:overflowPunct/>
        <w:topLinePunct w:val="0"/>
        <w:autoSpaceDE/>
        <w:autoSpaceDN/>
        <w:adjustRightInd/>
        <w:snapToGrid/>
        <w:spacing w:line="560" w:lineRule="exact"/>
        <w:ind w:left="0"/>
        <w:rPr>
          <w:rFonts w:ascii="Times New Roman" w:eastAsia="方正仿宋_GBK" w:hAnsi="Times New Roman"/>
          <w:sz w:val="32"/>
          <w:szCs w:val="32"/>
        </w:rPr>
      </w:pPr>
      <w:r>
        <w:rPr>
          <w:rFonts w:ascii="Times New Roman" w:eastAsia="方正仿宋_GBK" w:hAnsi="Times New Roman"/>
          <w:sz w:val="32"/>
          <w:szCs w:val="32"/>
        </w:rPr>
        <w:t>万元，项目支出减少15.27万元，主要原因；厉行节约，财政压减经费，取消申报部分项目。</w:t>
      </w:r>
    </w:p>
    <w:p>
      <w:pPr>
        <w:keepNext w:val="0"/>
        <w:keepLines w:val="0"/>
        <w:pageBreakBefore w:val="0"/>
        <w:widowControl w:val="0"/>
        <w:pBdr>
          <w:bottom w:val="single" w:sz="4" w:space="31" w:color="FFFFFF"/>
        </w:pBdr>
        <w:kinsoku/>
        <w:wordWrap/>
        <w:overflowPunct/>
        <w:topLinePunct w:val="0"/>
        <w:autoSpaceDE/>
        <w:autoSpaceDN/>
        <w:adjustRightInd/>
        <w:snapToGrid/>
        <w:spacing w:line="560" w:lineRule="exact"/>
        <w:ind w:left="0" w:firstLineChars="100" w:firstLine="320"/>
        <w:rPr>
          <w:rFonts w:ascii="Times New Roman" w:eastAsia="楷体" w:hAnsi="Times New Roman"/>
          <w:sz w:val="32"/>
          <w:szCs w:val="32"/>
        </w:rPr>
      </w:pPr>
      <w:r>
        <w:rPr>
          <w:rFonts w:ascii="Times New Roman" w:eastAsia="楷体" w:hAnsi="Times New Roman"/>
          <w:sz w:val="32"/>
          <w:szCs w:val="32"/>
        </w:rPr>
        <w:t>（二）一般公共预算当年拨款结构情况</w:t>
      </w:r>
    </w:p>
    <w:p>
      <w:pPr>
        <w:keepNext w:val="0"/>
        <w:keepLines w:val="0"/>
        <w:pageBreakBefore w:val="0"/>
        <w:widowControl w:val="0"/>
        <w:pBdr>
          <w:bottom w:val="single" w:sz="4" w:space="31" w:color="FFFFFF"/>
        </w:pBdr>
        <w:kinsoku/>
        <w:wordWrap/>
        <w:overflowPunct/>
        <w:topLinePunct w:val="0"/>
        <w:autoSpaceDE/>
        <w:autoSpaceDN/>
        <w:adjustRightInd/>
        <w:snapToGrid/>
        <w:spacing w:line="560" w:lineRule="exact"/>
        <w:ind w:left="0"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一般公共服务支出343.13万元，占81.07%；社会保障和就业支出47万元，占11.10%；卫生健康支出12.38万元，占2.93%；住房保障支出20.73万元，占4.90%。</w:t>
      </w:r>
    </w:p>
    <w:p>
      <w:pPr>
        <w:keepNext w:val="0"/>
        <w:keepLines w:val="0"/>
        <w:pageBreakBefore w:val="0"/>
        <w:widowControl w:val="0"/>
        <w:pBdr>
          <w:bottom w:val="single" w:sz="4" w:space="31" w:color="FFFFFF"/>
        </w:pBdr>
        <w:kinsoku/>
        <w:wordWrap/>
        <w:overflowPunct/>
        <w:topLinePunct w:val="0"/>
        <w:autoSpaceDE/>
        <w:autoSpaceDN/>
        <w:adjustRightInd/>
        <w:snapToGrid/>
        <w:spacing w:line="560" w:lineRule="exact"/>
        <w:ind w:left="0" w:firstLineChars="150" w:firstLine="480"/>
        <w:rPr>
          <w:rFonts w:ascii="Times New Roman" w:eastAsia="楷体" w:hAnsi="Times New Roman"/>
          <w:kern w:val="2"/>
          <w:sz w:val="32"/>
          <w:szCs w:val="32"/>
        </w:rPr>
      </w:pPr>
      <w:r>
        <w:rPr>
          <w:rFonts w:ascii="Times New Roman" w:eastAsia="楷体" w:hAnsi="Times New Roman"/>
          <w:kern w:val="2"/>
          <w:sz w:val="32"/>
          <w:szCs w:val="32"/>
        </w:rPr>
        <w:t>（三）一般公共预算当年拨款具体使用情况</w:t>
      </w:r>
    </w:p>
    <w:p>
      <w:pPr>
        <w:keepNext w:val="0"/>
        <w:keepLines w:val="0"/>
        <w:pageBreakBefore w:val="0"/>
        <w:widowControl w:val="0"/>
        <w:pBdr>
          <w:bottom w:val="single" w:sz="4" w:space="31" w:color="FFFFFF"/>
        </w:pBdr>
        <w:kinsoku/>
        <w:wordWrap/>
        <w:overflowPunct/>
        <w:topLinePunct w:val="0"/>
        <w:autoSpaceDE/>
        <w:autoSpaceDN/>
        <w:adjustRightInd/>
        <w:snapToGrid/>
        <w:spacing w:line="560" w:lineRule="exact"/>
        <w:ind w:firstLineChars="200" w:firstLine="640"/>
        <w:rPr>
          <w:rFonts w:ascii="Times New Roman" w:eastAsia="方正仿宋_GBK" w:hAnsi="Times New Roman"/>
          <w:sz w:val="32"/>
          <w:szCs w:val="32"/>
        </w:rPr>
      </w:pPr>
      <w:r>
        <w:rPr>
          <w:rFonts w:ascii="Times New Roman" w:eastAsia="方正仿宋_GBK" w:hAnsi="Times New Roman"/>
          <w:kern w:val="0"/>
          <w:sz w:val="32"/>
          <w:szCs w:val="32"/>
        </w:rPr>
        <w:t>一般公共服务（类）民主党派及工商联事务（款）一般行政管理事务（项目）2025年预算数为74.23万元，主要用于 :考察调研工作经费5万元；  参政议政工作经费6元；；阿坝州总商会成都办事处工作经费5万元；</w:t>
      </w:r>
      <w:r>
        <w:rPr>
          <w:rFonts w:ascii="Times New Roman" w:eastAsia="方正仿宋_GBK" w:hAnsi="Times New Roman"/>
          <w:sz w:val="32"/>
          <w:szCs w:val="32"/>
        </w:rPr>
        <w:t>非公有制经济人士及工商联干部职工培训费10万元；会员服务中心经费12万元；异地商会工作经费12万元； 阿坝州浙江温州商会工作经费4万元； 推动民营企业建立现代企业制度工作经费5万元；评价营商环境工作经费3万元； 政府采购办公设备采购2.23万元； 工商联人民调解及“枫桥式”商会维权工作经费10万元。</w:t>
      </w:r>
    </w:p>
    <w:p>
      <w:pPr>
        <w:keepNext w:val="0"/>
        <w:keepLines w:val="0"/>
        <w:pageBreakBefore w:val="0"/>
        <w:widowControl w:val="0"/>
        <w:pBdr>
          <w:bottom w:val="single" w:sz="4" w:space="31" w:color="FFFFFF"/>
        </w:pBdr>
        <w:kinsoku/>
        <w:wordWrap/>
        <w:overflowPunct/>
        <w:topLinePunct w:val="0"/>
        <w:autoSpaceDE/>
        <w:autoSpaceDN/>
        <w:adjustRightInd/>
        <w:snapToGrid/>
        <w:spacing w:line="560" w:lineRule="exact"/>
        <w:ind w:firstLineChars="150" w:firstLine="480"/>
        <w:rPr>
          <w:rFonts w:ascii="Times New Roman" w:eastAsia="黑体" w:hAnsi="Times New Roman"/>
          <w:sz w:val="32"/>
          <w:szCs w:val="32"/>
        </w:rPr>
      </w:pPr>
      <w:r>
        <w:rPr>
          <w:rFonts w:ascii="Times New Roman" w:eastAsia="黑体" w:hAnsi="Times New Roman"/>
          <w:sz w:val="32"/>
          <w:szCs w:val="32"/>
        </w:rPr>
        <w:t>六、一般公共预算基本支出情况说明</w:t>
      </w:r>
    </w:p>
    <w:p>
      <w:pPr>
        <w:keepNext w:val="0"/>
        <w:keepLines w:val="0"/>
        <w:pageBreakBefore w:val="0"/>
        <w:widowControl w:val="0"/>
        <w:pBdr>
          <w:bottom w:val="single" w:sz="4" w:space="31" w:color="FFFFFF"/>
        </w:pBdr>
        <w:kinsoku/>
        <w:wordWrap/>
        <w:overflowPunct/>
        <w:topLinePunct w:val="0"/>
        <w:autoSpaceDE/>
        <w:autoSpaceDN/>
        <w:adjustRightInd/>
        <w:snapToGrid/>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州工商联2025年一般公共预算基本支出349.01万元，其中：</w:t>
      </w:r>
    </w:p>
    <w:p>
      <w:pPr>
        <w:keepNext w:val="0"/>
        <w:keepLines w:val="0"/>
        <w:pageBreakBefore w:val="0"/>
        <w:widowControl w:val="0"/>
        <w:pBdr>
          <w:bottom w:val="single" w:sz="4" w:space="31" w:color="FFFFFF"/>
        </w:pBdr>
        <w:kinsoku/>
        <w:wordWrap/>
        <w:overflowPunct/>
        <w:topLinePunct w:val="0"/>
        <w:autoSpaceDE/>
        <w:autoSpaceDN/>
        <w:adjustRightInd/>
        <w:snapToGrid/>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 xml:space="preserve">人员经费302.37万元，主要包括：基本工资、津贴补贴、奖金、其他社会保障缴费、绩效工资、机关事业单位基本养老保险缴费、职业年金缴费、其他工资福利支出、离休费、奖励金、住房公积金、其他对个人和家庭的补助支出。             </w:t>
      </w:r>
    </w:p>
    <w:p>
      <w:pPr>
        <w:keepNext w:val="0"/>
        <w:keepLines w:val="0"/>
        <w:pageBreakBefore w:val="0"/>
        <w:widowControl w:val="0"/>
        <w:pBdr>
          <w:bottom w:val="single" w:sz="4" w:space="31" w:color="FFFFFF"/>
        </w:pBdr>
        <w:kinsoku/>
        <w:wordWrap/>
        <w:overflowPunct/>
        <w:topLinePunct w:val="0"/>
        <w:autoSpaceDE/>
        <w:autoSpaceDN/>
        <w:adjustRightInd/>
        <w:snapToGrid/>
        <w:spacing w:line="560" w:lineRule="exact"/>
        <w:ind w:firstLineChars="200" w:firstLine="640"/>
        <w:rPr>
          <w:rFonts w:ascii="Times New Roman" w:eastAsia="仿宋_GB2312" w:hAnsi="Times New Roman"/>
          <w:sz w:val="32"/>
          <w:szCs w:val="32"/>
        </w:rPr>
      </w:pPr>
      <w:r>
        <w:rPr>
          <w:rFonts w:ascii="Times New Roman" w:eastAsia="方正仿宋_GBK" w:hAnsi="Times New Roman"/>
          <w:sz w:val="32"/>
          <w:szCs w:val="32"/>
        </w:rPr>
        <w:t>公用经费46.65万元，主要包括：办公费、印刷费、手续费、水费、电费、邮电费、差旅费、维修（护）费、租赁费、会议费、培训费、劳务费、工会经费、福利费、其他交通工具运行维护费、其他商品和服务支出。</w:t>
      </w:r>
    </w:p>
    <w:p>
      <w:pPr>
        <w:keepNext w:val="0"/>
        <w:keepLines w:val="0"/>
        <w:pageBreakBefore w:val="0"/>
        <w:widowControl w:val="0"/>
        <w:pBdr>
          <w:bottom w:val="single" w:sz="4" w:space="31" w:color="FFFFFF"/>
        </w:pBdr>
        <w:kinsoku/>
        <w:wordWrap/>
        <w:overflowPunct/>
        <w:topLinePunct w:val="0"/>
        <w:autoSpaceDE/>
        <w:autoSpaceDN/>
        <w:adjustRightInd/>
        <w:snapToGrid/>
        <w:spacing w:line="560" w:lineRule="exact"/>
        <w:ind w:firstLineChars="150" w:firstLine="480"/>
        <w:rPr>
          <w:rFonts w:ascii="Times New Roman" w:eastAsia="黑体" w:hAnsi="Times New Roman"/>
          <w:sz w:val="32"/>
          <w:szCs w:val="32"/>
        </w:rPr>
      </w:pPr>
      <w:r>
        <w:rPr>
          <w:rFonts w:ascii="Times New Roman" w:eastAsia="黑体" w:hAnsi="Times New Roman"/>
          <w:sz w:val="32"/>
          <w:szCs w:val="32"/>
        </w:rPr>
        <w:t xml:space="preserve"> 七、“三公”经费财政拨款预算安排情况说明</w:t>
      </w:r>
    </w:p>
    <w:p>
      <w:pPr>
        <w:keepNext w:val="0"/>
        <w:keepLines w:val="0"/>
        <w:pageBreakBefore w:val="0"/>
        <w:widowControl w:val="0"/>
        <w:pBdr>
          <w:bottom w:val="single" w:sz="4" w:space="31" w:color="FFFFFF"/>
        </w:pBdr>
        <w:kinsoku/>
        <w:wordWrap/>
        <w:overflowPunct/>
        <w:topLinePunct w:val="0"/>
        <w:autoSpaceDE/>
        <w:autoSpaceDN/>
        <w:adjustRightInd/>
        <w:snapToGrid/>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州工商联2025年“三公”经费财政拨款预算数28.73万元，其中：未安排因公出国（境）经费，公务接待费0.71万元，公务用车运行维护费28.02万元。</w:t>
      </w:r>
    </w:p>
    <w:p>
      <w:pPr>
        <w:pBdr>
          <w:bottom w:val="single" w:sz="4" w:space="31" w:color="FFFFFF"/>
        </w:pBdr>
        <w:spacing w:line="56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（一）2025年未安排因公出国（境）费。较2024年预算经费无增减变化。主要原因：单位未安排因公出国相关工作。</w:t>
      </w:r>
    </w:p>
    <w:p>
      <w:pPr>
        <w:keepNext w:val="0"/>
        <w:keepLines w:val="0"/>
        <w:pageBreakBefore w:val="0"/>
        <w:widowControl w:val="0"/>
        <w:pBdr>
          <w:bottom w:val="single" w:sz="4" w:space="31" w:color="FFFFFF"/>
        </w:pBdr>
        <w:kinsoku/>
        <w:wordWrap/>
        <w:overflowPunct/>
        <w:topLinePunct w:val="0"/>
        <w:autoSpaceDE/>
        <w:autoSpaceDN/>
        <w:adjustRightInd/>
        <w:snapToGrid/>
        <w:spacing w:line="560" w:lineRule="exact"/>
        <w:ind w:firstLineChars="200" w:firstLine="640"/>
        <w:jc w:val="center"/>
        <w:rPr>
          <w:rFonts w:ascii="Times New Roman" w:eastAsia="方正仿宋_GBK" w:hAnsi="Times New Roman"/>
          <w:kern w:val="0"/>
          <w:sz w:val="32"/>
          <w:szCs w:val="32"/>
        </w:rPr>
      </w:pPr>
      <w:r>
        <w:rPr>
          <w:rFonts w:ascii="Times New Roman" w:eastAsia="方正仿宋_GBK" w:hAnsi="Times New Roman"/>
          <w:kern w:val="0"/>
          <w:sz w:val="32"/>
          <w:szCs w:val="32"/>
        </w:rPr>
        <w:t>（二）2025年公务接待费0.71万元。较2024年预算</w:t>
      </w:r>
    </w:p>
    <w:p>
      <w:pPr>
        <w:keepNext w:val="0"/>
        <w:keepLines w:val="0"/>
        <w:pageBreakBefore w:val="0"/>
        <w:widowControl w:val="0"/>
        <w:pBdr>
          <w:bottom w:val="single" w:sz="4" w:space="31" w:color="FFFFFF"/>
        </w:pBdr>
        <w:kinsoku/>
        <w:wordWrap/>
        <w:overflowPunct/>
        <w:topLinePunct w:val="0"/>
        <w:autoSpaceDE/>
        <w:autoSpaceDN/>
        <w:adjustRightInd/>
        <w:snapToGrid/>
        <w:spacing w:line="560" w:lineRule="exact"/>
        <w:ind w:left="0"/>
        <w:rPr>
          <w:rFonts w:ascii="Times New Roman" w:eastAsia="方正仿宋_GBK" w:hAnsi="Times New Roman"/>
          <w:sz w:val="32"/>
          <w:szCs w:val="32"/>
        </w:rPr>
      </w:pPr>
      <w:r>
        <w:rPr>
          <w:rFonts w:ascii="Times New Roman" w:eastAsia="方正仿宋_GBK" w:hAnsi="Times New Roman"/>
          <w:kern w:val="0"/>
          <w:sz w:val="32"/>
          <w:szCs w:val="32"/>
        </w:rPr>
        <w:t>经费减少0.11万元，主要原因：</w:t>
      </w:r>
      <w:r>
        <w:rPr>
          <w:rFonts w:ascii="Times New Roman" w:eastAsia="方正仿宋_GBK" w:hAnsi="Times New Roman"/>
          <w:sz w:val="32"/>
          <w:szCs w:val="32"/>
        </w:rPr>
        <w:t>厉行节约，财政压减经费</w:t>
      </w:r>
      <w:r>
        <w:rPr>
          <w:rFonts w:ascii="Times New Roman" w:eastAsia="方正仿宋_GBK" w:hAnsi="Times New Roman"/>
          <w:kern w:val="0"/>
          <w:sz w:val="32"/>
          <w:szCs w:val="32"/>
        </w:rPr>
        <w:t>。</w:t>
      </w:r>
    </w:p>
    <w:p>
      <w:pPr>
        <w:pBdr>
          <w:bottom w:val="single" w:sz="4" w:space="31" w:color="FFFFFF"/>
        </w:pBdr>
        <w:spacing w:line="56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 xml:space="preserve"> （三）2025年公务用车购置及运行维护费28.02万元。较2024年预算经费减少5.76万元，主要原因是：本年减少1辆预算。</w:t>
      </w:r>
    </w:p>
    <w:p>
      <w:pPr>
        <w:pBdr>
          <w:bottom w:val="single" w:sz="4" w:space="31" w:color="FFFFFF"/>
        </w:pBdr>
        <w:spacing w:line="560" w:lineRule="exact"/>
        <w:ind w:firstLineChars="200" w:firstLine="640"/>
        <w:rPr>
          <w:rFonts w:ascii="Times New Roman" w:eastAsia="仿宋_GB2312" w:hAnsi="Times New Roman"/>
          <w:kern w:val="0"/>
          <w:sz w:val="32"/>
          <w:szCs w:val="32"/>
        </w:rPr>
      </w:pPr>
      <w:r>
        <w:rPr>
          <w:rFonts w:ascii="Times New Roman" w:eastAsia="黑体" w:hAnsi="Times New Roman"/>
          <w:sz w:val="32"/>
          <w:szCs w:val="32"/>
        </w:rPr>
        <w:t>八、政府性基金</w:t>
      </w:r>
      <w:r>
        <w:rPr>
          <w:rFonts w:ascii="Times New Roman" w:eastAsia="黑体" w:hAnsi="Times New Roman"/>
          <w:kern w:val="2"/>
          <w:sz w:val="32"/>
          <w:szCs w:val="32"/>
        </w:rPr>
        <w:t>预算</w:t>
      </w:r>
      <w:r>
        <w:rPr>
          <w:rFonts w:ascii="Times New Roman" w:eastAsia="黑体" w:hAnsi="Times New Roman"/>
          <w:sz w:val="32"/>
          <w:szCs w:val="32"/>
        </w:rPr>
        <w:t>支出情况说明</w:t>
      </w:r>
    </w:p>
    <w:p>
      <w:pPr>
        <w:pBdr>
          <w:bottom w:val="single" w:sz="4" w:space="31" w:color="FFFFFF"/>
        </w:pBdr>
        <w:spacing w:line="56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州工商联2025年无政府性基金预算拨款安排的支出，较2024年无变动。</w:t>
      </w:r>
    </w:p>
    <w:p>
      <w:pPr>
        <w:pBdr>
          <w:bottom w:val="single" w:sz="4" w:space="31" w:color="FFFFFF"/>
        </w:pBdr>
        <w:spacing w:line="560" w:lineRule="exact"/>
        <w:ind w:firstLineChars="200" w:firstLine="640"/>
        <w:rPr>
          <w:rFonts w:ascii="Times New Roman" w:eastAsia="黑体" w:hAnsi="Times New Roman"/>
          <w:sz w:val="32"/>
          <w:szCs w:val="32"/>
        </w:rPr>
      </w:pPr>
      <w:r>
        <w:rPr>
          <w:rFonts w:ascii="Times New Roman" w:eastAsia="黑体" w:hAnsi="Times New Roman"/>
          <w:sz w:val="32"/>
          <w:szCs w:val="32"/>
        </w:rPr>
        <w:t>九、其他重要事项的情况说明</w:t>
      </w:r>
    </w:p>
    <w:p>
      <w:pPr>
        <w:pBdr>
          <w:bottom w:val="single" w:sz="4" w:space="31" w:color="FFFFFF"/>
        </w:pBdr>
        <w:spacing w:line="560" w:lineRule="exact"/>
        <w:ind w:firstLineChars="150" w:firstLine="480"/>
        <w:rPr>
          <w:rFonts w:ascii="Times New Roman" w:eastAsia="楷体" w:hAnsi="Times New Roman"/>
          <w:kern w:val="2"/>
          <w:sz w:val="32"/>
          <w:szCs w:val="32"/>
        </w:rPr>
      </w:pPr>
      <w:r>
        <w:rPr>
          <w:rFonts w:ascii="Times New Roman" w:eastAsia="楷体" w:hAnsi="Times New Roman"/>
          <w:kern w:val="2"/>
          <w:sz w:val="32"/>
          <w:szCs w:val="32"/>
        </w:rPr>
        <w:t>（一）机关运行经费</w:t>
      </w:r>
    </w:p>
    <w:p>
      <w:pPr>
        <w:pBdr>
          <w:bottom w:val="single" w:sz="4" w:space="31" w:color="FFFFFF"/>
        </w:pBdr>
        <w:spacing w:line="560" w:lineRule="exact"/>
        <w:ind w:firstLineChars="200" w:firstLine="640"/>
        <w:rPr>
          <w:rFonts w:ascii="Times New Roman" w:eastAsia="方正仿宋_GBK" w:hAnsi="Times New Roman"/>
          <w:color w:val="000000"/>
          <w:kern w:val="2"/>
          <w:sz w:val="32"/>
          <w:szCs w:val="32"/>
        </w:rPr>
      </w:pPr>
      <w:r>
        <w:rPr>
          <w:rFonts w:ascii="Times New Roman" w:eastAsia="方正仿宋_GBK" w:hAnsi="Times New Roman"/>
          <w:kern w:val="0"/>
          <w:sz w:val="32"/>
          <w:szCs w:val="32"/>
        </w:rPr>
        <w:t>州工商联2025年机关运行经费财政拨款预算为47.5万元，比2024年预算减少6.11万元。</w:t>
      </w:r>
    </w:p>
    <w:p>
      <w:pPr>
        <w:pBdr>
          <w:bottom w:val="single" w:sz="4" w:space="31" w:color="FFFFFF"/>
        </w:pBdr>
        <w:spacing w:line="560" w:lineRule="exact"/>
        <w:ind w:firstLineChars="150" w:firstLine="480"/>
        <w:rPr>
          <w:rFonts w:ascii="Times New Roman" w:eastAsia="楷体" w:hAnsi="Times New Roman"/>
          <w:kern w:val="2"/>
          <w:sz w:val="32"/>
          <w:szCs w:val="32"/>
        </w:rPr>
      </w:pPr>
      <w:r>
        <w:rPr>
          <w:rFonts w:ascii="Times New Roman" w:eastAsia="楷体" w:hAnsi="Times New Roman"/>
          <w:kern w:val="2"/>
          <w:sz w:val="32"/>
          <w:szCs w:val="32"/>
        </w:rPr>
        <w:t>（二）政府采购情况</w:t>
      </w:r>
    </w:p>
    <w:p>
      <w:pPr>
        <w:pBdr>
          <w:bottom w:val="single" w:sz="4" w:space="31" w:color="FFFFFF"/>
        </w:pBdr>
        <w:spacing w:line="560" w:lineRule="exact"/>
        <w:ind w:firstLineChars="150" w:firstLine="480"/>
        <w:rPr>
          <w:rFonts w:ascii="Times New Roman" w:eastAsia="方正仿宋_GBK" w:hAnsi="Times New Roman"/>
          <w:kern w:val="0"/>
          <w:sz w:val="32"/>
          <w:szCs w:val="32"/>
        </w:rPr>
      </w:pPr>
      <w:r>
        <w:rPr>
          <w:rFonts w:ascii="Times New Roman" w:eastAsia="方正仿宋_GBK" w:hAnsi="Times New Roman"/>
          <w:color w:val="000000"/>
          <w:kern w:val="2"/>
          <w:sz w:val="32"/>
          <w:szCs w:val="32"/>
        </w:rPr>
        <w:t xml:space="preserve"> </w:t>
      </w:r>
      <w:r>
        <w:rPr>
          <w:rFonts w:ascii="Times New Roman" w:eastAsia="方正仿宋_GBK" w:hAnsi="Times New Roman"/>
          <w:kern w:val="0"/>
          <w:sz w:val="32"/>
          <w:szCs w:val="32"/>
        </w:rPr>
        <w:t>2025年州工商联安排政府采购预算2.23万元，主要用于购买国产台式计算机4台*5000＝20000元，碎纸机1台*800元＝800元，档案柜3组*500元＝1500元，共计22300元。</w:t>
      </w:r>
    </w:p>
    <w:p>
      <w:pPr>
        <w:pBdr>
          <w:bottom w:val="single" w:sz="4" w:space="31" w:color="FFFFFF"/>
        </w:pBdr>
        <w:spacing w:line="560" w:lineRule="exact"/>
        <w:ind w:firstLineChars="150" w:firstLine="480"/>
        <w:rPr>
          <w:rFonts w:ascii="Times New Roman" w:eastAsia="楷体" w:hAnsi="Times New Roman"/>
          <w:kern w:val="2"/>
          <w:sz w:val="32"/>
          <w:szCs w:val="32"/>
        </w:rPr>
      </w:pPr>
      <w:r>
        <w:rPr>
          <w:rFonts w:ascii="Times New Roman" w:eastAsia="楷体" w:hAnsi="Times New Roman"/>
          <w:kern w:val="2"/>
          <w:sz w:val="32"/>
          <w:szCs w:val="32"/>
        </w:rPr>
        <w:t>（三）国有资产占有使用情况</w:t>
      </w:r>
    </w:p>
    <w:p>
      <w:pPr>
        <w:pBdr>
          <w:bottom w:val="single" w:sz="4" w:space="31" w:color="FFFFFF"/>
        </w:pBdr>
        <w:spacing w:line="560" w:lineRule="exact"/>
        <w:ind w:firstLineChars="150" w:firstLine="480"/>
        <w:rPr>
          <w:rFonts w:ascii="Times New Roman" w:eastAsia="方正仿宋_GBK" w:hAnsi="Times New Roman"/>
          <w:sz w:val="32"/>
          <w:szCs w:val="32"/>
        </w:rPr>
      </w:pPr>
      <w:r>
        <w:rPr>
          <w:rFonts w:ascii="Times New Roman" w:eastAsia="方正仿宋_GBK" w:hAnsi="Times New Roman"/>
          <w:kern w:val="0"/>
          <w:sz w:val="32"/>
          <w:szCs w:val="32"/>
        </w:rPr>
        <w:t>截至2024年12月31日，我单位固定资产243.35万元：其中设备190.69万元；</w:t>
      </w:r>
      <w:r>
        <w:rPr>
          <w:rFonts w:ascii="Times New Roman" w:eastAsia="方正仿宋_GBK" w:hAnsi="Times New Roman"/>
          <w:sz w:val="32"/>
          <w:szCs w:val="32"/>
        </w:rPr>
        <w:t>家具、用具、装具及动植物13.06万元；房屋及构筑物40万元。</w:t>
      </w:r>
    </w:p>
    <w:p>
      <w:pPr>
        <w:pBdr>
          <w:bottom w:val="single" w:sz="4" w:space="31" w:color="FFFFFF"/>
        </w:pBdr>
        <w:spacing w:line="560" w:lineRule="exact"/>
        <w:ind w:firstLineChars="150" w:firstLine="480"/>
        <w:rPr>
          <w:rFonts w:ascii="Times New Roman" w:eastAsia="仿宋_GB2312" w:hAnsi="Times New Roman"/>
          <w:sz w:val="32"/>
          <w:szCs w:val="32"/>
        </w:rPr>
      </w:pPr>
      <w:r>
        <w:rPr>
          <w:rFonts w:ascii="Times New Roman" w:eastAsia="楷体" w:hAnsi="Times New Roman"/>
          <w:kern w:val="2"/>
          <w:sz w:val="32"/>
          <w:szCs w:val="32"/>
        </w:rPr>
        <w:t>（四）绩效目标设置情况</w:t>
      </w:r>
    </w:p>
    <w:p>
      <w:pPr>
        <w:pBdr>
          <w:bottom w:val="single" w:sz="4" w:space="31" w:color="FFFFFF"/>
        </w:pBdr>
        <w:spacing w:line="560" w:lineRule="exact"/>
        <w:ind w:firstLineChars="150" w:firstLine="480"/>
        <w:rPr>
          <w:rFonts w:ascii="Times New Roman" w:eastAsia="方正仿宋_GBK" w:hAnsi="Times New Roman"/>
          <w:kern w:val="0"/>
          <w:sz w:val="32"/>
          <w:szCs w:val="32"/>
        </w:rPr>
      </w:pPr>
      <w:r>
        <w:rPr>
          <w:rFonts w:ascii="Times New Roman" w:eastAsia="方正仿宋_GBK" w:hAnsi="Times New Roman"/>
          <w:kern w:val="0"/>
          <w:sz w:val="32"/>
          <w:szCs w:val="32"/>
        </w:rPr>
        <w:t>2025年州工商联通用项目和专用项目均按要求实行绩效目标管理，涉及一般公共预算当年拨款423.24万元，其中项目预算74.23万元。</w:t>
      </w:r>
    </w:p>
    <w:p>
      <w:pPr>
        <w:pBdr>
          <w:bottom w:val="single" w:sz="4" w:space="31" w:color="FFFFFF"/>
        </w:pBdr>
        <w:spacing w:line="560" w:lineRule="exact"/>
        <w:ind w:left="480" w:hangingChars="150" w:hanging="480"/>
        <w:rPr>
          <w:rFonts w:ascii="Times New Roman" w:eastAsia="方正仿宋_GBK" w:hAnsi="Times New Roman"/>
          <w:kern w:val="0"/>
          <w:sz w:val="32"/>
          <w:szCs w:val="32"/>
          <w:shd w:val="clear" w:color="auto" w:fill="auto"/>
        </w:rPr>
      </w:pPr>
      <w:r>
        <w:rPr>
          <w:rFonts w:ascii="Times New Roman" w:eastAsia="黑体" w:hAnsi="Times New Roman"/>
          <w:sz w:val="32"/>
          <w:szCs w:val="32"/>
        </w:rPr>
        <w:t xml:space="preserve">     十、名称解释 </w:t>
      </w:r>
      <w:r>
        <w:rPr>
          <w:rFonts w:ascii="Times New Roman" w:hAnsi="Times New Roman"/>
          <w:sz w:val="32"/>
          <w:szCs w:val="32"/>
        </w:rPr>
        <w:br/>
      </w:r>
      <w:r>
        <w:rPr>
          <w:rFonts w:ascii="Times New Roman" w:eastAsia="宋体" w:hAnsi="Times New Roman"/>
          <w:sz w:val="16"/>
        </w:rPr>
        <w:t xml:space="preserve">　　  </w:t>
      </w:r>
      <w:r>
        <w:rPr>
          <w:rFonts w:ascii="Times New Roman" w:eastAsia="方正仿宋_GBK" w:hAnsi="Times New Roman"/>
          <w:sz w:val="16"/>
        </w:rPr>
        <w:t xml:space="preserve"> </w:t>
      </w:r>
      <w:r>
        <w:rPr>
          <w:rFonts w:ascii="Times New Roman" w:eastAsia="方正仿宋_GBK" w:hAnsi="Times New Roman"/>
          <w:kern w:val="0"/>
          <w:sz w:val="32"/>
          <w:szCs w:val="32"/>
          <w:shd w:val="clear" w:color="auto" w:fill="auto"/>
        </w:rPr>
        <w:t>（一）财政拨款收入：指由财政拨款形成的部门收入。按现行管理制度，部门预算中反映的财政拨款仅包括一般公共预算拨款和政府性基金预算拨款。</w:t>
        <w:br/>
        <w:t>　　（二）事业收入：指所属事业单位开展专业业务活动及辅助活动所取得的收入。</w:t>
        <w:br/>
        <w:t>　　（三）事业单位经营收入：指所属事业单位在专业业务活动及其辅助活动之外开展非独立核算经营活动取得的收入。</w:t>
        <w:br/>
        <w:t>　　（四）其他收入：指除上述“财政拨款收入”、“事业收入”、“事业单位经营收入”等以外的收入，主要是所属行政事业单位按规定动用的售房收入、存款利息收入等。</w:t>
        <w:br/>
        <w:t>　　（五）用事业基金弥补收支差额：指所属事业单位在预计用当年的“财政拨款收入”、“事业收入”、“事业单位经营收入”、“其他收入”不足以安排当年支出的情况下，使用以前年度积累的事业基金弥补本年度收支缺口的资金。</w:t>
        <w:br/>
        <w:t>　　（六）上年结转：指所属行政事业单位以前年度尚未完成、结转至本年按原规定用途继续使用的资金和以前年度已完成项目剩余资金经批准用于新用途使用的资金。</w:t>
      </w:r>
    </w:p>
    <w:p>
      <w:pPr>
        <w:spacing w:line="560" w:lineRule="exact"/>
        <w:rPr>
          <w:rFonts w:ascii="Times New Roman" w:eastAsia="方正仿宋_GBK" w:hAnsi="Times New Roman"/>
          <w:kern w:val="0"/>
          <w:sz w:val="32"/>
          <w:szCs w:val="32"/>
          <w:shd w:val="clear" w:color="auto" w:fill="auto"/>
        </w:rPr>
      </w:pPr>
    </w:p>
    <w:sectPr>
      <w:head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altName w:val="DejaVu Sans"/>
    <w:panose1 w:val="02020603050405020304"/>
    <w:charset w:val="00"/>
    <w:family w:val="roman"/>
    <w:pitch w:val="variable"/>
    <w:sig w:usb0="E0002AFF" w:usb1="C0007841" w:usb2="00000009" w:usb3="00000000" w:csb0="000001FF" w:csb1="00000000"/>
  </w:font>
  <w:font w:name="黑体">
    <w:altName w:val="永中宋体"/>
    <w:panose1 w:val="02010609060101010101"/>
    <w:charset w:val="86"/>
    <w:family w:val="modern"/>
    <w:pitch w:val="variable"/>
    <w:sig w:usb0="800002BF" w:usb1="38CF7CFA" w:usb2="00000016" w:usb3="00000000" w:csb0="00040001" w:csb1="00000000"/>
  </w:font>
  <w:font w:name="楷体">
    <w:altName w:val="永中楷体"/>
    <w:panose1 w:val="02010609060101010101"/>
    <w:charset w:val="86"/>
    <w:family w:val="modern"/>
    <w:pitch w:val="variable"/>
    <w:sig w:usb0="800002BF" w:usb1="38CF7CFA" w:usb2="00000016" w:usb3="00000000" w:csb0="00040001" w:csb1="00000000"/>
  </w:font>
  <w:font w:name="方正仿宋_GBK">
    <w:panose1 w:val="03000509000000000000"/>
    <w:charset w:val="86"/>
    <w:family w:val="auto"/>
    <w:pitch w:val="variable"/>
    <w:sig w:usb0="00000001" w:usb1="080E0000" w:usb2="00000000" w:usb3="00000000" w:csb0="00040000" w:csb1="00000000"/>
  </w:font>
  <w:font w:name="方正楷体_GBK">
    <w:panose1 w:val="03000509000000000000"/>
    <w:charset w:val="86"/>
    <w:family w:val="auto"/>
    <w:pitch w:val="variable"/>
    <w:sig w:usb0="00000001" w:usb1="080E0000" w:usb2="00000000" w:usb3="00000000" w:csb0="00040000" w:csb1="00000000"/>
  </w:font>
  <w:font w:name="仿宋_GB2312">
    <w:altName w:val="永中仿宋"/>
    <w:panose1 w:val="02010609030101010101"/>
    <w:charset w:val="86"/>
    <w:family w:val="modern"/>
    <w:pitch w:val="variable"/>
    <w:sig w:usb0="00000001" w:usb1="080E0000" w:usb2="00000010" w:usb3="00000000" w:csb0="00040000" w:csb1="00000000"/>
  </w:font>
  <w:font w:name="宋体">
    <w:altName w:val="永中宋体"/>
    <w:panose1 w:val="02010600030101010101"/>
    <w:charset w:val="86"/>
    <w:family w:val="auto"/>
    <w:pitch w:val="variable"/>
    <w:sig w:usb0="00000003" w:usb1="288F0000" w:usb2="00000016" w:usb3="00000000" w:csb0="00040001" w:csb1="00000000"/>
  </w:font>
  <w:font w:name="Calibri">
    <w:altName w:val="DejaVu Sans"/>
    <w:panose1 w:val="020F0502020204030204"/>
    <w:charset w:val="00"/>
    <w:family w:val="swiss"/>
    <w:pitch w:val="variable"/>
    <w:sig w:usb0="E00002FF" w:usb1="4000ACFF" w:usb2="00000001" w:usb3="00000000" w:csb0="0000019F" w:csb1="00000000"/>
  </w:font>
</w:fonts>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bottom w:val="none" w:sz="0" w:space="0" w:color="auto"/>
      </w:pBdr>
      <w:tabs>
        <w:tab w:val="center" w:pos="4153"/>
        <w:tab w:val="right" w:pos="8306"/>
      </w:tabs>
    </w:pPr>
  </w:p>
</w:hd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customStyle="1" w:styleId="17">
    <w:name w:val="List Paragraph"/>
    <w:basedOn w:val="0"/>
    <w:pPr>
      <w:ind w:firstLineChars="200" w:firstLine="200"/>
    </w:pPr>
  </w:style>
  <w:style w:type="paragraph" w:customStyle="1" w:styleId="18">
    <w:name w:val="正文文本1"/>
    <w:basedOn w:val="0"/>
    <w:pPr>
      <w:spacing w:before="93"/>
    </w:pPr>
    <w:rPr>
      <w:rFonts w:ascii="仿宋_GB2312" w:eastAsia="仿宋_GB2312"/>
      <w:kern w:val="0"/>
      <w:sz w:val="30"/>
      <w:szCs w:val="20"/>
    </w:rPr>
  </w:style>
  <w:style w:type="paragraph" w:styleId="19">
    <w:name w:val="Body Text"/>
    <w:basedOn w:val="0"/>
    <w:pPr>
      <w:spacing w:after="120"/>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300</TotalTime>
  <Application>Yozo_Office27021597764231179</Application>
  <Pages>9</Pages>
  <Words>3132</Words>
  <Characters>3465</Characters>
  <Lines>194</Lines>
  <Paragraphs>70</Paragraphs>
  <CharactersWithSpaces>3523</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user</cp:lastModifiedBy>
  <cp:revision>4</cp:revision>
  <cp:lastPrinted>2018-01-30T09:39:00Z</cp:lastPrinted>
  <dcterms:created xsi:type="dcterms:W3CDTF">2022-12-30T09:44:00Z</dcterms:created>
  <dcterms:modified xsi:type="dcterms:W3CDTF">2025-02-14T02:46:35Z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2052-10.1.0.7106</vt:lpwstr>
  </property>
</Properties>
</file>