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ascii="黑体" w:eastAsia="黑体"/>
          <w:sz w:val="44"/>
          <w:szCs w:val="44"/>
        </w:rPr>
        <w:t>阿坝州工商联</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spacing w:line="560" w:lineRule="exact"/>
        <w:rPr>
          <w:rFonts w:ascii="黑体" w:eastAsia="黑体"/>
          <w:sz w:val="32"/>
          <w:szCs w:val="32"/>
        </w:rPr>
      </w:pPr>
      <w:r>
        <w:rPr>
          <w:rFonts w:hint="eastAsia" w:ascii="黑体" w:eastAsia="黑体"/>
          <w:sz w:val="32"/>
          <w:szCs w:val="32"/>
        </w:rPr>
        <w:t>一、基本职能及主要工作</w:t>
      </w:r>
    </w:p>
    <w:p>
      <w:pPr>
        <w:spacing w:line="560" w:lineRule="exact"/>
        <w:ind w:firstLine="640" w:firstLineChars="200"/>
        <w:rPr>
          <w:rFonts w:ascii="楷体" w:eastAsia="楷体"/>
          <w:sz w:val="32"/>
          <w:szCs w:val="32"/>
        </w:rPr>
      </w:pPr>
      <w:r>
        <w:rPr>
          <w:rFonts w:hint="eastAsia" w:ascii="楷体" w:eastAsia="楷体"/>
          <w:sz w:val="32"/>
          <w:szCs w:val="32"/>
        </w:rPr>
        <w:t>（一）</w:t>
      </w:r>
      <w:r>
        <w:rPr>
          <w:rFonts w:ascii="楷体" w:eastAsia="楷体"/>
          <w:sz w:val="32"/>
          <w:szCs w:val="32"/>
        </w:rPr>
        <w:t>州工商联</w:t>
      </w:r>
      <w:r>
        <w:rPr>
          <w:rFonts w:hint="eastAsia" w:ascii="楷体" w:eastAsia="楷体"/>
          <w:sz w:val="32"/>
          <w:szCs w:val="32"/>
        </w:rPr>
        <w:t>职能简介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根据《中华全国工商业联合会章程》、《中共中央</w:t>
      </w:r>
      <w:r>
        <w:rPr>
          <w:rFonts w:ascii="仿宋_GB2312" w:eastAsia="仿宋_GB2312"/>
          <w:sz w:val="32"/>
          <w:szCs w:val="32"/>
        </w:rPr>
        <w:t xml:space="preserve"> </w:t>
      </w:r>
      <w:r>
        <w:rPr>
          <w:rFonts w:hint="eastAsia" w:ascii="仿宋_GB2312" w:eastAsia="仿宋_GB2312"/>
          <w:sz w:val="32"/>
          <w:szCs w:val="32"/>
        </w:rPr>
        <w:t>国务院关于加强和改进新形式下工商联工作的意见》（中发〔</w:t>
      </w:r>
      <w:r>
        <w:rPr>
          <w:rFonts w:ascii="仿宋_GB2312" w:eastAsia="仿宋_GB2312"/>
          <w:sz w:val="32"/>
          <w:szCs w:val="32"/>
        </w:rPr>
        <w:t>2010</w:t>
      </w:r>
      <w:r>
        <w:rPr>
          <w:rFonts w:hint="eastAsia" w:ascii="仿宋_GB2312" w:eastAsia="仿宋_GB2312"/>
          <w:sz w:val="32"/>
          <w:szCs w:val="32"/>
        </w:rPr>
        <w:t>〕</w:t>
      </w:r>
      <w:r>
        <w:rPr>
          <w:rFonts w:ascii="仿宋_GB2312" w:eastAsia="仿宋_GB2312"/>
          <w:sz w:val="32"/>
          <w:szCs w:val="32"/>
        </w:rPr>
        <w:t>16</w:t>
      </w:r>
      <w:r>
        <w:rPr>
          <w:rFonts w:hint="eastAsia" w:ascii="仿宋_GB2312" w:eastAsia="仿宋_GB2312"/>
          <w:sz w:val="32"/>
          <w:szCs w:val="32"/>
        </w:rPr>
        <w:t>号）文件规定，工商联是中国共产党领导的以非公有制企业和非公有制经济人士为主体的人民团体和商会组织，是党和政府联系非公有制经济人士的桥梁和纽带，是政府管理非公有制经济的助手。加强非公有制经济代表人士思想政治工作；引导非公有制经济和非公有制经济代表人士健康成长；积极参政议政、发挥民主监督作用；服务非公有制经济发展，参加各种商务活动；履行社会团体业务主管单位职责，促进行业协会商会改革发展是工商联的主要职责。</w:t>
      </w:r>
    </w:p>
    <w:p>
      <w:pPr>
        <w:spacing w:line="560" w:lineRule="exact"/>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eastAsia="zh-CN"/>
        </w:rPr>
      </w:pPr>
      <w:r>
        <w:rPr>
          <w:rFonts w:hint="eastAsia" w:ascii="方正楷体_GBK" w:eastAsia="方正楷体_GBK" w:cs="方正楷体_GBK"/>
          <w:b/>
          <w:bCs/>
          <w:sz w:val="32"/>
          <w:szCs w:val="32"/>
          <w:lang w:eastAsia="zh-CN"/>
        </w:rPr>
        <w:t>（一）进一步加强</w:t>
      </w:r>
      <w:r>
        <w:rPr>
          <w:rFonts w:hint="eastAsia" w:ascii="方正楷体_GBK" w:eastAsia="方正楷体_GBK" w:cs="方正楷体_GBK"/>
          <w:b/>
          <w:bCs/>
          <w:sz w:val="32"/>
          <w:szCs w:val="32"/>
          <w:lang w:val="en-US" w:eastAsia="zh-CN"/>
        </w:rPr>
        <w:t>民营经济</w:t>
      </w:r>
      <w:r>
        <w:rPr>
          <w:rFonts w:hint="eastAsia" w:ascii="方正楷体_GBK" w:eastAsia="方正楷体_GBK" w:cs="方正楷体_GBK"/>
          <w:b/>
          <w:bCs/>
          <w:sz w:val="32"/>
          <w:szCs w:val="32"/>
        </w:rPr>
        <w:t>人士思想政治工作。</w:t>
      </w:r>
      <w:r>
        <w:rPr>
          <w:rFonts w:hint="eastAsia" w:ascii="方正仿宋_GBK" w:eastAsia="方正仿宋_GBK" w:cs="方正仿宋_GBK"/>
          <w:sz w:val="32"/>
          <w:szCs w:val="32"/>
          <w:lang w:eastAsia="zh-CN"/>
        </w:rPr>
        <w:t>以学习</w:t>
      </w:r>
      <w:r>
        <w:rPr>
          <w:rFonts w:hint="eastAsia" w:ascii="方正仿宋_GBK" w:eastAsia="方正仿宋_GBK" w:cs="方正仿宋_GBK"/>
          <w:sz w:val="32"/>
          <w:szCs w:val="32"/>
          <w:lang w:val="en-US" w:eastAsia="zh-CN"/>
        </w:rPr>
        <w:t>贯彻习近平新时代中国特色社会主义思想主题教育为契机</w:t>
      </w:r>
      <w:r>
        <w:rPr>
          <w:rFonts w:hint="eastAsia" w:ascii="方正仿宋_GBK" w:eastAsia="方正仿宋_GBK" w:cs="方正仿宋_GBK"/>
          <w:sz w:val="32"/>
          <w:szCs w:val="32"/>
          <w:lang w:eastAsia="zh-CN"/>
        </w:rPr>
        <w:t>，引导广大</w:t>
      </w:r>
      <w:r>
        <w:rPr>
          <w:rFonts w:hint="eastAsia" w:ascii="方正仿宋_GBK" w:eastAsia="方正仿宋_GBK" w:cs="方正仿宋_GBK"/>
          <w:sz w:val="32"/>
          <w:szCs w:val="32"/>
          <w:lang w:val="en-US" w:eastAsia="zh-CN"/>
        </w:rPr>
        <w:t>民营</w:t>
      </w:r>
      <w:r>
        <w:rPr>
          <w:rFonts w:hint="eastAsia" w:ascii="方正仿宋_GBK" w:eastAsia="方正仿宋_GBK" w:cs="方正仿宋_GBK"/>
          <w:sz w:val="32"/>
          <w:szCs w:val="32"/>
          <w:lang w:eastAsia="zh-CN"/>
        </w:rPr>
        <w:t>经济人士听党话、跟党走，发扬企业家的创业创新精神，敢于担当，甘于奉献，不忘初心和使命，为阿坝州的经济社会发展作出应有的贡献。</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bidi="ar-SA"/>
        </w:rPr>
      </w:pPr>
      <w:r>
        <w:rPr>
          <w:rFonts w:hint="eastAsia" w:ascii="方正楷体_GBK" w:eastAsia="方正楷体_GBK" w:cs="方正楷体_GBK"/>
          <w:b/>
          <w:bCs/>
          <w:sz w:val="32"/>
          <w:szCs w:val="32"/>
          <w:lang w:val="en-US" w:eastAsia="zh-CN"/>
        </w:rPr>
        <w:t>（二）积极引导民营企业履行社会责任。</w:t>
      </w:r>
      <w:r>
        <w:rPr>
          <w:rFonts w:hint="eastAsia" w:ascii="Times New Roman" w:hAnsi="Times New Roman" w:eastAsia="方正仿宋_GBK" w:cs="Times New Roman"/>
          <w:sz w:val="32"/>
          <w:szCs w:val="32"/>
          <w:lang w:val="en-US" w:eastAsia="zh-CN" w:bidi="ar-SA"/>
        </w:rPr>
        <w:t>深入开展“万企兴万村”行动，推动脱贫攻坚与乡村振兴有效衔接，利用好省工商联“万企兴万村”消费扶贫平台，积极引导企业、商（协）会参与消费扶贫行动，引导民营企业履行社会责任，在各个领域彰显着阿坝民企的爱心力量与担当。</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方正楷体_GBK" w:eastAsia="方正楷体_GBK" w:cs="方正楷体_GBK"/>
          <w:b/>
          <w:bCs/>
          <w:sz w:val="32"/>
          <w:szCs w:val="32"/>
          <w:lang w:val="en-US" w:eastAsia="zh-CN"/>
        </w:rPr>
        <w:t>（三）积极推进商会党建工作。</w:t>
      </w:r>
      <w:r>
        <w:rPr>
          <w:rFonts w:hint="eastAsia" w:ascii="仿宋_GB2312" w:eastAsia="仿宋_GB2312"/>
          <w:sz w:val="32"/>
          <w:szCs w:val="32"/>
          <w:lang w:val="en-US" w:eastAsia="zh-CN"/>
        </w:rPr>
        <w:t>通过开展调研、培树典型、加强引导、互学互促，有效提升商会党组织党建促会建的水平，力争推出一批典型、总结出一套经验。</w:t>
      </w:r>
    </w:p>
    <w:p>
      <w:pPr>
        <w:keepNext w:val="0"/>
        <w:keepLines w:val="0"/>
        <w:pageBreakBefore w:val="0"/>
        <w:widowControl w:val="0"/>
        <w:pBdr>
          <w:bottom w:val="single" w:color="FFFFFF" w:sz="4" w:space="31"/>
        </w:pBdr>
        <w:kinsoku/>
        <w:wordWrap/>
        <w:overflowPunct/>
        <w:topLinePunct w:val="0"/>
        <w:autoSpaceDE/>
        <w:autoSpaceDN/>
        <w:bidi w:val="0"/>
        <w:adjustRightInd/>
        <w:snapToGrid/>
        <w:spacing w:line="560" w:lineRule="exact"/>
        <w:ind w:firstLine="640" w:firstLineChars="200"/>
        <w:textAlignment w:val="auto"/>
        <w:rPr>
          <w:rFonts w:ascii="方正楷体_GBK" w:eastAsia="方正楷体_GBK" w:cs="方正楷体_GBK"/>
          <w:b/>
          <w:bCs/>
          <w:sz w:val="32"/>
          <w:szCs w:val="32"/>
          <w:lang w:val="en-US" w:eastAsia="zh-CN"/>
        </w:rPr>
      </w:pPr>
      <w:r>
        <w:rPr>
          <w:rFonts w:ascii="方正楷体_GBK" w:eastAsia="方正楷体_GBK" w:cs="方正楷体_GBK"/>
          <w:b/>
          <w:bCs/>
          <w:sz w:val="32"/>
          <w:szCs w:val="32"/>
          <w:lang w:val="en-US" w:eastAsia="zh-CN"/>
        </w:rPr>
        <w:t>（</w:t>
      </w:r>
      <w:r>
        <w:rPr>
          <w:rFonts w:hint="eastAsia" w:ascii="方正楷体_GBK" w:eastAsia="方正楷体_GBK" w:cs="方正楷体_GBK"/>
          <w:b/>
          <w:bCs/>
          <w:sz w:val="32"/>
          <w:szCs w:val="32"/>
          <w:lang w:val="en-US" w:eastAsia="zh-CN"/>
        </w:rPr>
        <w:t>四</w:t>
      </w:r>
      <w:r>
        <w:rPr>
          <w:rFonts w:ascii="方正楷体_GBK" w:eastAsia="方正楷体_GBK" w:cs="方正楷体_GBK"/>
          <w:b/>
          <w:bCs/>
          <w:sz w:val="32"/>
          <w:szCs w:val="32"/>
          <w:lang w:val="en-US" w:eastAsia="zh-CN"/>
        </w:rPr>
        <w:t>）围绕党建工作</w:t>
      </w:r>
      <w:r>
        <w:rPr>
          <w:rFonts w:hint="eastAsia" w:ascii="方正楷体_GBK" w:eastAsia="方正楷体_GBK" w:cs="方正楷体_GBK"/>
          <w:b/>
          <w:bCs/>
          <w:sz w:val="32"/>
          <w:szCs w:val="32"/>
          <w:lang w:val="en-US" w:eastAsia="zh-CN"/>
        </w:rPr>
        <w:t>重</w:t>
      </w:r>
      <w:r>
        <w:rPr>
          <w:rFonts w:ascii="方正楷体_GBK" w:eastAsia="方正楷体_GBK" w:cs="方正楷体_GBK"/>
          <w:b/>
          <w:bCs/>
          <w:sz w:val="32"/>
          <w:szCs w:val="32"/>
          <w:lang w:val="en-US" w:eastAsia="zh-CN"/>
        </w:rPr>
        <w:t>点，深化党风廉政建设，</w:t>
      </w:r>
      <w:r>
        <w:rPr>
          <w:rFonts w:hint="eastAsia" w:ascii="方正楷体_GBK" w:eastAsia="方正楷体_GBK" w:cs="方正楷体_GBK"/>
          <w:b/>
          <w:bCs/>
          <w:sz w:val="32"/>
          <w:szCs w:val="32"/>
          <w:lang w:val="en-US" w:eastAsia="zh-CN"/>
        </w:rPr>
        <w:t>加强机关内部建设，</w:t>
      </w:r>
      <w:r>
        <w:rPr>
          <w:rFonts w:ascii="方正楷体_GBK" w:eastAsia="方正楷体_GBK" w:cs="方正楷体_GBK"/>
          <w:b/>
          <w:bCs/>
          <w:sz w:val="32"/>
          <w:szCs w:val="32"/>
          <w:lang w:val="en-US" w:eastAsia="zh-CN"/>
        </w:rPr>
        <w:t>抓好“四引四联”党建品牌创建，开展</w:t>
      </w:r>
      <w:r>
        <w:rPr>
          <w:rFonts w:hint="eastAsia" w:ascii="方正楷体_GBK" w:eastAsia="方正楷体_GBK" w:cs="方正楷体_GBK"/>
          <w:b/>
          <w:bCs/>
          <w:sz w:val="32"/>
          <w:szCs w:val="32"/>
          <w:lang w:val="en-US" w:eastAsia="zh-CN"/>
        </w:rPr>
        <w:t>学习贯彻</w:t>
      </w:r>
      <w:r>
        <w:rPr>
          <w:rFonts w:ascii="方正楷体_GBK" w:eastAsia="方正楷体_GBK" w:cs="方正楷体_GBK"/>
          <w:b/>
          <w:bCs/>
          <w:sz w:val="32"/>
          <w:szCs w:val="32"/>
          <w:lang w:val="en-US" w:eastAsia="zh-CN"/>
        </w:rPr>
        <w:t>习近平新时代中国特色社会主义思想主题教育。</w:t>
      </w:r>
    </w:p>
    <w:p>
      <w:pPr>
        <w:keepNext w:val="0"/>
        <w:keepLines w:val="0"/>
        <w:pageBreakBefore w:val="0"/>
        <w:widowControl w:val="0"/>
        <w:pBdr>
          <w:bottom w:val="single" w:color="FFFFFF" w:sz="4" w:space="31"/>
        </w:pBdr>
        <w:kinsoku/>
        <w:wordWrap/>
        <w:overflowPunct/>
        <w:topLinePunct w:val="0"/>
        <w:autoSpaceDE/>
        <w:autoSpaceDN/>
        <w:adjustRightInd/>
        <w:snapToGrid/>
        <w:spacing w:line="560" w:lineRule="exact"/>
        <w:ind w:firstLine="640" w:firstLineChars="200"/>
        <w:rPr>
          <w:rFonts w:ascii="方正楷体_GBK" w:eastAsia="方正楷体_GBK" w:cs="方正楷体_GBK"/>
          <w:b/>
          <w:bCs/>
          <w:sz w:val="32"/>
          <w:szCs w:val="32"/>
          <w:lang w:val="en-US" w:eastAsia="zh-CN"/>
        </w:rPr>
      </w:pPr>
      <w:r>
        <w:rPr>
          <w:rFonts w:ascii="方正楷体_GBK" w:eastAsia="方正楷体_GBK" w:cs="方正楷体_GBK"/>
          <w:b/>
          <w:bCs/>
          <w:sz w:val="32"/>
          <w:szCs w:val="32"/>
          <w:lang w:val="en-US" w:eastAsia="zh-CN"/>
        </w:rPr>
        <w:t>（</w:t>
      </w:r>
      <w:r>
        <w:rPr>
          <w:rFonts w:hint="eastAsia" w:ascii="方正楷体_GBK" w:eastAsia="方正楷体_GBK" w:cs="方正楷体_GBK"/>
          <w:b/>
          <w:bCs/>
          <w:sz w:val="32"/>
          <w:szCs w:val="32"/>
          <w:lang w:val="en-US" w:eastAsia="zh-CN"/>
        </w:rPr>
        <w:t>五</w:t>
      </w:r>
      <w:r>
        <w:rPr>
          <w:rFonts w:ascii="方正楷体_GBK" w:eastAsia="方正楷体_GBK" w:cs="方正楷体_GBK"/>
          <w:b/>
          <w:bCs/>
          <w:sz w:val="32"/>
          <w:szCs w:val="32"/>
          <w:lang w:val="en-US" w:eastAsia="zh-CN"/>
        </w:rPr>
        <w:t>）抓好州委第二轮巡察问题反馈整改工作。</w:t>
      </w:r>
    </w:p>
    <w:p>
      <w:pPr>
        <w:keepNext w:val="0"/>
        <w:keepLines w:val="0"/>
        <w:pageBreakBefore w:val="0"/>
        <w:widowControl w:val="0"/>
        <w:pBdr>
          <w:bottom w:val="single" w:color="FFFFFF" w:sz="4" w:space="31"/>
        </w:pBdr>
        <w:kinsoku/>
        <w:wordWrap/>
        <w:overflowPunct/>
        <w:topLinePunct w:val="0"/>
        <w:autoSpaceDE/>
        <w:autoSpaceDN/>
        <w:adjustRightInd/>
        <w:snapToGrid/>
        <w:spacing w:line="560" w:lineRule="exact"/>
        <w:ind w:firstLine="640" w:firstLineChars="200"/>
        <w:rPr>
          <w:rFonts w:ascii="方正楷体_GBK" w:eastAsia="方正楷体_GBK" w:cs="方正楷体_GBK"/>
          <w:b/>
          <w:bCs/>
          <w:sz w:val="32"/>
          <w:szCs w:val="32"/>
        </w:rPr>
      </w:pPr>
      <w:r>
        <w:rPr>
          <w:rFonts w:ascii="方正楷体_GBK" w:eastAsia="方正楷体_GBK" w:cs="方正楷体_GBK"/>
          <w:b/>
          <w:bCs/>
          <w:sz w:val="32"/>
          <w:szCs w:val="32"/>
        </w:rPr>
        <w:t>（六）切实加强机关党建和党风廉政建设工作。</w:t>
      </w:r>
    </w:p>
    <w:p>
      <w:pPr>
        <w:keepNext w:val="0"/>
        <w:keepLines w:val="0"/>
        <w:pageBreakBefore w:val="0"/>
        <w:widowControl w:val="0"/>
        <w:pBdr>
          <w:bottom w:val="single" w:color="FFFFFF" w:sz="4" w:space="31"/>
        </w:pBdr>
        <w:kinsoku/>
        <w:wordWrap/>
        <w:overflowPunct/>
        <w:topLinePunct w:val="0"/>
        <w:autoSpaceDE/>
        <w:autoSpaceDN/>
        <w:adjustRightInd/>
        <w:snapToGrid/>
        <w:spacing w:line="560" w:lineRule="exact"/>
        <w:ind w:firstLine="640" w:firstLineChars="200"/>
        <w:rPr>
          <w:rFonts w:ascii="黑体" w:eastAsia="黑体"/>
          <w:sz w:val="32"/>
          <w:szCs w:val="32"/>
        </w:rPr>
      </w:pPr>
      <w:r>
        <w:rPr>
          <w:rFonts w:ascii="黑体" w:eastAsia="黑体"/>
          <w:sz w:val="32"/>
          <w:szCs w:val="32"/>
        </w:rPr>
        <w:t>二、</w:t>
      </w:r>
      <w:r>
        <w:rPr>
          <w:rFonts w:hint="eastAsia" w:ascii="黑体" w:eastAsia="黑体"/>
          <w:sz w:val="32"/>
          <w:szCs w:val="32"/>
        </w:rPr>
        <w:t>部门预算单位构成</w:t>
      </w:r>
    </w:p>
    <w:p>
      <w:pPr>
        <w:keepNext w:val="0"/>
        <w:keepLines w:val="0"/>
        <w:pageBreakBefore w:val="0"/>
        <w:widowControl w:val="0"/>
        <w:pBdr>
          <w:bottom w:val="single" w:color="FFFFFF" w:sz="4" w:space="31"/>
        </w:pBdr>
        <w:kinsoku/>
        <w:wordWrap/>
        <w:overflowPunct/>
        <w:topLinePunct w:val="0"/>
        <w:autoSpaceDE/>
        <w:autoSpaceDN/>
        <w:adjustRightInd/>
        <w:snapToGrid/>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州工商联属一级预算单位。</w:t>
      </w:r>
      <w:bookmarkStart w:id="0" w:name="_GoBack"/>
      <w:bookmarkEnd w:id="0"/>
    </w:p>
    <w:p>
      <w:pPr>
        <w:keepNext w:val="0"/>
        <w:keepLines w:val="0"/>
        <w:pageBreakBefore w:val="0"/>
        <w:widowControl w:val="0"/>
        <w:pBdr>
          <w:bottom w:val="single" w:color="FFFFFF" w:sz="4" w:space="31"/>
        </w:pBdr>
        <w:kinsoku/>
        <w:wordWrap/>
        <w:overflowPunct/>
        <w:topLinePunct w:val="0"/>
        <w:autoSpaceDE/>
        <w:autoSpaceDN/>
        <w:adjustRightInd/>
        <w:snapToGrid/>
        <w:spacing w:line="560" w:lineRule="exact"/>
        <w:ind w:firstLine="640" w:firstLineChars="200"/>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pBdr>
          <w:bottom w:val="single" w:color="FFFFFF" w:sz="4" w:space="31"/>
        </w:pBdr>
        <w:kinsoku/>
        <w:wordWrap/>
        <w:overflowPunct/>
        <w:topLinePunct w:val="0"/>
        <w:autoSpaceDE/>
        <w:autoSpaceDN/>
        <w:adjustRightInd/>
        <w:snapToGrid/>
        <w:spacing w:line="560" w:lineRule="exact"/>
        <w:ind w:firstLine="640" w:firstLineChars="200"/>
        <w:jc w:val="center"/>
        <w:rPr>
          <w:rFonts w:ascii="仿宋_GB2312" w:eastAsia="仿宋_GB2312" w:cs="仿宋_GB2312"/>
          <w:sz w:val="32"/>
          <w:szCs w:val="32"/>
        </w:rPr>
      </w:pPr>
      <w:r>
        <w:rPr>
          <w:rFonts w:hint="eastAsia" w:ascii="仿宋_GB2312" w:eastAsia="仿宋_GB2312" w:cs="仿宋_GB2312"/>
          <w:sz w:val="32"/>
          <w:szCs w:val="32"/>
        </w:rPr>
        <w:t>按照综合预算的原则，州工商联所有收入和支出均纳入部门预算管理。收入包括：一般公共预算拨款收入</w:t>
      </w:r>
      <w:r>
        <w:rPr>
          <w:rFonts w:ascii="仿宋_GB2312" w:eastAsia="仿宋_GB2312" w:cs="仿宋_GB2312"/>
          <w:sz w:val="32"/>
          <w:szCs w:val="32"/>
        </w:rPr>
        <w:t>442.52</w:t>
      </w:r>
      <w:r>
        <w:rPr>
          <w:rFonts w:hint="eastAsia" w:ascii="仿宋_GB2312" w:eastAsia="仿宋_GB2312" w:cs="仿宋_GB2312"/>
          <w:sz w:val="32"/>
          <w:szCs w:val="32"/>
        </w:rPr>
        <w:t>万元；支出包括：一般公共服务支出</w:t>
      </w:r>
      <w:r>
        <w:rPr>
          <w:rFonts w:ascii="仿宋_GB2312" w:eastAsia="仿宋_GB2312" w:cs="仿宋_GB2312"/>
          <w:sz w:val="32"/>
          <w:szCs w:val="32"/>
        </w:rPr>
        <w:t>362.97</w:t>
      </w:r>
      <w:r>
        <w:rPr>
          <w:rFonts w:hint="eastAsia" w:ascii="仿宋_GB2312" w:eastAsia="仿宋_GB2312" w:cs="仿宋_GB2312"/>
          <w:sz w:val="32"/>
          <w:szCs w:val="32"/>
        </w:rPr>
        <w:t>万元，社会保障和就业支出</w:t>
      </w:r>
      <w:r>
        <w:rPr>
          <w:rFonts w:ascii="仿宋_GB2312" w:eastAsia="仿宋_GB2312" w:cs="仿宋_GB2312"/>
          <w:sz w:val="32"/>
          <w:szCs w:val="32"/>
        </w:rPr>
        <w:t>42.28</w:t>
      </w:r>
      <w:r>
        <w:rPr>
          <w:rFonts w:hint="eastAsia" w:ascii="仿宋_GB2312" w:eastAsia="仿宋_GB2312" w:cs="仿宋_GB2312"/>
          <w:sz w:val="32"/>
          <w:szCs w:val="32"/>
        </w:rPr>
        <w:t>万元，卫生健康支出</w:t>
      </w:r>
      <w:r>
        <w:rPr>
          <w:rFonts w:ascii="仿宋_GB2312" w:eastAsia="仿宋_GB2312" w:cs="仿宋_GB2312"/>
          <w:sz w:val="32"/>
          <w:szCs w:val="32"/>
        </w:rPr>
        <w:t>16.66</w:t>
      </w:r>
      <w:r>
        <w:rPr>
          <w:rFonts w:hint="eastAsia" w:ascii="仿宋_GB2312" w:eastAsia="仿宋_GB2312" w:cs="仿宋_GB2312"/>
          <w:sz w:val="32"/>
          <w:szCs w:val="32"/>
        </w:rPr>
        <w:t>万元，住房保障支出</w:t>
      </w:r>
      <w:r>
        <w:rPr>
          <w:rFonts w:ascii="仿宋_GB2312" w:eastAsia="仿宋_GB2312" w:cs="仿宋_GB2312"/>
          <w:sz w:val="32"/>
          <w:szCs w:val="32"/>
        </w:rPr>
        <w:t>20.61</w:t>
      </w:r>
      <w:r>
        <w:rPr>
          <w:rFonts w:hint="eastAsia" w:ascii="仿宋_GB2312" w:eastAsia="仿宋_GB2312" w:cs="仿宋_GB2312"/>
          <w:sz w:val="32"/>
          <w:szCs w:val="32"/>
        </w:rPr>
        <w:t>万元。州工商联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4</w:t>
      </w:r>
      <w:r>
        <w:rPr>
          <w:rFonts w:hint="eastAsia" w:ascii="仿宋_GB2312" w:eastAsia="仿宋_GB2312" w:cs="仿宋_GB2312"/>
          <w:sz w:val="32"/>
          <w:szCs w:val="32"/>
        </w:rPr>
        <w:t>年收支总预算</w:t>
      </w:r>
      <w:r>
        <w:rPr>
          <w:rFonts w:ascii="仿宋_GB2312" w:eastAsia="仿宋_GB2312" w:cs="仿宋_GB2312"/>
          <w:sz w:val="32"/>
          <w:szCs w:val="32"/>
        </w:rPr>
        <w:t>442.52</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3</w:t>
      </w:r>
      <w:r>
        <w:rPr>
          <w:rFonts w:hint="eastAsia" w:ascii="仿宋_GB2312" w:eastAsia="仿宋_GB2312" w:cs="仿宋_GB2312"/>
          <w:sz w:val="32"/>
          <w:szCs w:val="32"/>
        </w:rPr>
        <w:t>年收支预算总数</w:t>
      </w:r>
      <w:r>
        <w:rPr>
          <w:rFonts w:ascii="仿宋_GB2312" w:eastAsia="仿宋_GB2312" w:cs="仿宋_GB2312"/>
          <w:sz w:val="32"/>
          <w:szCs w:val="32"/>
        </w:rPr>
        <w:t>增加64.97</w:t>
      </w:r>
      <w:r>
        <w:rPr>
          <w:rFonts w:hint="eastAsia" w:ascii="仿宋_GB2312" w:eastAsia="仿宋_GB2312" w:cs="仿宋_GB2312"/>
          <w:sz w:val="32"/>
          <w:szCs w:val="32"/>
        </w:rPr>
        <w:t>万元，主要原因</w:t>
      </w:r>
      <w:r>
        <w:rPr>
          <w:rFonts w:ascii="仿宋_GB2312" w:eastAsia="仿宋_GB2312" w:cs="仿宋_GB2312"/>
          <w:sz w:val="32"/>
          <w:szCs w:val="32"/>
        </w:rPr>
        <w:t>:本年新增5个项目分别是</w:t>
      </w:r>
      <w:r>
        <w:rPr>
          <w:rFonts w:ascii="Times New Roman" w:hAnsi="Times New Roman" w:eastAsia="仿宋_GB2312" w:cs="仿宋_GB2312"/>
          <w:sz w:val="32"/>
          <w:szCs w:val="32"/>
        </w:rPr>
        <w:t>非公有制经济人士及工商联干部职工培训费、</w:t>
      </w:r>
      <w:r>
        <w:rPr>
          <w:rFonts w:ascii="仿宋_GB2312" w:eastAsia="仿宋_GB2312" w:cs="仿宋_GB2312"/>
          <w:sz w:val="32"/>
          <w:szCs w:val="32"/>
        </w:rPr>
        <w:t>推动民营企业建立现代企业制度工作经费、</w:t>
      </w:r>
      <w:r>
        <w:rPr>
          <w:rFonts w:ascii="Times New Roman" w:hAnsi="Times New Roman" w:eastAsia="仿宋_GB2312" w:cs="仿宋_GB2312"/>
          <w:sz w:val="32"/>
          <w:szCs w:val="32"/>
        </w:rPr>
        <w:t> 评价营商环境工作经费、车辆大修费、阿坝州浙江温州商会工作经费</w:t>
      </w:r>
      <w:r>
        <w:rPr>
          <w:rFonts w:ascii="仿宋_GB2312" w:eastAsia="仿宋_GB2312" w:cs="仿宋_GB2312"/>
          <w:sz w:val="32"/>
          <w:szCs w:val="32"/>
        </w:rPr>
        <w:t>，项目经费增加，本年新调入人员2名，人员经费增加</w:t>
      </w:r>
      <w:r>
        <w:rPr>
          <w:rFonts w:hint="eastAsia" w:ascii="仿宋_GB2312" w:eastAsia="仿宋_GB2312" w:cs="仿宋_GB2312"/>
          <w:sz w:val="32"/>
          <w:szCs w:val="32"/>
        </w:rPr>
        <w:t>。</w:t>
      </w:r>
    </w:p>
    <w:p>
      <w:pPr>
        <w:keepNext w:val="0"/>
        <w:keepLines w:val="0"/>
        <w:pageBreakBefore w:val="0"/>
        <w:widowControl w:val="0"/>
        <w:pBdr>
          <w:bottom w:val="single" w:color="FFFFFF" w:sz="4" w:space="31"/>
        </w:pBdr>
        <w:kinsoku/>
        <w:wordWrap/>
        <w:overflowPunct/>
        <w:topLinePunct w:val="0"/>
        <w:autoSpaceDE/>
        <w:autoSpaceDN/>
        <w:adjustRightInd/>
        <w:snapToGrid/>
        <w:spacing w:line="560" w:lineRule="exact"/>
        <w:ind w:firstLine="640" w:firstLineChars="200"/>
        <w:rPr>
          <w:rFonts w:ascii="楷体" w:eastAsia="楷体"/>
          <w:sz w:val="32"/>
          <w:szCs w:val="32"/>
        </w:rPr>
      </w:pPr>
      <w:r>
        <w:rPr>
          <w:rFonts w:hint="eastAsia" w:ascii="楷体" w:eastAsia="楷体"/>
          <w:sz w:val="32"/>
          <w:szCs w:val="32"/>
        </w:rPr>
        <w:t>（一）收入预算情况</w:t>
      </w:r>
    </w:p>
    <w:p>
      <w:pPr>
        <w:keepNext w:val="0"/>
        <w:keepLines w:val="0"/>
        <w:pageBreakBefore w:val="0"/>
        <w:widowControl w:val="0"/>
        <w:pBdr>
          <w:bottom w:val="single" w:color="FFFFFF" w:sz="4" w:space="31"/>
        </w:pBdr>
        <w:kinsoku/>
        <w:wordWrap/>
        <w:overflowPunct/>
        <w:topLinePunct w:val="0"/>
        <w:autoSpaceDE/>
        <w:autoSpaceDN/>
        <w:adjustRightInd/>
        <w:snapToGrid/>
        <w:spacing w:line="560" w:lineRule="exact"/>
        <w:ind w:firstLine="640" w:firstLineChars="200"/>
        <w:rPr>
          <w:rFonts w:ascii="方正楷体_GBK" w:eastAsia="方正楷体_GBK" w:cs="方正楷体_GBK"/>
          <w:b/>
          <w:bCs/>
          <w:sz w:val="32"/>
          <w:szCs w:val="32"/>
        </w:rPr>
      </w:pPr>
      <w:r>
        <w:rPr>
          <w:rFonts w:hint="eastAsia" w:ascii="仿宋_GB2312" w:eastAsia="仿宋_GB2312" w:cs="仿宋_GB2312"/>
          <w:sz w:val="32"/>
          <w:szCs w:val="32"/>
        </w:rPr>
        <w:t>州工商联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4</w:t>
      </w:r>
      <w:r>
        <w:rPr>
          <w:rFonts w:hint="eastAsia" w:ascii="仿宋_GB2312" w:eastAsia="仿宋_GB2312" w:cs="仿宋_GB2312"/>
          <w:sz w:val="32"/>
          <w:szCs w:val="32"/>
        </w:rPr>
        <w:t>年收入预算</w:t>
      </w:r>
      <w:r>
        <w:rPr>
          <w:rFonts w:ascii="仿宋_GB2312" w:eastAsia="仿宋_GB2312" w:cs="仿宋_GB2312"/>
          <w:sz w:val="32"/>
          <w:szCs w:val="32"/>
        </w:rPr>
        <w:t>442.52</w:t>
      </w:r>
      <w:r>
        <w:rPr>
          <w:rFonts w:hint="eastAsia" w:ascii="仿宋_GB2312" w:eastAsia="仿宋_GB2312" w:cs="仿宋_GB2312"/>
          <w:sz w:val="32"/>
          <w:szCs w:val="32"/>
        </w:rPr>
        <w:t>万元；一般公共预算拨款收入</w:t>
      </w:r>
      <w:r>
        <w:rPr>
          <w:rFonts w:ascii="仿宋_GB2312" w:eastAsia="仿宋_GB2312" w:cs="仿宋_GB2312"/>
          <w:sz w:val="32"/>
          <w:szCs w:val="32"/>
        </w:rPr>
        <w:t>442.52</w:t>
      </w:r>
      <w:r>
        <w:rPr>
          <w:rFonts w:hint="eastAsia" w:ascii="仿宋_GB2312" w:eastAsia="仿宋_GB2312" w:cs="仿宋_GB2312"/>
          <w:sz w:val="32"/>
          <w:szCs w:val="32"/>
        </w:rPr>
        <w:t>万元，占100%，无上年结转。</w:t>
      </w:r>
    </w:p>
    <w:p>
      <w:pPr>
        <w:spacing w:line="560" w:lineRule="exact"/>
        <w:ind w:firstLine="640"/>
        <w:jc w:val="left"/>
        <w:rPr>
          <w:rFonts w:ascii="楷体" w:eastAsia="楷体" w:cs="仿宋_GB2312"/>
          <w:sz w:val="32"/>
          <w:szCs w:val="32"/>
        </w:rPr>
      </w:pPr>
      <w:r>
        <w:rPr>
          <w:rFonts w:hint="eastAsia" w:ascii="楷体" w:eastAsia="楷体" w:cs="仿宋_GB2312"/>
          <w:sz w:val="32"/>
          <w:szCs w:val="32"/>
        </w:rPr>
        <w:t>（二）支出预算情况</w:t>
      </w:r>
    </w:p>
    <w:p>
      <w:pPr>
        <w:spacing w:line="560" w:lineRule="exact"/>
        <w:ind w:firstLine="640"/>
        <w:jc w:val="left"/>
        <w:rPr>
          <w:rFonts w:ascii="楷体" w:eastAsia="楷体"/>
          <w:sz w:val="32"/>
          <w:szCs w:val="32"/>
        </w:rPr>
      </w:pPr>
      <w:r>
        <w:rPr>
          <w:rFonts w:hint="eastAsia" w:ascii="仿宋_GB2312" w:eastAsia="仿宋_GB2312" w:cs="仿宋_GB2312"/>
          <w:sz w:val="32"/>
          <w:szCs w:val="32"/>
        </w:rPr>
        <w:t>州工商联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4</w:t>
      </w:r>
      <w:r>
        <w:rPr>
          <w:rFonts w:hint="eastAsia" w:ascii="仿宋_GB2312" w:eastAsia="仿宋_GB2312" w:cs="仿宋_GB2312"/>
          <w:sz w:val="32"/>
          <w:szCs w:val="32"/>
        </w:rPr>
        <w:t>年支出预算</w:t>
      </w:r>
      <w:r>
        <w:rPr>
          <w:rFonts w:ascii="仿宋_GB2312" w:eastAsia="仿宋_GB2312" w:cs="仿宋_GB2312"/>
          <w:sz w:val="32"/>
          <w:szCs w:val="32"/>
        </w:rPr>
        <w:t>442.52</w:t>
      </w:r>
      <w:r>
        <w:rPr>
          <w:rFonts w:hint="eastAsia" w:ascii="仿宋_GB2312" w:eastAsia="仿宋_GB2312" w:cs="仿宋_GB2312"/>
          <w:sz w:val="32"/>
          <w:szCs w:val="32"/>
        </w:rPr>
        <w:t>万元，其中：基本支出</w:t>
      </w:r>
      <w:r>
        <w:rPr>
          <w:rFonts w:ascii="仿宋_GB2312" w:eastAsia="仿宋_GB2312" w:cs="仿宋_GB2312"/>
          <w:sz w:val="32"/>
          <w:szCs w:val="32"/>
        </w:rPr>
        <w:t>353.02</w:t>
      </w:r>
      <w:r>
        <w:rPr>
          <w:rFonts w:hint="eastAsia" w:ascii="仿宋_GB2312" w:eastAsia="仿宋_GB2312" w:cs="仿宋_GB2312"/>
          <w:sz w:val="32"/>
          <w:szCs w:val="32"/>
        </w:rPr>
        <w:t>万元，占</w:t>
      </w:r>
      <w:r>
        <w:rPr>
          <w:rFonts w:ascii="仿宋_GB2312" w:eastAsia="仿宋_GB2312" w:cs="仿宋_GB2312"/>
          <w:sz w:val="32"/>
          <w:szCs w:val="32"/>
        </w:rPr>
        <w:t>79.77%</w:t>
      </w:r>
      <w:r>
        <w:rPr>
          <w:rFonts w:hint="eastAsia" w:ascii="仿宋_GB2312" w:eastAsia="仿宋_GB2312" w:cs="仿宋_GB2312"/>
          <w:sz w:val="32"/>
          <w:szCs w:val="32"/>
        </w:rPr>
        <w:t>；项目支出</w:t>
      </w:r>
      <w:r>
        <w:rPr>
          <w:rFonts w:ascii="仿宋_GB2312" w:eastAsia="仿宋_GB2312" w:cs="仿宋_GB2312"/>
          <w:sz w:val="32"/>
          <w:szCs w:val="32"/>
        </w:rPr>
        <w:t>89.5万</w:t>
      </w:r>
      <w:r>
        <w:rPr>
          <w:rFonts w:hint="eastAsia" w:ascii="仿宋_GB2312" w:eastAsia="仿宋_GB2312" w:cs="仿宋_GB2312"/>
          <w:sz w:val="32"/>
          <w:szCs w:val="32"/>
        </w:rPr>
        <w:t>元，占</w:t>
      </w:r>
      <w:r>
        <w:rPr>
          <w:rFonts w:ascii="仿宋_GB2312" w:eastAsia="仿宋_GB2312" w:cs="仿宋_GB2312"/>
          <w:sz w:val="32"/>
          <w:szCs w:val="32"/>
        </w:rPr>
        <w:t>20.23%</w:t>
      </w:r>
      <w:r>
        <w:rPr>
          <w:rFonts w:hint="eastAsia" w:ascii="仿宋_GB2312" w:eastAsia="仿宋_GB2312" w:cs="仿宋_GB2312"/>
          <w:sz w:val="32"/>
          <w:szCs w:val="32"/>
        </w:rPr>
        <w:t>。</w:t>
      </w:r>
    </w:p>
    <w:p>
      <w:pPr>
        <w:spacing w:line="560" w:lineRule="exact"/>
        <w:ind w:left="638" w:leftChars="304"/>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eastAsia="仿宋_GB2312" w:cs="仿宋_GB2312"/>
          <w:sz w:val="32"/>
          <w:szCs w:val="32"/>
        </w:rPr>
        <w:t>州工商联</w:t>
      </w:r>
      <w:r>
        <w:rPr>
          <w:rFonts w:hint="eastAsia" w:ascii="仿宋_GB2312" w:eastAsia="仿宋_GB2312"/>
          <w:sz w:val="32"/>
          <w:szCs w:val="32"/>
        </w:rPr>
        <w:t>2024年财政拨款收支总预算</w:t>
      </w:r>
      <w:r>
        <w:rPr>
          <w:rFonts w:ascii="仿宋_GB2312" w:eastAsia="仿宋_GB2312"/>
          <w:sz w:val="32"/>
          <w:szCs w:val="32"/>
        </w:rPr>
        <w:t>442.52</w:t>
      </w:r>
      <w:r>
        <w:rPr>
          <w:rFonts w:hint="eastAsia" w:ascii="仿宋_GB2312" w:eastAsia="仿宋_GB2312"/>
          <w:sz w:val="32"/>
          <w:szCs w:val="32"/>
        </w:rPr>
        <w:t>万元,比</w:t>
      </w:r>
    </w:p>
    <w:p>
      <w:pPr>
        <w:spacing w:line="560" w:lineRule="exact"/>
        <w:ind w:left="0"/>
        <w:rPr>
          <w:rFonts w:ascii="楷体" w:eastAsia="楷体"/>
          <w:sz w:val="32"/>
          <w:szCs w:val="32"/>
        </w:rPr>
      </w:pPr>
      <w:r>
        <w:rPr>
          <w:rFonts w:hint="eastAsia" w:ascii="仿宋_GB2312" w:eastAsia="仿宋_GB2312"/>
          <w:sz w:val="32"/>
          <w:szCs w:val="32"/>
        </w:rPr>
        <w:t>202</w:t>
      </w:r>
      <w:r>
        <w:rPr>
          <w:rFonts w:ascii="仿宋_GB2312" w:eastAsia="仿宋_GB2312"/>
          <w:sz w:val="32"/>
          <w:szCs w:val="32"/>
        </w:rPr>
        <w:t>3</w:t>
      </w:r>
      <w:r>
        <w:rPr>
          <w:rFonts w:hint="eastAsia" w:ascii="仿宋_GB2312" w:eastAsia="仿宋_GB2312"/>
          <w:sz w:val="32"/>
          <w:szCs w:val="32"/>
        </w:rPr>
        <w:t>年财政拨款收支总预算增加</w:t>
      </w:r>
      <w:r>
        <w:rPr>
          <w:rFonts w:ascii="仿宋_GB2312" w:eastAsia="仿宋_GB2312"/>
          <w:sz w:val="32"/>
          <w:szCs w:val="32"/>
        </w:rPr>
        <w:t>64.97</w:t>
      </w:r>
      <w:r>
        <w:rPr>
          <w:rFonts w:hint="eastAsia" w:ascii="仿宋_GB2312" w:eastAsia="仿宋_GB2312"/>
          <w:sz w:val="32"/>
          <w:szCs w:val="32"/>
        </w:rPr>
        <w:t>万元，主要原因:</w:t>
      </w:r>
      <w:r>
        <w:rPr>
          <w:rFonts w:ascii="仿宋_GB2312" w:eastAsia="仿宋_GB2312" w:cs="仿宋_GB2312"/>
          <w:sz w:val="32"/>
          <w:szCs w:val="32"/>
        </w:rPr>
        <w:t>本年新增5个项目分别是</w:t>
      </w:r>
      <w:r>
        <w:rPr>
          <w:rFonts w:ascii="Times New Roman" w:hAnsi="Times New Roman" w:eastAsia="仿宋_GB2312" w:cs="仿宋_GB2312"/>
          <w:sz w:val="32"/>
          <w:szCs w:val="32"/>
        </w:rPr>
        <w:t>非公有制经济人士及工商联干部职工培训费、</w:t>
      </w:r>
      <w:r>
        <w:rPr>
          <w:rFonts w:ascii="仿宋_GB2312" w:eastAsia="仿宋_GB2312" w:cs="仿宋_GB2312"/>
          <w:sz w:val="32"/>
          <w:szCs w:val="32"/>
        </w:rPr>
        <w:t>推动民营企业建立现代企业制度工作经费、</w:t>
      </w:r>
      <w:r>
        <w:rPr>
          <w:rFonts w:ascii="Times New Roman" w:hAnsi="Times New Roman" w:eastAsia="仿宋_GB2312" w:cs="仿宋_GB2312"/>
          <w:sz w:val="32"/>
          <w:szCs w:val="32"/>
        </w:rPr>
        <w:t> 评价营商环境工作经费、车辆大修费、阿坝州浙江温州商会工作经费</w:t>
      </w:r>
      <w:r>
        <w:rPr>
          <w:rFonts w:ascii="仿宋_GB2312" w:eastAsia="仿宋_GB2312" w:cs="仿宋_GB2312"/>
          <w:sz w:val="32"/>
          <w:szCs w:val="32"/>
        </w:rPr>
        <w:t>，项目经费增加，本年新调入人员2名，人员经费增加</w:t>
      </w:r>
      <w:r>
        <w:rPr>
          <w:rFonts w:hint="eastAsia" w:ascii="仿宋_GB2312" w:eastAsia="仿宋_GB2312" w:cs="仿宋_GB2312"/>
          <w:sz w:val="32"/>
          <w:szCs w:val="32"/>
        </w:rPr>
        <w:t>。</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收入包括：本年一般公共预算拨款收入</w:t>
      </w:r>
      <w:r>
        <w:rPr>
          <w:rFonts w:ascii="仿宋_GB2312" w:eastAsia="仿宋_GB2312" w:cs="仿宋_GB2312"/>
          <w:sz w:val="32"/>
          <w:szCs w:val="32"/>
        </w:rPr>
        <w:t>442.52</w:t>
      </w:r>
      <w:r>
        <w:rPr>
          <w:rFonts w:hint="eastAsia" w:ascii="仿宋_GB2312" w:eastAsia="仿宋_GB2312" w:cs="仿宋_GB2312"/>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支出包括：一般公共服务支出</w:t>
      </w:r>
      <w:r>
        <w:rPr>
          <w:rFonts w:ascii="仿宋_GB2312" w:eastAsia="仿宋_GB2312" w:cs="仿宋_GB2312"/>
          <w:sz w:val="32"/>
          <w:szCs w:val="32"/>
        </w:rPr>
        <w:t>362.97</w:t>
      </w:r>
      <w:r>
        <w:rPr>
          <w:rFonts w:hint="eastAsia" w:ascii="仿宋_GB2312" w:eastAsia="仿宋_GB2312" w:cs="仿宋_GB2312"/>
          <w:sz w:val="32"/>
          <w:szCs w:val="32"/>
        </w:rPr>
        <w:t>万元，社会保障和就业支出</w:t>
      </w:r>
      <w:r>
        <w:rPr>
          <w:rFonts w:ascii="仿宋_GB2312" w:eastAsia="仿宋_GB2312" w:cs="仿宋_GB2312"/>
          <w:sz w:val="32"/>
          <w:szCs w:val="32"/>
        </w:rPr>
        <w:t>42.28</w:t>
      </w:r>
      <w:r>
        <w:rPr>
          <w:rFonts w:hint="eastAsia" w:ascii="仿宋_GB2312" w:eastAsia="仿宋_GB2312" w:cs="仿宋_GB2312"/>
          <w:sz w:val="32"/>
          <w:szCs w:val="32"/>
        </w:rPr>
        <w:t>万元，卫生健康支出</w:t>
      </w:r>
      <w:r>
        <w:rPr>
          <w:rFonts w:ascii="仿宋_GB2312" w:eastAsia="仿宋_GB2312" w:cs="仿宋_GB2312"/>
          <w:sz w:val="32"/>
          <w:szCs w:val="32"/>
        </w:rPr>
        <w:t>16.66</w:t>
      </w:r>
      <w:r>
        <w:rPr>
          <w:rFonts w:hint="eastAsia" w:ascii="仿宋_GB2312" w:eastAsia="仿宋_GB2312" w:cs="仿宋_GB2312"/>
          <w:sz w:val="32"/>
          <w:szCs w:val="32"/>
        </w:rPr>
        <w:t>万元，住房保障支出</w:t>
      </w:r>
      <w:r>
        <w:rPr>
          <w:rFonts w:ascii="仿宋_GB2312" w:eastAsia="仿宋_GB2312" w:cs="仿宋_GB2312"/>
          <w:sz w:val="32"/>
          <w:szCs w:val="32"/>
        </w:rPr>
        <w:t>20.61</w:t>
      </w:r>
      <w:r>
        <w:rPr>
          <w:rFonts w:hint="eastAsia" w:ascii="仿宋_GB2312" w:eastAsia="仿宋_GB2312" w:cs="仿宋_GB2312"/>
          <w:sz w:val="32"/>
          <w:szCs w:val="32"/>
        </w:rPr>
        <w:t>万元。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560" w:lineRule="exact"/>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spacing w:line="560" w:lineRule="exact"/>
        <w:ind w:firstLine="640" w:firstLineChars="200"/>
        <w:rPr>
          <w:rFonts w:ascii="楷体" w:eastAsia="楷体"/>
          <w:sz w:val="32"/>
          <w:szCs w:val="32"/>
        </w:rPr>
      </w:pPr>
      <w:r>
        <w:rPr>
          <w:rFonts w:hint="eastAsia" w:ascii="仿宋_GB2312" w:eastAsia="仿宋_GB2312" w:cs="仿宋_GB2312"/>
          <w:sz w:val="32"/>
          <w:szCs w:val="32"/>
        </w:rPr>
        <w:t>州工商联</w:t>
      </w:r>
      <w:r>
        <w:rPr>
          <w:rFonts w:ascii="仿宋_GB2312" w:eastAsia="仿宋_GB2312" w:cs="仿宋_GB2312"/>
          <w:sz w:val="32"/>
          <w:szCs w:val="32"/>
        </w:rPr>
        <w:t>2024</w:t>
      </w:r>
      <w:r>
        <w:rPr>
          <w:rFonts w:hint="eastAsia" w:ascii="仿宋_GB2312" w:eastAsia="仿宋_GB2312" w:cs="仿宋_GB2312"/>
          <w:sz w:val="32"/>
          <w:szCs w:val="32"/>
        </w:rPr>
        <w:t>年一般公共预算当年拨款</w:t>
      </w:r>
      <w:r>
        <w:rPr>
          <w:rFonts w:ascii="仿宋_GB2312" w:eastAsia="仿宋_GB2312" w:cs="仿宋_GB2312"/>
          <w:sz w:val="32"/>
          <w:szCs w:val="32"/>
        </w:rPr>
        <w:t>442.52</w:t>
      </w:r>
      <w:r>
        <w:rPr>
          <w:rFonts w:hint="eastAsia" w:ascii="仿宋_GB2312" w:eastAsia="仿宋_GB2312" w:cs="仿宋_GB2312"/>
          <w:sz w:val="32"/>
          <w:szCs w:val="32"/>
        </w:rPr>
        <w:t>万元，比</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3</w:t>
      </w:r>
      <w:r>
        <w:rPr>
          <w:rFonts w:hint="eastAsia" w:ascii="仿宋_GB2312" w:eastAsia="仿宋_GB2312" w:cs="仿宋_GB2312"/>
          <w:sz w:val="32"/>
          <w:szCs w:val="32"/>
        </w:rPr>
        <w:t>年预算数</w:t>
      </w:r>
      <w:r>
        <w:rPr>
          <w:rFonts w:ascii="仿宋_GB2312" w:eastAsia="仿宋_GB2312" w:cs="仿宋_GB2312"/>
          <w:sz w:val="32"/>
          <w:szCs w:val="32"/>
        </w:rPr>
        <w:t>增加64.97</w:t>
      </w:r>
      <w:r>
        <w:rPr>
          <w:rFonts w:hint="eastAsia" w:ascii="仿宋_GB2312" w:eastAsia="仿宋_GB2312" w:cs="仿宋_GB2312"/>
          <w:sz w:val="32"/>
          <w:szCs w:val="32"/>
        </w:rPr>
        <w:t>万元，主要是基本支出增加</w:t>
      </w:r>
      <w:r>
        <w:rPr>
          <w:rFonts w:ascii="仿宋_GB2312" w:eastAsia="仿宋_GB2312" w:cs="仿宋_GB2312"/>
          <w:sz w:val="32"/>
          <w:szCs w:val="32"/>
        </w:rPr>
        <w:t>38.37</w:t>
      </w:r>
      <w:r>
        <w:rPr>
          <w:rFonts w:hint="eastAsia" w:ascii="仿宋_GB2312" w:eastAsia="仿宋_GB2312" w:cs="仿宋_GB2312"/>
          <w:sz w:val="32"/>
          <w:szCs w:val="32"/>
        </w:rPr>
        <w:t>万元，项目支出</w:t>
      </w:r>
      <w:r>
        <w:rPr>
          <w:rFonts w:ascii="仿宋_GB2312" w:eastAsia="仿宋_GB2312" w:cs="仿宋_GB2312"/>
          <w:sz w:val="32"/>
          <w:szCs w:val="32"/>
        </w:rPr>
        <w:t>增加26.6</w:t>
      </w:r>
      <w:r>
        <w:rPr>
          <w:rFonts w:hint="eastAsia" w:ascii="仿宋_GB2312" w:eastAsia="仿宋_GB2312" w:cs="仿宋_GB2312"/>
          <w:sz w:val="32"/>
          <w:szCs w:val="32"/>
        </w:rPr>
        <w:t>万元，主要原因；</w:t>
      </w:r>
      <w:r>
        <w:rPr>
          <w:rFonts w:ascii="仿宋_GB2312" w:eastAsia="仿宋_GB2312" w:cs="仿宋_GB2312"/>
          <w:sz w:val="32"/>
          <w:szCs w:val="32"/>
        </w:rPr>
        <w:t>本年新增5个项目分别是</w:t>
      </w:r>
      <w:r>
        <w:rPr>
          <w:rFonts w:ascii="Times New Roman" w:hAnsi="Times New Roman" w:eastAsia="仿宋_GB2312" w:cs="仿宋_GB2312"/>
          <w:sz w:val="32"/>
          <w:szCs w:val="32"/>
        </w:rPr>
        <w:t>非公有制经济人士及工商联干部职工培训费、</w:t>
      </w:r>
      <w:r>
        <w:rPr>
          <w:rFonts w:ascii="仿宋_GB2312" w:eastAsia="仿宋_GB2312" w:cs="仿宋_GB2312"/>
          <w:sz w:val="32"/>
          <w:szCs w:val="32"/>
        </w:rPr>
        <w:t>推动民营企业建立现代企业制度工作经费、</w:t>
      </w:r>
      <w:r>
        <w:rPr>
          <w:rFonts w:ascii="Times New Roman" w:hAnsi="Times New Roman" w:eastAsia="仿宋_GB2312" w:cs="仿宋_GB2312"/>
          <w:sz w:val="32"/>
          <w:szCs w:val="32"/>
        </w:rPr>
        <w:t> 评价营商环境工作经费、车辆大修费、阿坝州浙江温州商会工作经费</w:t>
      </w:r>
      <w:r>
        <w:rPr>
          <w:rFonts w:ascii="仿宋_GB2312" w:eastAsia="仿宋_GB2312" w:cs="仿宋_GB2312"/>
          <w:sz w:val="32"/>
          <w:szCs w:val="32"/>
        </w:rPr>
        <w:t>，项目经费增加，本年新调入人员2名，人员经费增加</w:t>
      </w:r>
      <w:r>
        <w:rPr>
          <w:rFonts w:hint="eastAsia" w:ascii="仿宋_GB2312" w:eastAsia="仿宋_GB2312" w:cs="仿宋_GB2312"/>
          <w:sz w:val="32"/>
          <w:szCs w:val="32"/>
        </w:rPr>
        <w:t>。</w:t>
      </w:r>
    </w:p>
    <w:p>
      <w:pPr>
        <w:pStyle w:val="11"/>
        <w:spacing w:before="0" w:line="560" w:lineRule="exact"/>
        <w:ind w:firstLine="660"/>
        <w:rPr>
          <w:rFonts w:cs="仿宋_GB2312"/>
          <w:kern w:val="2"/>
          <w:sz w:val="32"/>
          <w:szCs w:val="32"/>
        </w:rPr>
      </w:pPr>
    </w:p>
    <w:p>
      <w:pPr>
        <w:pStyle w:val="11"/>
        <w:spacing w:before="0" w:line="560" w:lineRule="exact"/>
        <w:ind w:left="651" w:leftChars="310"/>
        <w:jc w:val="left"/>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仿宋_GB2312"/>
          <w:kern w:val="2"/>
          <w:sz w:val="32"/>
          <w:szCs w:val="32"/>
        </w:rPr>
        <w:t>一般公共服务支出</w:t>
      </w:r>
      <w:r>
        <w:rPr>
          <w:rFonts w:cs="仿宋_GB2312"/>
          <w:kern w:val="2"/>
          <w:sz w:val="32"/>
          <w:szCs w:val="32"/>
        </w:rPr>
        <w:t>362.97</w:t>
      </w:r>
      <w:r>
        <w:rPr>
          <w:rFonts w:hint="eastAsia" w:cs="仿宋_GB2312"/>
          <w:kern w:val="2"/>
          <w:sz w:val="32"/>
          <w:szCs w:val="32"/>
        </w:rPr>
        <w:t>万元，占</w:t>
      </w:r>
      <w:r>
        <w:rPr>
          <w:rFonts w:cs="仿宋_GB2312"/>
          <w:kern w:val="2"/>
          <w:sz w:val="32"/>
          <w:szCs w:val="32"/>
        </w:rPr>
        <w:t>82.02</w:t>
      </w:r>
      <w:r>
        <w:rPr>
          <w:rFonts w:hint="eastAsia" w:cs="仿宋_GB2312"/>
          <w:kern w:val="2"/>
          <w:sz w:val="32"/>
          <w:szCs w:val="32"/>
        </w:rPr>
        <w:t>%；社会保障</w:t>
      </w:r>
    </w:p>
    <w:p>
      <w:pPr>
        <w:pStyle w:val="11"/>
        <w:spacing w:before="0" w:line="560" w:lineRule="exact"/>
        <w:jc w:val="left"/>
        <w:rPr>
          <w:rFonts w:hint="eastAsia" w:cs="仿宋_GB2312"/>
          <w:kern w:val="2"/>
          <w:sz w:val="32"/>
          <w:szCs w:val="32"/>
        </w:rPr>
      </w:pPr>
      <w:r>
        <w:rPr>
          <w:rFonts w:hint="eastAsia" w:cs="仿宋_GB2312"/>
          <w:kern w:val="2"/>
          <w:sz w:val="32"/>
          <w:szCs w:val="32"/>
        </w:rPr>
        <w:t>和就业支</w:t>
      </w:r>
      <w:r>
        <w:rPr>
          <w:rFonts w:cs="仿宋_GB2312"/>
          <w:kern w:val="2"/>
          <w:sz w:val="32"/>
          <w:szCs w:val="32"/>
        </w:rPr>
        <w:t>出42.28万元，</w:t>
      </w:r>
      <w:r>
        <w:rPr>
          <w:rFonts w:hint="eastAsia" w:cs="仿宋_GB2312"/>
          <w:kern w:val="2"/>
          <w:sz w:val="32"/>
          <w:szCs w:val="32"/>
        </w:rPr>
        <w:t>占</w:t>
      </w:r>
      <w:r>
        <w:rPr>
          <w:rFonts w:cs="仿宋_GB2312"/>
          <w:kern w:val="2"/>
          <w:sz w:val="32"/>
          <w:szCs w:val="32"/>
        </w:rPr>
        <w:t>9.55</w:t>
      </w:r>
      <w:r>
        <w:rPr>
          <w:rFonts w:hint="eastAsia" w:cs="仿宋_GB2312"/>
          <w:kern w:val="2"/>
          <w:sz w:val="32"/>
          <w:szCs w:val="32"/>
        </w:rPr>
        <w:t>%；卫生健康支出</w:t>
      </w:r>
      <w:r>
        <w:rPr>
          <w:rFonts w:cs="仿宋_GB2312"/>
          <w:kern w:val="2"/>
          <w:sz w:val="32"/>
          <w:szCs w:val="32"/>
        </w:rPr>
        <w:t>16.66</w:t>
      </w:r>
      <w:r>
        <w:rPr>
          <w:rFonts w:hint="eastAsia" w:cs="仿宋_GB2312"/>
          <w:kern w:val="2"/>
          <w:sz w:val="32"/>
          <w:szCs w:val="32"/>
        </w:rPr>
        <w:t>万元，占</w:t>
      </w:r>
      <w:r>
        <w:rPr>
          <w:rFonts w:cs="仿宋_GB2312"/>
          <w:kern w:val="2"/>
          <w:sz w:val="32"/>
          <w:szCs w:val="32"/>
        </w:rPr>
        <w:t>3.76%；住</w:t>
      </w:r>
      <w:r>
        <w:rPr>
          <w:rFonts w:hint="eastAsia" w:cs="仿宋_GB2312"/>
          <w:kern w:val="2"/>
          <w:sz w:val="32"/>
          <w:szCs w:val="32"/>
        </w:rPr>
        <w:t>房保障支出</w:t>
      </w:r>
      <w:r>
        <w:rPr>
          <w:rFonts w:cs="仿宋_GB2312"/>
          <w:kern w:val="2"/>
          <w:sz w:val="32"/>
          <w:szCs w:val="32"/>
        </w:rPr>
        <w:t>20.61</w:t>
      </w:r>
      <w:r>
        <w:rPr>
          <w:rFonts w:hint="eastAsia" w:cs="仿宋_GB2312"/>
          <w:kern w:val="2"/>
          <w:sz w:val="32"/>
          <w:szCs w:val="32"/>
        </w:rPr>
        <w:t>万元，占</w:t>
      </w:r>
      <w:r>
        <w:rPr>
          <w:rFonts w:cs="仿宋_GB2312"/>
          <w:kern w:val="2"/>
          <w:sz w:val="32"/>
          <w:szCs w:val="32"/>
        </w:rPr>
        <w:t>4.66</w:t>
      </w:r>
      <w:r>
        <w:rPr>
          <w:rFonts w:hint="eastAsia" w:cs="仿宋_GB2312"/>
          <w:kern w:val="2"/>
          <w:sz w:val="32"/>
          <w:szCs w:val="32"/>
        </w:rPr>
        <w:t>%</w:t>
      </w:r>
      <w:r>
        <w:rPr>
          <w:rFonts w:cs="仿宋_GB2312"/>
          <w:kern w:val="2"/>
          <w:sz w:val="32"/>
          <w:szCs w:val="32"/>
        </w:rPr>
        <w:t>。</w:t>
      </w:r>
    </w:p>
    <w:p>
      <w:pPr>
        <w:pStyle w:val="11"/>
        <w:spacing w:before="0" w:line="560" w:lineRule="exact"/>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1"/>
        <w:spacing w:before="0" w:line="560" w:lineRule="exact"/>
        <w:ind w:firstLine="660"/>
        <w:jc w:val="left"/>
        <w:rPr>
          <w:rFonts w:ascii="仿宋_GB2312" w:eastAsia="仿宋_GB2312" w:cs="仿宋_GB2312"/>
          <w:sz w:val="32"/>
          <w:szCs w:val="32"/>
        </w:rPr>
      </w:pPr>
      <w:r>
        <w:rPr>
          <w:rFonts w:ascii="仿宋_GB2312" w:eastAsia="仿宋_GB2312"/>
          <w:kern w:val="0"/>
          <w:sz w:val="32"/>
          <w:szCs w:val="32"/>
        </w:rPr>
        <w:t>1</w:t>
      </w:r>
      <w:r>
        <w:rPr>
          <w:rFonts w:hint="eastAsia" w:ascii="仿宋_GB2312" w:eastAsia="仿宋_GB2312"/>
          <w:kern w:val="0"/>
          <w:sz w:val="32"/>
          <w:szCs w:val="32"/>
        </w:rPr>
        <w:t>．一般公共服务（类）民主党派及工商联事务（款）一般行政管理事务（项目）</w:t>
      </w:r>
      <w:r>
        <w:rPr>
          <w:rFonts w:ascii="仿宋_GB2312" w:eastAsia="仿宋_GB2312"/>
          <w:kern w:val="0"/>
          <w:sz w:val="32"/>
          <w:szCs w:val="32"/>
        </w:rPr>
        <w:t>2024</w:t>
      </w:r>
      <w:r>
        <w:rPr>
          <w:rFonts w:hint="eastAsia" w:ascii="仿宋_GB2312" w:eastAsia="仿宋_GB2312"/>
          <w:kern w:val="0"/>
          <w:sz w:val="32"/>
          <w:szCs w:val="32"/>
        </w:rPr>
        <w:t>年预算数为</w:t>
      </w:r>
      <w:r>
        <w:rPr>
          <w:rFonts w:ascii="仿宋_GB2312" w:eastAsia="仿宋_GB2312"/>
          <w:kern w:val="0"/>
          <w:sz w:val="32"/>
          <w:szCs w:val="32"/>
        </w:rPr>
        <w:t>89.5</w:t>
      </w:r>
      <w:r>
        <w:rPr>
          <w:rFonts w:hint="eastAsia" w:ascii="仿宋_GB2312" w:eastAsia="仿宋_GB2312"/>
          <w:kern w:val="0"/>
          <w:sz w:val="32"/>
          <w:szCs w:val="32"/>
        </w:rPr>
        <w:t>万元，主要用于</w:t>
      </w:r>
      <w:r>
        <w:rPr>
          <w:rFonts w:ascii="仿宋_GB2312" w:eastAsia="仿宋_GB2312"/>
          <w:kern w:val="0"/>
          <w:sz w:val="32"/>
          <w:szCs w:val="32"/>
        </w:rPr>
        <w:t xml:space="preserve"> :</w:t>
      </w:r>
      <w:r>
        <w:rPr>
          <w:rFonts w:hint="eastAsia" w:ascii="仿宋_GB2312" w:eastAsia="仿宋_GB2312"/>
          <w:kern w:val="0"/>
          <w:sz w:val="32"/>
          <w:szCs w:val="32"/>
        </w:rPr>
        <w:t>考察调研工作经费</w:t>
      </w:r>
      <w:r>
        <w:rPr>
          <w:rFonts w:ascii="仿宋_GB2312" w:eastAsia="仿宋_GB2312"/>
          <w:kern w:val="0"/>
          <w:sz w:val="32"/>
          <w:szCs w:val="32"/>
        </w:rPr>
        <w:t>5</w:t>
      </w:r>
      <w:r>
        <w:rPr>
          <w:rFonts w:hint="eastAsia" w:ascii="仿宋_GB2312" w:eastAsia="仿宋_GB2312"/>
          <w:kern w:val="0"/>
          <w:sz w:val="32"/>
          <w:szCs w:val="32"/>
        </w:rPr>
        <w:t>万元；工商联人民调解委员会工作经费</w:t>
      </w:r>
      <w:r>
        <w:rPr>
          <w:rFonts w:ascii="仿宋_GB2312" w:eastAsia="仿宋_GB2312"/>
          <w:kern w:val="0"/>
          <w:sz w:val="32"/>
          <w:szCs w:val="32"/>
        </w:rPr>
        <w:t>6</w:t>
      </w:r>
      <w:r>
        <w:rPr>
          <w:rFonts w:hint="eastAsia" w:ascii="仿宋_GB2312" w:eastAsia="仿宋_GB2312"/>
          <w:kern w:val="0"/>
          <w:sz w:val="32"/>
          <w:szCs w:val="32"/>
        </w:rPr>
        <w:t>万元；阿坝州总商会成都办事处办公室租赁费6万元；阿坝州总商会成都办事处工作经费</w:t>
      </w:r>
      <w:r>
        <w:rPr>
          <w:rFonts w:ascii="仿宋_GB2312" w:eastAsia="仿宋_GB2312"/>
          <w:kern w:val="0"/>
          <w:sz w:val="32"/>
          <w:szCs w:val="32"/>
        </w:rPr>
        <w:t>5</w:t>
      </w:r>
      <w:r>
        <w:rPr>
          <w:rFonts w:hint="eastAsia" w:ascii="仿宋_GB2312" w:eastAsia="仿宋_GB2312"/>
          <w:kern w:val="0"/>
          <w:sz w:val="32"/>
          <w:szCs w:val="32"/>
        </w:rPr>
        <w:t>万元；</w:t>
      </w:r>
      <w:r>
        <w:rPr>
          <w:rFonts w:hint="eastAsia" w:ascii="仿宋_GB2312" w:eastAsia="仿宋_GB2312" w:cs="仿宋_GB2312"/>
          <w:sz w:val="32"/>
          <w:szCs w:val="32"/>
        </w:rPr>
        <w:t>参政议政工作经费6万元；会员服务中心经费8万元；异地商会工作经费</w:t>
      </w:r>
      <w:r>
        <w:rPr>
          <w:rFonts w:ascii="仿宋_GB2312" w:eastAsia="仿宋_GB2312" w:cs="仿宋_GB2312"/>
          <w:sz w:val="32"/>
          <w:szCs w:val="32"/>
        </w:rPr>
        <w:t>8</w:t>
      </w:r>
      <w:r>
        <w:rPr>
          <w:rFonts w:hint="eastAsia" w:ascii="仿宋_GB2312" w:eastAsia="仿宋_GB2312" w:cs="仿宋_GB2312"/>
          <w:sz w:val="32"/>
          <w:szCs w:val="32"/>
        </w:rPr>
        <w:t>万元</w:t>
      </w:r>
      <w:r>
        <w:rPr>
          <w:rFonts w:ascii="仿宋_GB2312" w:eastAsia="仿宋_GB2312" w:cs="仿宋_GB2312"/>
          <w:sz w:val="32"/>
          <w:szCs w:val="32"/>
        </w:rPr>
        <w:t>；办公设备政府采购经费4.50万元；第三方监督评估机制工作专项经费11万元；</w:t>
      </w:r>
      <w:r>
        <w:rPr>
          <w:rFonts w:ascii="Times New Roman" w:hAnsi="Times New Roman" w:eastAsia="仿宋_GB2312" w:cs="仿宋_GB2312"/>
          <w:sz w:val="32"/>
          <w:szCs w:val="32"/>
        </w:rPr>
        <w:t> 阿坝州浙江温州商会工作经费4万元； 推动民营企业建立现代企业制度工作经费5万元；评价营商环境工作经费3万元；非公有制经济人士及工商联干部职工培训费10万元；车辆大修费8万元。</w:t>
      </w:r>
    </w:p>
    <w:p>
      <w:pPr>
        <w:pStyle w:val="11"/>
        <w:spacing w:before="0" w:line="560" w:lineRule="exact"/>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560" w:lineRule="exact"/>
        <w:ind w:firstLine="640" w:firstLineChars="200"/>
        <w:rPr>
          <w:rFonts w:cs="仿宋_GB2312"/>
          <w:kern w:val="2"/>
          <w:sz w:val="32"/>
          <w:szCs w:val="32"/>
        </w:rPr>
      </w:pPr>
      <w:r>
        <w:rPr>
          <w:rFonts w:cs="仿宋_GB2312"/>
          <w:kern w:val="2"/>
          <w:sz w:val="32"/>
          <w:szCs w:val="32"/>
        </w:rPr>
        <w:t>州工商联</w:t>
      </w:r>
      <w:r>
        <w:rPr>
          <w:rFonts w:hint="eastAsia" w:cs="仿宋_GB2312"/>
          <w:kern w:val="2"/>
          <w:sz w:val="32"/>
          <w:szCs w:val="32"/>
        </w:rPr>
        <w:t>2024年一般公共预算基本支出</w:t>
      </w:r>
      <w:r>
        <w:rPr>
          <w:rFonts w:cs="仿宋_GB2312"/>
          <w:kern w:val="2"/>
          <w:sz w:val="32"/>
          <w:szCs w:val="32"/>
        </w:rPr>
        <w:t>353.02</w:t>
      </w:r>
      <w:r>
        <w:rPr>
          <w:rFonts w:hint="eastAsia" w:cs="仿宋_GB2312"/>
          <w:kern w:val="2"/>
          <w:sz w:val="32"/>
          <w:szCs w:val="32"/>
        </w:rPr>
        <w:t>万元，其中：人员经费</w:t>
      </w:r>
      <w:r>
        <w:rPr>
          <w:rFonts w:cs="仿宋_GB2312"/>
          <w:kern w:val="2"/>
          <w:sz w:val="32"/>
          <w:szCs w:val="32"/>
        </w:rPr>
        <w:t>299.41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560" w:lineRule="exact"/>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53.61</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1"/>
        <w:spacing w:before="0" w:line="560" w:lineRule="exact"/>
        <w:ind w:firstLine="640" w:firstLineChars="200"/>
        <w:rPr>
          <w:rFonts w:cs="仿宋_GB2312"/>
          <w:kern w:val="2"/>
          <w:sz w:val="32"/>
          <w:szCs w:val="32"/>
        </w:rPr>
      </w:pPr>
      <w:r>
        <w:rPr>
          <w:rFonts w:cs="仿宋_GB2312"/>
          <w:kern w:val="2"/>
          <w:sz w:val="32"/>
          <w:szCs w:val="32"/>
        </w:rPr>
        <w:t>州工商联</w:t>
      </w:r>
      <w:r>
        <w:rPr>
          <w:rFonts w:hint="eastAsia" w:cs="仿宋_GB2312"/>
          <w:kern w:val="2"/>
          <w:sz w:val="32"/>
          <w:szCs w:val="32"/>
        </w:rPr>
        <w:t>2024年“三公”经费财政拨款预算数</w:t>
      </w:r>
      <w:r>
        <w:rPr>
          <w:rFonts w:cs="仿宋_GB2312"/>
          <w:kern w:val="2"/>
          <w:sz w:val="32"/>
          <w:szCs w:val="32"/>
        </w:rPr>
        <w:t>34.60</w:t>
      </w:r>
      <w:r>
        <w:rPr>
          <w:rFonts w:hint="eastAsia" w:cs="仿宋_GB2312"/>
          <w:kern w:val="2"/>
          <w:sz w:val="32"/>
          <w:szCs w:val="32"/>
        </w:rPr>
        <w:t>万元，其中：</w:t>
      </w:r>
      <w:r>
        <w:rPr>
          <w:rFonts w:hint="eastAsia" w:ascii="仿宋_GB2312" w:eastAsia="仿宋_GB2312"/>
          <w:kern w:val="0"/>
          <w:sz w:val="32"/>
          <w:szCs w:val="32"/>
        </w:rPr>
        <w:t>未安排因公出国（境）经费</w:t>
      </w:r>
      <w:r>
        <w:rPr>
          <w:rFonts w:hint="eastAsia" w:cs="仿宋_GB2312"/>
          <w:kern w:val="2"/>
          <w:sz w:val="32"/>
          <w:szCs w:val="32"/>
        </w:rPr>
        <w:t>，公务接待费</w:t>
      </w:r>
      <w:r>
        <w:rPr>
          <w:rFonts w:cs="仿宋_GB2312"/>
          <w:kern w:val="2"/>
          <w:sz w:val="32"/>
          <w:szCs w:val="32"/>
        </w:rPr>
        <w:t>0.82</w:t>
      </w:r>
      <w:r>
        <w:rPr>
          <w:rFonts w:hint="eastAsia" w:cs="仿宋_GB2312"/>
          <w:kern w:val="2"/>
          <w:sz w:val="32"/>
          <w:szCs w:val="32"/>
        </w:rPr>
        <w:t>万元，公务用车运行维护费</w:t>
      </w:r>
      <w:r>
        <w:rPr>
          <w:rFonts w:cs="仿宋_GB2312"/>
          <w:kern w:val="2"/>
          <w:sz w:val="32"/>
          <w:szCs w:val="32"/>
        </w:rPr>
        <w:t>33.78</w:t>
      </w:r>
      <w:r>
        <w:rPr>
          <w:rFonts w:hint="eastAsia" w:cs="仿宋_GB2312"/>
          <w:kern w:val="2"/>
          <w:sz w:val="32"/>
          <w:szCs w:val="32"/>
        </w:rPr>
        <w:t>万元。</w:t>
      </w:r>
    </w:p>
    <w:p>
      <w:pPr>
        <w:pBdr>
          <w:bottom w:val="single" w:color="FFFFFF" w:sz="4" w:space="31"/>
        </w:pBdr>
        <w:spacing w:line="560" w:lineRule="exact"/>
        <w:ind w:firstLine="640" w:firstLineChars="200"/>
        <w:rPr>
          <w:rFonts w:hint="eastAsia" w:ascii="仿宋_GB2312" w:eastAsia="仿宋_GB2312"/>
          <w:kern w:val="0"/>
          <w:sz w:val="32"/>
          <w:szCs w:val="32"/>
        </w:rPr>
      </w:pPr>
      <w:r>
        <w:rPr>
          <w:rFonts w:ascii="仿宋_GB2312" w:eastAsia="仿宋_GB2312"/>
          <w:kern w:val="0"/>
          <w:sz w:val="32"/>
          <w:szCs w:val="32"/>
        </w:rPr>
        <w:t>（</w:t>
      </w:r>
      <w:r>
        <w:rPr>
          <w:rFonts w:hint="eastAsia" w:ascii="仿宋_GB2312" w:eastAsia="仿宋_GB2312"/>
          <w:kern w:val="0"/>
          <w:sz w:val="32"/>
          <w:szCs w:val="32"/>
        </w:rPr>
        <w:t>一</w:t>
      </w:r>
      <w:r>
        <w:rPr>
          <w:rFonts w:ascii="仿宋_GB2312" w:eastAsia="仿宋_GB2312"/>
          <w:kern w:val="0"/>
          <w:sz w:val="32"/>
          <w:szCs w:val="32"/>
        </w:rPr>
        <w:t>）</w:t>
      </w:r>
      <w:r>
        <w:rPr>
          <w:rFonts w:hint="eastAsia" w:ascii="仿宋_GB2312" w:eastAsia="仿宋_GB2312"/>
          <w:kern w:val="0"/>
          <w:sz w:val="32"/>
          <w:szCs w:val="32"/>
        </w:rPr>
        <w:t>2024年未安排因公出国（境）费。较202</w:t>
      </w:r>
      <w:r>
        <w:rPr>
          <w:rFonts w:ascii="仿宋_GB2312" w:eastAsia="仿宋_GB2312"/>
          <w:kern w:val="0"/>
          <w:sz w:val="32"/>
          <w:szCs w:val="32"/>
        </w:rPr>
        <w:t>2</w:t>
      </w:r>
      <w:r>
        <w:rPr>
          <w:rFonts w:hint="eastAsia" w:ascii="仿宋_GB2312" w:eastAsia="仿宋_GB2312"/>
          <w:kern w:val="0"/>
          <w:sz w:val="32"/>
          <w:szCs w:val="32"/>
        </w:rPr>
        <w:t>年预算经费无增减变化。主要原因：单位未安排因公出国相关工作。</w:t>
      </w:r>
    </w:p>
    <w:p>
      <w:pPr>
        <w:pBdr>
          <w:bottom w:val="single" w:color="FFFFFF" w:sz="4" w:space="31"/>
        </w:pBdr>
        <w:spacing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（二）2024年公务接待费0.8</w:t>
      </w:r>
      <w:r>
        <w:rPr>
          <w:rFonts w:ascii="仿宋_GB2312" w:eastAsia="仿宋_GB2312"/>
          <w:kern w:val="0"/>
          <w:sz w:val="32"/>
          <w:szCs w:val="32"/>
        </w:rPr>
        <w:t>2</w:t>
      </w:r>
      <w:r>
        <w:rPr>
          <w:rFonts w:hint="eastAsia" w:ascii="仿宋_GB2312" w:eastAsia="仿宋_GB2312"/>
          <w:kern w:val="0"/>
          <w:sz w:val="32"/>
          <w:szCs w:val="32"/>
        </w:rPr>
        <w:t>万元。较202</w:t>
      </w:r>
      <w:r>
        <w:rPr>
          <w:rFonts w:ascii="仿宋_GB2312" w:eastAsia="仿宋_GB2312"/>
          <w:kern w:val="0"/>
          <w:sz w:val="32"/>
          <w:szCs w:val="32"/>
        </w:rPr>
        <w:t>3</w:t>
      </w:r>
      <w:r>
        <w:rPr>
          <w:rFonts w:hint="eastAsia" w:ascii="仿宋_GB2312" w:eastAsia="仿宋_GB2312"/>
          <w:kern w:val="0"/>
          <w:sz w:val="32"/>
          <w:szCs w:val="32"/>
        </w:rPr>
        <w:t>年预算经费</w:t>
      </w:r>
      <w:r>
        <w:rPr>
          <w:rFonts w:ascii="仿宋_GB2312" w:eastAsia="仿宋_GB2312"/>
          <w:kern w:val="0"/>
          <w:sz w:val="32"/>
          <w:szCs w:val="32"/>
        </w:rPr>
        <w:t>增加0.01</w:t>
      </w:r>
      <w:r>
        <w:rPr>
          <w:rFonts w:hint="eastAsia" w:ascii="仿宋_GB2312" w:eastAsia="仿宋_GB2312"/>
          <w:kern w:val="0"/>
          <w:sz w:val="32"/>
          <w:szCs w:val="32"/>
        </w:rPr>
        <w:t>万元，主要原因是：</w:t>
      </w:r>
      <w:r>
        <w:rPr>
          <w:rFonts w:ascii="仿宋_GB2312" w:eastAsia="仿宋_GB2312"/>
          <w:kern w:val="0"/>
          <w:sz w:val="32"/>
          <w:szCs w:val="32"/>
        </w:rPr>
        <w:t>接待人数增加</w:t>
      </w:r>
      <w:r>
        <w:rPr>
          <w:rFonts w:hint="eastAsia" w:ascii="仿宋_GB2312" w:eastAsia="仿宋_GB2312"/>
          <w:kern w:val="0"/>
          <w:sz w:val="32"/>
          <w:szCs w:val="32"/>
        </w:rPr>
        <w:t>。</w:t>
      </w:r>
    </w:p>
    <w:p>
      <w:pPr>
        <w:pBdr>
          <w:bottom w:val="single" w:color="FFFFFF" w:sz="4" w:space="31"/>
        </w:pBd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（三）2024年公务用车购置及运行维护费</w:t>
      </w:r>
      <w:r>
        <w:rPr>
          <w:rFonts w:ascii="仿宋_GB2312" w:eastAsia="仿宋_GB2312"/>
          <w:kern w:val="0"/>
          <w:sz w:val="32"/>
          <w:szCs w:val="32"/>
        </w:rPr>
        <w:t>33.78</w:t>
      </w:r>
      <w:r>
        <w:rPr>
          <w:rFonts w:hint="eastAsia" w:ascii="仿宋_GB2312" w:eastAsia="仿宋_GB2312"/>
          <w:kern w:val="0"/>
          <w:sz w:val="32"/>
          <w:szCs w:val="32"/>
        </w:rPr>
        <w:t>万元。较202</w:t>
      </w:r>
      <w:r>
        <w:rPr>
          <w:rFonts w:ascii="仿宋_GB2312" w:eastAsia="仿宋_GB2312"/>
          <w:kern w:val="0"/>
          <w:sz w:val="32"/>
          <w:szCs w:val="32"/>
        </w:rPr>
        <w:t>3</w:t>
      </w:r>
      <w:r>
        <w:rPr>
          <w:rFonts w:hint="eastAsia" w:ascii="仿宋_GB2312" w:eastAsia="仿宋_GB2312"/>
          <w:kern w:val="0"/>
          <w:sz w:val="32"/>
          <w:szCs w:val="32"/>
        </w:rPr>
        <w:t>年预算经费</w:t>
      </w:r>
      <w:r>
        <w:rPr>
          <w:rFonts w:ascii="仿宋_GB2312" w:eastAsia="仿宋_GB2312"/>
          <w:kern w:val="0"/>
          <w:sz w:val="32"/>
          <w:szCs w:val="32"/>
        </w:rPr>
        <w:t>增加5</w:t>
      </w:r>
      <w:r>
        <w:rPr>
          <w:rFonts w:hint="eastAsia" w:ascii="仿宋_GB2312" w:eastAsia="仿宋_GB2312"/>
          <w:kern w:val="0"/>
          <w:sz w:val="32"/>
          <w:szCs w:val="32"/>
        </w:rPr>
        <w:t>万元，主要原因是：</w:t>
      </w:r>
      <w:r>
        <w:rPr>
          <w:rFonts w:ascii="仿宋_GB2312" w:eastAsia="仿宋_GB2312"/>
          <w:kern w:val="0"/>
          <w:sz w:val="32"/>
          <w:szCs w:val="32"/>
        </w:rPr>
        <w:t>公车使用次数多，运行维护费高</w:t>
      </w:r>
      <w:r>
        <w:rPr>
          <w:rFonts w:hint="eastAsia" w:ascii="仿宋_GB2312" w:eastAsia="仿宋_GB2312"/>
          <w:kern w:val="0"/>
          <w:sz w:val="32"/>
          <w:szCs w:val="32"/>
        </w:rPr>
        <w:t>。</w:t>
      </w:r>
    </w:p>
    <w:p>
      <w:pPr>
        <w:pBdr>
          <w:bottom w:val="single" w:color="FFFFFF" w:sz="4" w:space="31"/>
        </w:pBdr>
        <w:spacing w:line="560" w:lineRule="exact"/>
        <w:ind w:firstLine="640" w:firstLineChars="200"/>
        <w:rPr>
          <w:rFonts w:ascii="仿宋_GB2312" w:eastAsia="仿宋_GB2312"/>
          <w:kern w:val="0"/>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Bdr>
          <w:bottom w:val="single" w:color="FFFFFF" w:sz="4" w:space="31"/>
        </w:pBd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州工商联2024年无政府性基金预算拨款安排的支出。</w:t>
      </w:r>
    </w:p>
    <w:p>
      <w:pPr>
        <w:pBdr>
          <w:bottom w:val="single" w:color="FFFFFF" w:sz="4" w:space="31"/>
        </w:pBdr>
        <w:spacing w:line="560" w:lineRule="exact"/>
        <w:ind w:firstLine="640" w:firstLineChars="200"/>
        <w:rPr>
          <w:rFonts w:ascii="黑体" w:eastAsia="黑体"/>
          <w:sz w:val="32"/>
          <w:szCs w:val="32"/>
        </w:rPr>
      </w:pPr>
      <w:r>
        <w:rPr>
          <w:rFonts w:hint="eastAsia" w:ascii="黑体" w:eastAsia="黑体"/>
          <w:sz w:val="32"/>
          <w:szCs w:val="32"/>
        </w:rPr>
        <w:t>九、其他重要事项的情况说明</w:t>
      </w:r>
    </w:p>
    <w:p>
      <w:pPr>
        <w:pBdr>
          <w:bottom w:val="single" w:color="FFFFFF" w:sz="4" w:space="31"/>
        </w:pBdr>
        <w:spacing w:line="560" w:lineRule="exact"/>
        <w:ind w:firstLine="480" w:firstLineChars="150"/>
        <w:rPr>
          <w:rFonts w:cs="仿宋_GB2312"/>
          <w:color w:val="00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eastAsia="仿宋_GB2312"/>
          <w:kern w:val="0"/>
          <w:sz w:val="32"/>
          <w:szCs w:val="32"/>
        </w:rPr>
        <w:t>州工商联</w:t>
      </w:r>
      <w:r>
        <w:rPr>
          <w:rFonts w:ascii="仿宋_GB2312" w:eastAsia="仿宋_GB2312"/>
          <w:kern w:val="0"/>
          <w:sz w:val="32"/>
          <w:szCs w:val="32"/>
        </w:rPr>
        <w:t>2024</w:t>
      </w:r>
      <w:r>
        <w:rPr>
          <w:rFonts w:hint="eastAsia" w:ascii="仿宋_GB2312" w:eastAsia="仿宋_GB2312"/>
          <w:kern w:val="0"/>
          <w:sz w:val="32"/>
          <w:szCs w:val="32"/>
        </w:rPr>
        <w:t>年机关运行经费财政拨款预算为</w:t>
      </w:r>
      <w:r>
        <w:rPr>
          <w:rFonts w:ascii="仿宋_GB2312" w:eastAsia="仿宋_GB2312"/>
          <w:kern w:val="0"/>
          <w:sz w:val="32"/>
          <w:szCs w:val="32"/>
        </w:rPr>
        <w:t>53.61</w:t>
      </w:r>
      <w:r>
        <w:rPr>
          <w:rFonts w:hint="eastAsia" w:ascii="仿宋_GB2312" w:eastAsia="仿宋_GB2312"/>
          <w:kern w:val="0"/>
          <w:sz w:val="32"/>
          <w:szCs w:val="32"/>
        </w:rPr>
        <w:t>万元，比</w:t>
      </w:r>
      <w:r>
        <w:rPr>
          <w:rFonts w:ascii="仿宋_GB2312" w:eastAsia="仿宋_GB2312"/>
          <w:kern w:val="0"/>
          <w:sz w:val="32"/>
          <w:szCs w:val="32"/>
        </w:rPr>
        <w:t>20</w:t>
      </w:r>
      <w:r>
        <w:rPr>
          <w:rFonts w:hint="eastAsia" w:ascii="仿宋_GB2312" w:eastAsia="仿宋_GB2312"/>
          <w:kern w:val="0"/>
          <w:sz w:val="32"/>
          <w:szCs w:val="32"/>
        </w:rPr>
        <w:t>2</w:t>
      </w:r>
      <w:r>
        <w:rPr>
          <w:rFonts w:ascii="仿宋_GB2312" w:eastAsia="仿宋_GB2312"/>
          <w:kern w:val="0"/>
          <w:sz w:val="32"/>
          <w:szCs w:val="32"/>
        </w:rPr>
        <w:t>3</w:t>
      </w:r>
      <w:r>
        <w:rPr>
          <w:rFonts w:hint="eastAsia" w:ascii="仿宋_GB2312" w:eastAsia="仿宋_GB2312"/>
          <w:kern w:val="0"/>
          <w:sz w:val="32"/>
          <w:szCs w:val="32"/>
        </w:rPr>
        <w:t>年预算</w:t>
      </w:r>
      <w:r>
        <w:rPr>
          <w:rFonts w:ascii="仿宋_GB2312" w:eastAsia="仿宋_GB2312"/>
          <w:kern w:val="0"/>
          <w:sz w:val="32"/>
          <w:szCs w:val="32"/>
        </w:rPr>
        <w:t>增加5.25</w:t>
      </w:r>
      <w:r>
        <w:rPr>
          <w:rFonts w:hint="eastAsia" w:ascii="仿宋_GB2312" w:eastAsia="仿宋_GB2312"/>
          <w:kern w:val="0"/>
          <w:sz w:val="32"/>
          <w:szCs w:val="32"/>
        </w:rPr>
        <w:t>万元。</w:t>
      </w:r>
    </w:p>
    <w:p>
      <w:pPr>
        <w:pBdr>
          <w:bottom w:val="single" w:color="FFFFFF" w:sz="4" w:space="31"/>
        </w:pBdr>
        <w:spacing w:line="560" w:lineRule="exact"/>
        <w:ind w:firstLine="480" w:firstLineChars="150"/>
        <w:rPr>
          <w:rFonts w:ascii="仿宋_GB2312" w:eastAsia="仿宋_GB2312"/>
          <w:kern w:val="0"/>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ascii="仿宋_GB2312" w:eastAsia="仿宋_GB2312"/>
          <w:kern w:val="0"/>
          <w:sz w:val="32"/>
          <w:szCs w:val="32"/>
        </w:rPr>
        <w:t>2024</w:t>
      </w:r>
      <w:r>
        <w:rPr>
          <w:rFonts w:hint="eastAsia" w:ascii="仿宋_GB2312" w:eastAsia="仿宋_GB2312"/>
          <w:kern w:val="0"/>
          <w:sz w:val="32"/>
          <w:szCs w:val="32"/>
        </w:rPr>
        <w:t>年州工商联安排政府采购预算</w:t>
      </w:r>
      <w:r>
        <w:rPr>
          <w:rFonts w:ascii="仿宋_GB2312" w:eastAsia="仿宋_GB2312"/>
          <w:kern w:val="0"/>
          <w:sz w:val="32"/>
          <w:szCs w:val="32"/>
        </w:rPr>
        <w:t>4.50</w:t>
      </w:r>
      <w:r>
        <w:rPr>
          <w:rFonts w:hint="eastAsia" w:ascii="仿宋_GB2312" w:eastAsia="仿宋_GB2312"/>
          <w:kern w:val="0"/>
          <w:sz w:val="32"/>
          <w:szCs w:val="32"/>
        </w:rPr>
        <w:t>万元</w:t>
      </w:r>
      <w:r>
        <w:rPr>
          <w:rFonts w:ascii="仿宋_GB2312" w:eastAsia="仿宋_GB2312"/>
          <w:kern w:val="0"/>
          <w:sz w:val="32"/>
          <w:szCs w:val="32"/>
        </w:rPr>
        <w:t>，主要用于购买木质文件书柜：3个*600元=1800元，国产笔记本：2台*9000元=18000元，办公桌椅 县处级以上（1.8米）：3套*3400元=10200元，一般干部（1.4米） 5*1000=5000元，空调5P：1*2000元=10000元。</w:t>
      </w:r>
    </w:p>
    <w:p>
      <w:pPr>
        <w:pBdr>
          <w:bottom w:val="single" w:color="FFFFFF" w:sz="4" w:space="31"/>
        </w:pBdr>
        <w:spacing w:line="560" w:lineRule="exact"/>
        <w:ind w:firstLine="480" w:firstLineChars="150"/>
        <w:rPr>
          <w:rFonts w:ascii="楷体" w:eastAsia="楷体" w:cs="仿宋_GB2312"/>
          <w:kern w:val="2"/>
          <w:sz w:val="32"/>
          <w:szCs w:val="32"/>
        </w:rPr>
      </w:pPr>
      <w:r>
        <w:rPr>
          <w:rFonts w:hint="eastAsia" w:ascii="楷体" w:eastAsia="楷体" w:cs="仿宋_GB2312"/>
          <w:kern w:val="2"/>
          <w:sz w:val="32"/>
          <w:szCs w:val="32"/>
        </w:rPr>
        <w:t>（三）国有资产占有使用情况</w:t>
      </w:r>
    </w:p>
    <w:p>
      <w:pPr>
        <w:pBdr>
          <w:bottom w:val="single" w:color="FFFFFF" w:sz="4" w:space="31"/>
        </w:pBdr>
        <w:spacing w:line="560" w:lineRule="exact"/>
        <w:ind w:firstLine="480" w:firstLineChars="150"/>
        <w:rPr>
          <w:rFonts w:ascii="仿宋_GB2312" w:eastAsia="仿宋_GB2312" w:cs="仿宋_GB2312"/>
          <w:sz w:val="32"/>
          <w:szCs w:val="32"/>
        </w:rPr>
      </w:pPr>
      <w:r>
        <w:rPr>
          <w:rFonts w:hint="eastAsia" w:ascii="仿宋_GB2312" w:eastAsia="仿宋_GB2312" w:cs="仿宋_GB2312"/>
          <w:kern w:val="0"/>
          <w:sz w:val="32"/>
          <w:szCs w:val="32"/>
        </w:rPr>
        <w:t>截至202</w:t>
      </w:r>
      <w:r>
        <w:rPr>
          <w:rFonts w:ascii="仿宋_GB2312" w:eastAsia="仿宋_GB2312" w:cs="仿宋_GB2312"/>
          <w:kern w:val="0"/>
          <w:sz w:val="32"/>
          <w:szCs w:val="32"/>
        </w:rPr>
        <w:t>3</w:t>
      </w:r>
      <w:r>
        <w:rPr>
          <w:rFonts w:hint="eastAsia" w:ascii="仿宋_GB2312" w:eastAsia="仿宋_GB2312" w:cs="仿宋_GB2312"/>
          <w:kern w:val="0"/>
          <w:sz w:val="32"/>
          <w:szCs w:val="32"/>
        </w:rPr>
        <w:t>年12月31日，我单位固定资产241.28万元</w:t>
      </w:r>
      <w:r>
        <w:rPr>
          <w:rFonts w:ascii="仿宋_GB2312" w:eastAsia="仿宋_GB2312" w:cs="仿宋_GB2312"/>
          <w:kern w:val="0"/>
          <w:sz w:val="32"/>
          <w:szCs w:val="32"/>
        </w:rPr>
        <w:t>：其中通用设备187.22万元；专用设备1万元；</w:t>
      </w:r>
      <w:r>
        <w:rPr>
          <w:rFonts w:hint="eastAsia" w:ascii="仿宋_GB2312" w:eastAsia="仿宋_GB2312" w:cs="仿宋_GB2312"/>
          <w:sz w:val="32"/>
          <w:szCs w:val="32"/>
        </w:rPr>
        <w:t>家具、用具、装具及动植物</w:t>
      </w:r>
      <w:r>
        <w:rPr>
          <w:rFonts w:ascii="仿宋_GB2312" w:eastAsia="仿宋_GB2312" w:cs="仿宋_GB2312"/>
          <w:sz w:val="32"/>
          <w:szCs w:val="32"/>
        </w:rPr>
        <w:t>13.06万元；</w:t>
      </w:r>
      <w:r>
        <w:rPr>
          <w:rFonts w:hint="eastAsia" w:ascii="仿宋_GB2312" w:eastAsia="仿宋_GB2312" w:cs="仿宋_GB2312"/>
          <w:sz w:val="32"/>
          <w:szCs w:val="32"/>
        </w:rPr>
        <w:t>房屋及构筑物</w:t>
      </w:r>
      <w:r>
        <w:rPr>
          <w:rFonts w:ascii="仿宋_GB2312" w:eastAsia="仿宋_GB2312" w:cs="仿宋_GB2312"/>
          <w:sz w:val="32"/>
          <w:szCs w:val="32"/>
        </w:rPr>
        <w:t>40万元。</w:t>
      </w:r>
    </w:p>
    <w:p>
      <w:pPr>
        <w:pBdr>
          <w:bottom w:val="single" w:color="FFFFFF" w:sz="4" w:space="31"/>
        </w:pBdr>
        <w:spacing w:line="560" w:lineRule="exact"/>
        <w:ind w:firstLine="480" w:firstLineChars="150"/>
        <w:rPr>
          <w:rFonts w:ascii="仿宋_GB2312" w:eastAsia="仿宋_GB2312" w:cs="仿宋_GB2312"/>
          <w:sz w:val="32"/>
          <w:szCs w:val="32"/>
        </w:rPr>
      </w:pPr>
      <w:r>
        <w:rPr>
          <w:rFonts w:hint="eastAsia" w:ascii="楷体" w:eastAsia="楷体" w:cs="仿宋_GB2312"/>
          <w:kern w:val="2"/>
          <w:sz w:val="32"/>
          <w:szCs w:val="32"/>
        </w:rPr>
        <w:t>（四）绩效目标设置情况</w:t>
      </w:r>
    </w:p>
    <w:p>
      <w:pPr>
        <w:pBdr>
          <w:bottom w:val="single" w:color="FFFFFF" w:sz="4" w:space="31"/>
        </w:pBdr>
        <w:spacing w:line="560" w:lineRule="exact"/>
        <w:ind w:firstLine="480" w:firstLineChars="150"/>
        <w:rPr>
          <w:rFonts w:ascii="仿宋_GB2312" w:eastAsia="仿宋_GB2312" w:cs="仿宋_GB2312"/>
          <w:kern w:val="0"/>
          <w:sz w:val="32"/>
          <w:szCs w:val="32"/>
        </w:rPr>
      </w:pPr>
      <w:r>
        <w:rPr>
          <w:rFonts w:hint="eastAsia" w:ascii="仿宋_GB2312" w:eastAsia="仿宋_GB2312" w:cs="仿宋_GB2312"/>
          <w:kern w:val="0"/>
          <w:sz w:val="32"/>
          <w:szCs w:val="32"/>
        </w:rPr>
        <w:t>2024年州工商联通用项目和专用项目均按要求实行绩效目标管理，涉及一般公共预算当年拨款377.55万元。</w:t>
      </w:r>
    </w:p>
    <w:p>
      <w:pPr>
        <w:pBdr>
          <w:bottom w:val="single" w:color="FFFFFF" w:sz="4" w:space="31"/>
        </w:pBdr>
        <w:spacing w:line="560" w:lineRule="exact"/>
        <w:ind w:left="480" w:hanging="480" w:hangingChars="150"/>
        <w:rPr>
          <w:rFonts w:hint="eastAsia" w:ascii="仿宋_GB2312" w:eastAsia="仿宋_GB2312" w:cs="仿宋_GB2312"/>
          <w:kern w:val="0"/>
          <w:sz w:val="32"/>
          <w:szCs w:val="32"/>
          <w:shd w:val="clear" w:color="auto" w:fill="auto"/>
        </w:rPr>
      </w:pPr>
      <w:r>
        <w:rPr>
          <w:rFonts w:ascii="黑体" w:eastAsia="黑体"/>
          <w:sz w:val="32"/>
          <w:szCs w:val="32"/>
        </w:rPr>
        <w:t xml:space="preserve">     十、</w:t>
      </w:r>
      <w:r>
        <w:rPr>
          <w:rFonts w:hint="eastAsia" w:ascii="黑体" w:eastAsia="黑体"/>
          <w:sz w:val="32"/>
          <w:szCs w:val="32"/>
        </w:rPr>
        <w:t xml:space="preserve">名称解释 </w:t>
      </w:r>
      <w:r>
        <w:rPr>
          <w:rFonts w:hint="eastAsia" w:cs="仿宋_GB2312"/>
          <w:sz w:val="32"/>
          <w:szCs w:val="32"/>
        </w:rPr>
        <w:br w:type="textWrapping"/>
      </w:r>
      <w:r>
        <w:rPr>
          <w:rFonts w:hint="eastAsia" w:ascii="??" w:hAnsi="??" w:eastAsia="宋体" w:cs="宋体"/>
          <w:sz w:val="16"/>
        </w:rPr>
        <w:t xml:space="preserve">　　   </w:t>
      </w:r>
      <w:r>
        <w:rPr>
          <w:rFonts w:hint="eastAsia" w:ascii="仿宋_GB2312" w:eastAsia="仿宋_GB2312" w:cs="仿宋_GB2312"/>
          <w:kern w:val="0"/>
          <w:sz w:val="32"/>
          <w:szCs w:val="32"/>
          <w:shd w:val="clear" w:color="auto" w:fill="auto"/>
        </w:rPr>
        <w:t>（一）财政拨款收入：指由财政拨款形成的部门收入。按现行管理制度，部门预算中反映的财政拨款仅包括一般公共预算拨款和政府性基金预算拨款。</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（二）事业收入：指所属事业单位开展专业业务活动及辅助活动所取得的收入。</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（三）事业单位经营收入：指所属事业单位在专业业务活动及其辅助活动之外开展非独立核算经营活动取得的收入。</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（四）其他收入：指除上述“财政拨款收入”、“事业收入”、“事业单位经营收入”等以外的收入，主要是所属行政事业单位按规定动用的售房收入、存款利息收入等。</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cs="仿宋_GB2312"/>
          <w:kern w:val="0"/>
          <w:sz w:val="32"/>
          <w:szCs w:val="32"/>
          <w:shd w:val="clear" w:color="auto" w:fill="auto"/>
        </w:rPr>
        <w:br w:type="textWrapping"/>
      </w:r>
      <w:r>
        <w:rPr>
          <w:rFonts w:hint="eastAsia" w:ascii="仿宋_GB2312" w:eastAsia="仿宋_GB2312" w:cs="仿宋_GB2312"/>
          <w:kern w:val="0"/>
          <w:sz w:val="32"/>
          <w:szCs w:val="32"/>
          <w:shd w:val="clear" w:color="auto" w:fill="auto"/>
        </w:rPr>
        <w:t>　　（六）上年结转：指所属行政事业单位以前年度尚未完成、结转至本年按原规定用途继续使用的资金和以前年度已完成项目剩余资金经批准用于新用途使用的资金。</w:t>
      </w:r>
    </w:p>
    <w:p>
      <w:pPr>
        <w:spacing w:line="560" w:lineRule="exact"/>
        <w:rPr>
          <w:rFonts w:hint="eastAsia" w:ascii="仿宋_GB2312" w:eastAsia="仿宋_GB2312" w:cs="仿宋_GB2312"/>
          <w:kern w:val="0"/>
          <w:sz w:val="32"/>
          <w:szCs w:val="32"/>
          <w:shd w:val="clear" w:color="auto" w:fill="auto"/>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ˎ̥">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docVars>
    <w:docVar w:name="commondata" w:val="eyJoZGlkIjoiYjllZGNkZWEzYjg0NDNmNTQ5MjkzNjk0ODlhNmVkYzAifQ=="/>
  </w:docVars>
  <w:rsids>
    <w:rsidRoot w:val="00000000"/>
    <w:rsid w:val="39D654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Body Text"/>
    <w:basedOn w:val="1"/>
    <w:uiPriority w:val="0"/>
    <w:pPr>
      <w:spacing w:after="12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10">
    <w:name w:val="List Paragraph"/>
    <w:basedOn w:val="1"/>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3303</Words>
  <Characters>3658</Characters>
  <Lines>196</Lines>
  <Paragraphs>60</Paragraphs>
  <TotalTime>241</TotalTime>
  <ScaleCrop>false</ScaleCrop>
  <LinksUpToDate>false</LinksUpToDate>
  <CharactersWithSpaces>3716</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一个笨蛋</cp:lastModifiedBy>
  <cp:lastPrinted>2018-01-30T09:39:00Z</cp:lastPrinted>
  <dcterms:modified xsi:type="dcterms:W3CDTF">2024-01-29T08:15:17Z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A68A3985FF9A4192BEBE8726EF4F5898_12</vt:lpwstr>
  </property>
</Properties>
</file>