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74220">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6AE19981"/>
    <w:p w14:paraId="0C33D31F"/>
    <w:p w14:paraId="26FBC4BD"/>
    <w:p w14:paraId="4F824E48">
      <w:pPr>
        <w:ind w:firstLine="1050" w:firstLineChars="500"/>
      </w:pPr>
    </w:p>
    <w:p w14:paraId="0FAE9E80">
      <w:pPr>
        <w:ind w:firstLine="1050" w:firstLineChars="500"/>
      </w:pPr>
    </w:p>
    <w:p w14:paraId="2F7D5E69">
      <w:pPr>
        <w:ind w:firstLine="1760" w:firstLineChars="400"/>
        <w:rPr>
          <w:rFonts w:ascii="黑体" w:eastAsia="黑体"/>
          <w:sz w:val="44"/>
          <w:szCs w:val="44"/>
        </w:rPr>
      </w:pPr>
    </w:p>
    <w:p w14:paraId="12723241">
      <w:pPr>
        <w:ind w:firstLine="1760" w:firstLineChars="400"/>
        <w:rPr>
          <w:rFonts w:ascii="黑体" w:eastAsia="黑体"/>
          <w:sz w:val="44"/>
          <w:szCs w:val="44"/>
        </w:rPr>
      </w:pPr>
    </w:p>
    <w:p w14:paraId="74696BF3">
      <w:pPr>
        <w:jc w:val="center"/>
        <w:rPr>
          <w:rFonts w:hint="eastAsia" w:ascii="黑体" w:eastAsia="黑体"/>
          <w:sz w:val="44"/>
          <w:szCs w:val="44"/>
          <w:lang w:val="en-US" w:eastAsia="zh-CN"/>
        </w:rPr>
      </w:pPr>
      <w:r>
        <w:rPr>
          <w:rFonts w:hint="eastAsia" w:ascii="黑体" w:eastAsia="黑体"/>
          <w:sz w:val="44"/>
          <w:szCs w:val="44"/>
          <w:lang w:val="en-US" w:eastAsia="zh-CN"/>
        </w:rPr>
        <w:t>共青团阿坝州委</w:t>
      </w:r>
    </w:p>
    <w:p w14:paraId="4D17DB42">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287623CA">
      <w:pPr>
        <w:ind w:firstLine="1760" w:firstLineChars="400"/>
        <w:rPr>
          <w:rFonts w:ascii="黑体" w:eastAsia="黑体"/>
          <w:sz w:val="44"/>
          <w:szCs w:val="44"/>
        </w:rPr>
      </w:pPr>
    </w:p>
    <w:p w14:paraId="0593384D">
      <w:pPr>
        <w:ind w:firstLine="1760" w:firstLineChars="400"/>
        <w:rPr>
          <w:rFonts w:ascii="黑体" w:eastAsia="黑体"/>
          <w:sz w:val="44"/>
          <w:szCs w:val="44"/>
        </w:rPr>
      </w:pPr>
    </w:p>
    <w:p w14:paraId="7F6914D2">
      <w:pPr>
        <w:ind w:firstLine="1760" w:firstLineChars="400"/>
        <w:rPr>
          <w:rFonts w:ascii="黑体" w:eastAsia="黑体"/>
          <w:sz w:val="44"/>
          <w:szCs w:val="44"/>
        </w:rPr>
      </w:pPr>
    </w:p>
    <w:p w14:paraId="2211151B">
      <w:pPr>
        <w:ind w:firstLine="1760" w:firstLineChars="400"/>
        <w:rPr>
          <w:rFonts w:ascii="黑体" w:eastAsia="黑体"/>
          <w:sz w:val="44"/>
          <w:szCs w:val="44"/>
        </w:rPr>
      </w:pPr>
    </w:p>
    <w:p w14:paraId="1DC1AC92">
      <w:pPr>
        <w:ind w:firstLine="1760" w:firstLineChars="400"/>
        <w:rPr>
          <w:rFonts w:ascii="黑体" w:eastAsia="黑体"/>
          <w:sz w:val="44"/>
          <w:szCs w:val="44"/>
        </w:rPr>
      </w:pPr>
    </w:p>
    <w:p w14:paraId="752EE655">
      <w:pPr>
        <w:ind w:firstLine="1760" w:firstLineChars="400"/>
        <w:rPr>
          <w:rFonts w:ascii="黑体" w:eastAsia="黑体"/>
          <w:sz w:val="44"/>
          <w:szCs w:val="44"/>
        </w:rPr>
      </w:pPr>
    </w:p>
    <w:p w14:paraId="58E6D3C1">
      <w:pPr>
        <w:ind w:firstLine="1760" w:firstLineChars="400"/>
        <w:rPr>
          <w:rFonts w:ascii="黑体" w:eastAsia="黑体"/>
          <w:sz w:val="44"/>
          <w:szCs w:val="44"/>
        </w:rPr>
      </w:pPr>
    </w:p>
    <w:p w14:paraId="71FA8D3F">
      <w:pPr>
        <w:ind w:firstLine="1760" w:firstLineChars="400"/>
        <w:rPr>
          <w:rFonts w:ascii="黑体" w:eastAsia="黑体"/>
          <w:sz w:val="44"/>
          <w:szCs w:val="44"/>
        </w:rPr>
      </w:pPr>
    </w:p>
    <w:p w14:paraId="4F395973">
      <w:pPr>
        <w:ind w:firstLine="1760" w:firstLineChars="400"/>
        <w:rPr>
          <w:rFonts w:ascii="黑体" w:eastAsia="黑体"/>
          <w:sz w:val="44"/>
          <w:szCs w:val="44"/>
        </w:rPr>
      </w:pPr>
    </w:p>
    <w:p w14:paraId="0B1FB85F">
      <w:pPr>
        <w:ind w:firstLine="1760" w:firstLineChars="400"/>
        <w:rPr>
          <w:rFonts w:ascii="黑体" w:eastAsia="黑体"/>
          <w:sz w:val="44"/>
          <w:szCs w:val="44"/>
        </w:rPr>
      </w:pPr>
    </w:p>
    <w:p w14:paraId="3EBC93A8">
      <w:pPr>
        <w:ind w:firstLine="1760" w:firstLineChars="400"/>
        <w:rPr>
          <w:rFonts w:ascii="黑体" w:eastAsia="黑体"/>
          <w:sz w:val="44"/>
          <w:szCs w:val="44"/>
        </w:rPr>
      </w:pPr>
    </w:p>
    <w:p w14:paraId="041D13F2">
      <w:pPr>
        <w:ind w:firstLine="1760" w:firstLineChars="400"/>
        <w:rPr>
          <w:rFonts w:ascii="黑体" w:eastAsia="黑体"/>
          <w:sz w:val="44"/>
          <w:szCs w:val="44"/>
        </w:rPr>
      </w:pPr>
    </w:p>
    <w:p w14:paraId="094CED54">
      <w:pPr>
        <w:ind w:firstLine="1760" w:firstLineChars="400"/>
        <w:rPr>
          <w:rFonts w:ascii="黑体" w:eastAsia="黑体"/>
          <w:sz w:val="44"/>
          <w:szCs w:val="44"/>
        </w:rPr>
      </w:pPr>
    </w:p>
    <w:p w14:paraId="684959E6">
      <w:pPr>
        <w:ind w:firstLine="1760" w:firstLineChars="400"/>
        <w:rPr>
          <w:rFonts w:ascii="黑体" w:eastAsia="黑体"/>
          <w:sz w:val="44"/>
          <w:szCs w:val="44"/>
        </w:rPr>
      </w:pPr>
    </w:p>
    <w:p w14:paraId="3064BD7C">
      <w:pPr>
        <w:rPr>
          <w:rFonts w:ascii="黑体" w:eastAsia="黑体"/>
          <w:sz w:val="44"/>
          <w:szCs w:val="44"/>
        </w:rPr>
      </w:pPr>
    </w:p>
    <w:p w14:paraId="2EEAA73F">
      <w:pPr>
        <w:ind w:firstLine="3120" w:firstLineChars="600"/>
        <w:rPr>
          <w:rFonts w:ascii="黑体" w:eastAsia="黑体"/>
          <w:sz w:val="52"/>
          <w:szCs w:val="52"/>
        </w:rPr>
      </w:pPr>
      <w:r>
        <w:rPr>
          <w:rFonts w:hint="eastAsia" w:ascii="黑体" w:eastAsia="黑体"/>
          <w:sz w:val="52"/>
          <w:szCs w:val="52"/>
        </w:rPr>
        <w:t>目录</w:t>
      </w:r>
    </w:p>
    <w:p w14:paraId="4D42E7C9">
      <w:pPr>
        <w:ind w:firstLine="3080" w:firstLineChars="700"/>
        <w:rPr>
          <w:rFonts w:ascii="黑体" w:eastAsia="黑体"/>
          <w:sz w:val="44"/>
          <w:szCs w:val="44"/>
        </w:rPr>
      </w:pPr>
    </w:p>
    <w:p w14:paraId="6AC3EBAD">
      <w:pPr>
        <w:pStyle w:val="9"/>
        <w:ind w:firstLine="0" w:firstLineChars="0"/>
        <w:rPr>
          <w:rFonts w:ascii="黑体" w:eastAsia="黑体"/>
          <w:sz w:val="32"/>
          <w:szCs w:val="32"/>
        </w:rPr>
      </w:pPr>
      <w:r>
        <w:rPr>
          <w:rFonts w:hint="eastAsia" w:ascii="黑体" w:eastAsia="黑体"/>
          <w:sz w:val="32"/>
          <w:szCs w:val="32"/>
        </w:rPr>
        <w:t>一、基本职能及主要工作</w:t>
      </w:r>
    </w:p>
    <w:p w14:paraId="68E69006">
      <w:pPr>
        <w:rPr>
          <w:rFonts w:ascii="楷体" w:eastAsia="楷体"/>
          <w:sz w:val="32"/>
          <w:szCs w:val="32"/>
        </w:rPr>
      </w:pPr>
      <w:r>
        <w:rPr>
          <w:rFonts w:hint="eastAsia" w:ascii="楷体" w:eastAsia="楷体"/>
          <w:sz w:val="32"/>
          <w:szCs w:val="32"/>
        </w:rPr>
        <w:t>（一）部门职能简介</w:t>
      </w:r>
    </w:p>
    <w:p w14:paraId="0DCECF43">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461EC24F">
      <w:pPr>
        <w:rPr>
          <w:rFonts w:ascii="黑体" w:eastAsia="黑体"/>
          <w:sz w:val="32"/>
          <w:szCs w:val="32"/>
        </w:rPr>
      </w:pPr>
      <w:r>
        <w:rPr>
          <w:rFonts w:hint="eastAsia" w:ascii="黑体" w:eastAsia="黑体"/>
          <w:sz w:val="32"/>
          <w:szCs w:val="32"/>
        </w:rPr>
        <w:t>二、部门预算单位构成</w:t>
      </w:r>
    </w:p>
    <w:p w14:paraId="7E8902D4">
      <w:pPr>
        <w:rPr>
          <w:rFonts w:ascii="黑体" w:eastAsia="黑体"/>
          <w:sz w:val="32"/>
          <w:szCs w:val="32"/>
        </w:rPr>
      </w:pPr>
      <w:r>
        <w:rPr>
          <w:rFonts w:hint="eastAsia" w:ascii="黑体" w:eastAsia="黑体"/>
          <w:sz w:val="32"/>
          <w:szCs w:val="32"/>
        </w:rPr>
        <w:t>三、收支预算情况说明</w:t>
      </w:r>
    </w:p>
    <w:p w14:paraId="39E50D0A">
      <w:pPr>
        <w:rPr>
          <w:rFonts w:ascii="楷体" w:eastAsia="楷体"/>
          <w:sz w:val="32"/>
          <w:szCs w:val="32"/>
        </w:rPr>
      </w:pPr>
      <w:r>
        <w:rPr>
          <w:rFonts w:hint="eastAsia" w:ascii="楷体" w:eastAsia="楷体"/>
          <w:sz w:val="32"/>
          <w:szCs w:val="32"/>
        </w:rPr>
        <w:t>（一）收入预算情况</w:t>
      </w:r>
    </w:p>
    <w:p w14:paraId="71E6B939">
      <w:pPr>
        <w:rPr>
          <w:rFonts w:ascii="楷体" w:eastAsia="楷体"/>
          <w:sz w:val="32"/>
          <w:szCs w:val="32"/>
        </w:rPr>
      </w:pPr>
      <w:r>
        <w:rPr>
          <w:rFonts w:hint="eastAsia" w:ascii="楷体" w:eastAsia="楷体"/>
          <w:sz w:val="32"/>
          <w:szCs w:val="32"/>
        </w:rPr>
        <w:t>（二）支出预算情况</w:t>
      </w:r>
    </w:p>
    <w:p w14:paraId="486F56EF">
      <w:pPr>
        <w:rPr>
          <w:rFonts w:ascii="黑体" w:eastAsia="黑体"/>
          <w:sz w:val="32"/>
          <w:szCs w:val="32"/>
        </w:rPr>
      </w:pPr>
      <w:r>
        <w:rPr>
          <w:rFonts w:hint="eastAsia" w:ascii="黑体" w:eastAsia="黑体"/>
          <w:sz w:val="32"/>
          <w:szCs w:val="32"/>
        </w:rPr>
        <w:t>四、财政拨款收支预算情况说明</w:t>
      </w:r>
    </w:p>
    <w:p w14:paraId="259DC82C">
      <w:pPr>
        <w:rPr>
          <w:rFonts w:ascii="黑体" w:eastAsia="黑体"/>
          <w:sz w:val="32"/>
          <w:szCs w:val="32"/>
        </w:rPr>
      </w:pPr>
      <w:r>
        <w:rPr>
          <w:rFonts w:hint="eastAsia" w:ascii="黑体" w:eastAsia="黑体"/>
          <w:sz w:val="32"/>
          <w:szCs w:val="32"/>
        </w:rPr>
        <w:t>五、一般公共预算当年拨款情况说明</w:t>
      </w:r>
    </w:p>
    <w:p w14:paraId="2B8A74B0">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9F7A034">
      <w:pPr>
        <w:rPr>
          <w:rFonts w:ascii="黑体" w:eastAsia="黑体"/>
          <w:sz w:val="32"/>
          <w:szCs w:val="32"/>
        </w:rPr>
      </w:pPr>
    </w:p>
    <w:p w14:paraId="432184E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D7A14DC">
      <w:pPr>
        <w:pStyle w:val="9"/>
        <w:rPr>
          <w:rFonts w:ascii="黑体" w:eastAsia="黑体"/>
          <w:sz w:val="32"/>
          <w:szCs w:val="32"/>
        </w:rPr>
      </w:pPr>
      <w:r>
        <w:rPr>
          <w:rFonts w:hint="eastAsia" w:ascii="黑体" w:eastAsia="黑体"/>
          <w:sz w:val="32"/>
          <w:szCs w:val="32"/>
        </w:rPr>
        <w:t>一、基本职能及主要工作</w:t>
      </w:r>
    </w:p>
    <w:p w14:paraId="5086B972">
      <w:pPr>
        <w:ind w:firstLine="640" w:firstLineChars="200"/>
        <w:rPr>
          <w:rFonts w:ascii="楷体" w:eastAsia="楷体"/>
          <w:sz w:val="32"/>
          <w:szCs w:val="32"/>
        </w:rPr>
      </w:pPr>
      <w:r>
        <w:rPr>
          <w:rFonts w:hint="eastAsia" w:ascii="楷体" w:eastAsia="楷体"/>
          <w:sz w:val="32"/>
          <w:szCs w:val="32"/>
        </w:rPr>
        <w:t>（一）部门职能简介</w:t>
      </w:r>
    </w:p>
    <w:p w14:paraId="59674EA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576" w:lineRule="atLeast"/>
        <w:ind w:left="0" w:right="0" w:firstLine="640"/>
        <w:jc w:val="both"/>
        <w:rPr>
          <w:rFonts w:ascii="Calibri" w:hAnsi="Calibri" w:cs="Calibri"/>
          <w:i w:val="0"/>
          <w:caps w:val="0"/>
          <w:smallCaps w:val="0"/>
          <w:color w:val="000000"/>
          <w:spacing w:val="0"/>
          <w:sz w:val="21"/>
          <w:szCs w:val="21"/>
        </w:rPr>
      </w:pPr>
      <w:r>
        <w:rPr>
          <w:rFonts w:hint="eastAsia" w:ascii="仿宋_GB2312" w:eastAsia="仿宋_GB2312" w:cs="仿宋_GB2312"/>
          <w:i w:val="0"/>
          <w:caps w:val="0"/>
          <w:smallCaps w:val="0"/>
          <w:color w:val="000000"/>
          <w:spacing w:val="0"/>
          <w:kern w:val="0"/>
          <w:sz w:val="32"/>
          <w:szCs w:val="32"/>
          <w:lang w:val="en-US" w:eastAsia="zh-CN"/>
        </w:rPr>
        <w:t>根据阿委办发〔2002〕6号文件规定，团州委主要职责是：1</w:t>
      </w:r>
      <w:r>
        <w:rPr>
          <w:rFonts w:ascii="仿宋_GB2312" w:eastAsia="仿宋_GB2312" w:cs="仿宋_GB2312"/>
          <w:i w:val="0"/>
          <w:caps w:val="0"/>
          <w:smallCaps w:val="0"/>
          <w:color w:val="000000"/>
          <w:spacing w:val="0"/>
          <w:kern w:val="0"/>
          <w:sz w:val="32"/>
          <w:szCs w:val="32"/>
          <w:lang w:val="en-US" w:eastAsia="zh-CN"/>
        </w:rPr>
        <w:t>.</w:t>
      </w:r>
      <w:r>
        <w:rPr>
          <w:rFonts w:hint="eastAsia" w:ascii="仿宋_GB2312" w:eastAsia="仿宋_GB2312" w:cs="仿宋_GB2312"/>
          <w:i w:val="0"/>
          <w:caps w:val="0"/>
          <w:smallCaps w:val="0"/>
          <w:color w:val="000000"/>
          <w:spacing w:val="0"/>
          <w:kern w:val="0"/>
          <w:sz w:val="32"/>
          <w:szCs w:val="32"/>
          <w:lang w:val="en-US" w:eastAsia="zh-CN"/>
        </w:rPr>
        <w:t>行使共青团阿坝州委员会赋予的领导全州共青团工作、领导全州青联和少先队工作的职能，对全州性青年社团组织进行指导和管理。2</w:t>
      </w:r>
      <w:r>
        <w:rPr>
          <w:rFonts w:ascii="仿宋_GB2312" w:eastAsia="仿宋_GB2312" w:cs="仿宋_GB2312"/>
          <w:i w:val="0"/>
          <w:caps w:val="0"/>
          <w:smallCaps w:val="0"/>
          <w:color w:val="000000"/>
          <w:spacing w:val="0"/>
          <w:kern w:val="0"/>
          <w:sz w:val="32"/>
          <w:szCs w:val="32"/>
          <w:lang w:val="en-US" w:eastAsia="zh-CN"/>
        </w:rPr>
        <w:t>.</w:t>
      </w:r>
      <w:r>
        <w:rPr>
          <w:rFonts w:hint="eastAsia" w:ascii="仿宋_GB2312" w:eastAsia="仿宋_GB2312" w:cs="仿宋_GB2312"/>
          <w:i w:val="0"/>
          <w:caps w:val="0"/>
          <w:smallCaps w:val="0"/>
          <w:color w:val="000000"/>
          <w:spacing w:val="0"/>
          <w:kern w:val="0"/>
          <w:sz w:val="32"/>
          <w:szCs w:val="32"/>
          <w:lang w:val="en-US" w:eastAsia="zh-CN"/>
        </w:rPr>
        <w:t>参与制定我州青少年事业发展规划和青少年工作方针、政策，对我州青少年活动阵地、青少年服务机构的建设等进行规划和管理。3</w:t>
      </w:r>
      <w:r>
        <w:rPr>
          <w:rFonts w:ascii="仿宋_GB2312" w:eastAsia="仿宋_GB2312" w:cs="仿宋_GB2312"/>
          <w:i w:val="0"/>
          <w:caps w:val="0"/>
          <w:smallCaps w:val="0"/>
          <w:color w:val="000000"/>
          <w:spacing w:val="0"/>
          <w:kern w:val="0"/>
          <w:sz w:val="32"/>
          <w:szCs w:val="32"/>
          <w:lang w:val="en-US" w:eastAsia="zh-CN"/>
        </w:rPr>
        <w:t>.</w:t>
      </w:r>
      <w:r>
        <w:rPr>
          <w:rFonts w:hint="eastAsia" w:ascii="仿宋_GB2312" w:eastAsia="仿宋_GB2312" w:cs="仿宋_GB2312"/>
          <w:i w:val="0"/>
          <w:caps w:val="0"/>
          <w:smallCaps w:val="0"/>
          <w:color w:val="000000"/>
          <w:spacing w:val="0"/>
          <w:kern w:val="0"/>
          <w:sz w:val="32"/>
          <w:szCs w:val="32"/>
          <w:lang w:val="en-US" w:eastAsia="zh-CN"/>
        </w:rPr>
        <w:t>参与有关我州青少年事务的法律、法规的制定和实施，协助州委和州政府有关部门处理、协调与青少年利益相关的事务。4</w:t>
      </w:r>
      <w:r>
        <w:rPr>
          <w:rFonts w:ascii="仿宋_GB2312" w:eastAsia="仿宋_GB2312" w:cs="仿宋_GB2312"/>
          <w:i w:val="0"/>
          <w:caps w:val="0"/>
          <w:smallCaps w:val="0"/>
          <w:color w:val="000000"/>
          <w:spacing w:val="0"/>
          <w:kern w:val="0"/>
          <w:sz w:val="32"/>
          <w:szCs w:val="32"/>
          <w:lang w:val="en-US" w:eastAsia="zh-CN"/>
        </w:rPr>
        <w:t>.</w:t>
      </w:r>
      <w:r>
        <w:rPr>
          <w:rFonts w:hint="eastAsia" w:ascii="仿宋_GB2312" w:eastAsia="仿宋_GB2312" w:cs="仿宋_GB2312"/>
          <w:i w:val="0"/>
          <w:caps w:val="0"/>
          <w:smallCaps w:val="0"/>
          <w:color w:val="000000"/>
          <w:spacing w:val="0"/>
          <w:kern w:val="0"/>
          <w:sz w:val="32"/>
          <w:szCs w:val="32"/>
          <w:lang w:val="en-US" w:eastAsia="zh-CN"/>
        </w:rPr>
        <w:t>调查青年思想动态和青年工作状况，研究青少年运动、青少年工作理论和思想教育问题，提出相应对策，开展各种活动。5</w:t>
      </w:r>
      <w:r>
        <w:rPr>
          <w:rFonts w:ascii="仿宋_GB2312" w:eastAsia="仿宋_GB2312" w:cs="仿宋_GB2312"/>
          <w:i w:val="0"/>
          <w:caps w:val="0"/>
          <w:smallCaps w:val="0"/>
          <w:color w:val="000000"/>
          <w:spacing w:val="0"/>
          <w:kern w:val="0"/>
          <w:sz w:val="32"/>
          <w:szCs w:val="32"/>
          <w:lang w:val="en-US" w:eastAsia="zh-CN"/>
        </w:rPr>
        <w:t>.</w:t>
      </w:r>
      <w:r>
        <w:rPr>
          <w:rFonts w:hint="eastAsia" w:ascii="仿宋_GB2312" w:eastAsia="仿宋_GB2312" w:cs="仿宋_GB2312"/>
          <w:i w:val="0"/>
          <w:caps w:val="0"/>
          <w:smallCaps w:val="0"/>
          <w:color w:val="000000"/>
          <w:spacing w:val="0"/>
          <w:kern w:val="0"/>
          <w:sz w:val="32"/>
          <w:szCs w:val="32"/>
          <w:lang w:val="en-US" w:eastAsia="zh-CN"/>
        </w:rPr>
        <w:t>协助政府教育部门做好大、中、小学学生的教育管理工作，维护学校稳定和社会安定团结。6</w:t>
      </w:r>
      <w:r>
        <w:rPr>
          <w:rFonts w:ascii="仿宋_GB2312" w:eastAsia="仿宋_GB2312" w:cs="仿宋_GB2312"/>
          <w:i w:val="0"/>
          <w:caps w:val="0"/>
          <w:smallCaps w:val="0"/>
          <w:color w:val="000000"/>
          <w:spacing w:val="0"/>
          <w:kern w:val="0"/>
          <w:sz w:val="32"/>
          <w:szCs w:val="32"/>
          <w:lang w:val="en-US" w:eastAsia="zh-CN"/>
        </w:rPr>
        <w:t>.</w:t>
      </w:r>
      <w:r>
        <w:rPr>
          <w:rFonts w:hint="eastAsia" w:ascii="仿宋_GB2312" w:eastAsia="仿宋_GB2312" w:cs="仿宋_GB2312"/>
          <w:i w:val="0"/>
          <w:caps w:val="0"/>
          <w:smallCaps w:val="0"/>
          <w:color w:val="000000"/>
          <w:spacing w:val="0"/>
          <w:kern w:val="0"/>
          <w:sz w:val="32"/>
          <w:szCs w:val="32"/>
          <w:lang w:val="en-US" w:eastAsia="zh-CN"/>
        </w:rPr>
        <w:t>组织带领青年在国家经济建设中发挥生力军和突击队作用。7</w:t>
      </w:r>
      <w:r>
        <w:rPr>
          <w:rFonts w:ascii="仿宋_GB2312" w:eastAsia="仿宋_GB2312" w:cs="仿宋_GB2312"/>
          <w:i w:val="0"/>
          <w:caps w:val="0"/>
          <w:smallCaps w:val="0"/>
          <w:color w:val="000000"/>
          <w:spacing w:val="0"/>
          <w:kern w:val="0"/>
          <w:sz w:val="32"/>
          <w:szCs w:val="32"/>
          <w:lang w:val="en-US" w:eastAsia="zh-CN"/>
        </w:rPr>
        <w:t>.</w:t>
      </w:r>
      <w:r>
        <w:rPr>
          <w:rFonts w:hint="eastAsia" w:ascii="仿宋_GB2312" w:eastAsia="仿宋_GB2312" w:cs="仿宋_GB2312"/>
          <w:i w:val="0"/>
          <w:caps w:val="0"/>
          <w:smallCaps w:val="0"/>
          <w:color w:val="000000"/>
          <w:spacing w:val="0"/>
          <w:kern w:val="0"/>
          <w:sz w:val="32"/>
          <w:szCs w:val="32"/>
          <w:lang w:val="en-US" w:eastAsia="zh-CN"/>
        </w:rPr>
        <w:t>会同有关部门对全州青少年外事工作进行归口管理和提供服务，负责与国外青少年团体、政府青年机构、国际地区性青年组织及其它友好团体的交流工作。8</w:t>
      </w:r>
      <w:r>
        <w:rPr>
          <w:rFonts w:ascii="仿宋_GB2312" w:eastAsia="仿宋_GB2312" w:cs="仿宋_GB2312"/>
          <w:i w:val="0"/>
          <w:caps w:val="0"/>
          <w:smallCaps w:val="0"/>
          <w:color w:val="000000"/>
          <w:spacing w:val="0"/>
          <w:kern w:val="0"/>
          <w:sz w:val="32"/>
          <w:szCs w:val="32"/>
          <w:lang w:val="en-US" w:eastAsia="zh-CN"/>
        </w:rPr>
        <w:t>.</w:t>
      </w:r>
      <w:r>
        <w:rPr>
          <w:rFonts w:hint="eastAsia" w:ascii="仿宋_GB2312" w:eastAsia="仿宋_GB2312" w:cs="仿宋_GB2312"/>
          <w:i w:val="0"/>
          <w:caps w:val="0"/>
          <w:smallCaps w:val="0"/>
          <w:color w:val="000000"/>
          <w:spacing w:val="0"/>
          <w:kern w:val="0"/>
          <w:sz w:val="32"/>
          <w:szCs w:val="32"/>
          <w:lang w:val="en-US" w:eastAsia="zh-CN"/>
        </w:rPr>
        <w:t>参与制定我州有关青年统战工作的政策，做好我州青年统战对象的团结教育工作，维护、促进祖国统一和民族团结。9</w:t>
      </w:r>
      <w:r>
        <w:rPr>
          <w:rFonts w:ascii="仿宋_GB2312" w:eastAsia="仿宋_GB2312" w:cs="仿宋_GB2312"/>
          <w:i w:val="0"/>
          <w:caps w:val="0"/>
          <w:smallCaps w:val="0"/>
          <w:color w:val="000000"/>
          <w:spacing w:val="0"/>
          <w:kern w:val="0"/>
          <w:sz w:val="32"/>
          <w:szCs w:val="32"/>
          <w:lang w:val="en-US" w:eastAsia="zh-CN"/>
        </w:rPr>
        <w:t>.</w:t>
      </w:r>
      <w:r>
        <w:rPr>
          <w:rFonts w:hint="eastAsia" w:ascii="仿宋_GB2312" w:eastAsia="仿宋_GB2312" w:cs="仿宋_GB2312"/>
          <w:i w:val="0"/>
          <w:caps w:val="0"/>
          <w:smallCaps w:val="0"/>
          <w:color w:val="000000"/>
          <w:spacing w:val="0"/>
          <w:kern w:val="0"/>
          <w:sz w:val="32"/>
          <w:szCs w:val="32"/>
          <w:lang w:val="en-US" w:eastAsia="zh-CN"/>
        </w:rPr>
        <w:t>承担州委、州政府和上级团委交办的有关事项。</w:t>
      </w:r>
    </w:p>
    <w:p w14:paraId="475DEE85">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498934E7">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（一）锚定工作目标，把准前进方向</w:t>
      </w:r>
      <w:r>
        <w:rPr>
          <w:rFonts w:hint="default" w:ascii="Times New Roman" w:hAnsi="Times New Roman" w:eastAsia="方正楷体_GBK" w:cs="Times New Roman"/>
          <w:b/>
          <w:bCs/>
          <w:sz w:val="32"/>
          <w:szCs w:val="32"/>
          <w:lang w:eastAsia="zh-CN"/>
        </w:rPr>
        <w:t>。</w:t>
      </w:r>
      <w:r>
        <w:rPr>
          <w:rFonts w:hint="default" w:ascii="Times New Roman" w:hAnsi="Times New Roman" w:eastAsia="方正仿宋_GBK" w:cs="Times New Roman"/>
          <w:sz w:val="32"/>
          <w:szCs w:val="32"/>
        </w:rPr>
        <w:t>持续深化思想政治引领，用党的创新理论武装青年，引导广大团员青年坚定拥护</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两个确立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、坚决做到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两个维护</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；全面提升服务青年实效，搭建多元化就业创业平台，促进青年成长发展；团结带领广大青年在乡村振兴、生态保护、民族团结等领域建功立业，为建设民族地区高质量发展阿坝典范贡献青春力量。</w:t>
      </w:r>
    </w:p>
    <w:p w14:paraId="72C072E0">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（二）突出重点任务，精准发力施策。</w:t>
      </w:r>
      <w:r>
        <w:rPr>
          <w:rFonts w:hint="default" w:ascii="Times New Roman" w:hAnsi="Times New Roman" w:eastAsia="方正仿宋_GBK" w:cs="Times New Roman"/>
          <w:sz w:val="32"/>
          <w:szCs w:val="32"/>
        </w:rPr>
        <w:t>深入实施</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青年大学习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行动，创新开展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青马工程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红领巾爱学习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等品牌活动；推进青年发展型城市建设，完善青年创业孵化体系，深化</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创青春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我们村的年轻人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等创新创业平台；开展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青春建功</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行动，组织青年投身乡村振兴、生态保护、民族团结等重点工作；深化共青团改革，夯实基层基础，提升组织活力，推进新兴领域团建。</w:t>
      </w:r>
    </w:p>
    <w:p w14:paraId="26539C29">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（三）强化保障措施，确保工作实效。</w:t>
      </w:r>
      <w:r>
        <w:rPr>
          <w:rFonts w:hint="default" w:ascii="Times New Roman" w:hAnsi="Times New Roman" w:eastAsia="方正仿宋_GBK" w:cs="Times New Roman"/>
          <w:sz w:val="32"/>
          <w:szCs w:val="32"/>
        </w:rPr>
        <w:t>加强团干部队伍建设，开展专业化能力培训，提升服务青年水平；健全工作推进机制，完善考核评价体系，确保各项任务落实；强化资源整合，积极争取政策支持和项目资金，为青年工作提供有力保障；创新工作方法，运用数字化手段提升工作效能，增强共青团工作的时代感和吸引力。</w:t>
      </w:r>
    </w:p>
    <w:p w14:paraId="4CEBD5A0">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2A4BA2D9">
      <w:pPr>
        <w:keepNext w:val="0"/>
        <w:keepLines w:val="0"/>
        <w:widowControl/>
        <w:suppressLineNumbers w:val="0"/>
        <w:shd w:val="clear" w:color="auto" w:fill="auto"/>
        <w:ind w:firstLine="640" w:firstLineChars="200"/>
        <w:jc w:val="left"/>
      </w:pPr>
      <w:r>
        <w:rPr>
          <w:rFonts w:ascii="仿宋_GB2312" w:eastAsia="仿宋_GB2312" w:cs="仿宋_GB2312"/>
          <w:i w:val="0"/>
          <w:caps w:val="0"/>
          <w:smallCaps w:val="0"/>
          <w:color w:val="000000"/>
          <w:spacing w:val="0"/>
          <w:kern w:val="0"/>
          <w:sz w:val="32"/>
          <w:szCs w:val="32"/>
          <w:lang w:val="en-US" w:eastAsia="zh-CN"/>
        </w:rPr>
        <w:t>团州</w:t>
      </w:r>
      <w:r>
        <w:rPr>
          <w:rFonts w:hint="eastAsia" w:ascii="仿宋_GB2312" w:eastAsia="仿宋_GB2312" w:cs="仿宋_GB2312"/>
          <w:i w:val="0"/>
          <w:caps w:val="0"/>
          <w:smallCaps w:val="0"/>
          <w:color w:val="000000"/>
          <w:spacing w:val="0"/>
          <w:kern w:val="0"/>
          <w:sz w:val="32"/>
          <w:szCs w:val="32"/>
          <w:lang w:val="en-US" w:eastAsia="zh-CN"/>
        </w:rPr>
        <w:t>委属一级预算单位，无下属二级预算单位，其中：行政单位1个；无参照公务员法管理的事业单位；无其他事业单位。本部门内设办公室、青发部、学少部和组宣部4个职能部门，以及州社会志愿服务工作委员会办公室议事协调机构和州青联联合会、州少先队工作委员会、州志愿者协会</w:t>
      </w:r>
      <w:r>
        <w:rPr>
          <w:rFonts w:ascii="仿宋_GB2312" w:eastAsia="仿宋_GB2312" w:cs="仿宋_GB2312"/>
          <w:i w:val="0"/>
          <w:caps w:val="0"/>
          <w:smallCaps w:val="0"/>
          <w:color w:val="000000"/>
          <w:spacing w:val="0"/>
          <w:kern w:val="0"/>
          <w:sz w:val="32"/>
          <w:szCs w:val="32"/>
          <w:lang w:val="en-US" w:eastAsia="zh-CN"/>
        </w:rPr>
        <w:t>3</w:t>
      </w:r>
      <w:r>
        <w:rPr>
          <w:rFonts w:hint="eastAsia" w:ascii="仿宋_GB2312" w:eastAsia="仿宋_GB2312" w:cs="仿宋_GB2312"/>
          <w:i w:val="0"/>
          <w:caps w:val="0"/>
          <w:smallCaps w:val="0"/>
          <w:color w:val="000000"/>
          <w:spacing w:val="0"/>
          <w:kern w:val="0"/>
          <w:sz w:val="32"/>
          <w:szCs w:val="32"/>
          <w:lang w:val="en-US" w:eastAsia="zh-CN"/>
        </w:rPr>
        <w:t>个社会团体。</w:t>
      </w:r>
    </w:p>
    <w:p w14:paraId="482BAEFC">
      <w:pPr>
        <w:pStyle w:val="9"/>
        <w:ind w:left="720" w:firstLine="0" w:firstLineChars="0"/>
        <w:rPr>
          <w:rFonts w:ascii="黑体" w:eastAsia="黑体"/>
          <w:sz w:val="32"/>
          <w:szCs w:val="32"/>
        </w:rPr>
      </w:pPr>
      <w:r>
        <w:rPr>
          <w:rFonts w:hint="eastAsia" w:ascii="黑体" w:eastAsia="黑体"/>
          <w:sz w:val="32"/>
          <w:szCs w:val="32"/>
        </w:rPr>
        <w:t>三、收支预算情况说明</w:t>
      </w:r>
    </w:p>
    <w:p w14:paraId="0397E608">
      <w:pPr>
        <w:ind w:firstLine="640" w:firstLineChars="200"/>
        <w:rPr>
          <w:rFonts w:hint="eastAsia" w:ascii="楷体" w:eastAsia="楷体"/>
          <w:sz w:val="32"/>
          <w:szCs w:val="32"/>
        </w:rPr>
      </w:pPr>
      <w:r>
        <w:rPr>
          <w:rFonts w:hint="eastAsia" w:ascii="楷体" w:eastAsia="楷体"/>
          <w:sz w:val="32"/>
          <w:szCs w:val="32"/>
        </w:rPr>
        <w:t>（一）收入预算情况</w:t>
      </w:r>
    </w:p>
    <w:p w14:paraId="2354219E">
      <w:pPr>
        <w:ind w:firstLine="640" w:firstLineChars="200"/>
        <w:rPr>
          <w:rFonts w:hint="eastAsia" w:ascii="楷体" w:eastAsia="楷体"/>
          <w:sz w:val="32"/>
          <w:szCs w:val="32"/>
        </w:rPr>
      </w:pPr>
      <w:r>
        <w:rPr>
          <w:rFonts w:ascii="仿宋_GB2312" w:eastAsia="仿宋_GB2312" w:cs="仿宋_GB2312"/>
          <w:i w:val="0"/>
          <w:caps w:val="0"/>
          <w:smallCaps w:val="0"/>
          <w:color w:val="000000"/>
          <w:spacing w:val="0"/>
          <w:kern w:val="0"/>
          <w:sz w:val="32"/>
          <w:szCs w:val="32"/>
          <w:lang w:val="en-US" w:eastAsia="zh-CN"/>
        </w:rPr>
        <w:t>团州委</w:t>
      </w:r>
      <w:r>
        <w:rPr>
          <w:rFonts w:hint="eastAsia" w:ascii="仿宋_GB2312" w:eastAsia="仿宋_GB2312" w:cs="仿宋_GB2312"/>
          <w:i w:val="0"/>
          <w:caps w:val="0"/>
          <w:smallCaps w:val="0"/>
          <w:color w:val="000000"/>
          <w:spacing w:val="0"/>
          <w:kern w:val="0"/>
          <w:sz w:val="32"/>
          <w:szCs w:val="32"/>
          <w:lang w:val="en-US" w:eastAsia="zh-CN"/>
        </w:rPr>
        <w:t>2026年收入预算574.85万元，其中：，一般公共预算拨款收入574.85万元，占100%；上年结转0万元，占0%；事业收入无，其他收入无</w:t>
      </w:r>
    </w:p>
    <w:p w14:paraId="7307B98D">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0DF7419D">
      <w:pPr>
        <w:keepNext w:val="0"/>
        <w:keepLines w:val="0"/>
        <w:widowControl/>
        <w:suppressLineNumbers w:val="0"/>
        <w:shd w:val="clear" w:color="auto" w:fill="auto"/>
        <w:ind w:firstLine="640" w:firstLineChars="200"/>
        <w:jc w:val="left"/>
        <w:rPr>
          <w:rFonts w:hint="eastAsia" w:ascii="楷体" w:eastAsia="楷体" w:cs="仿宋_GB2312"/>
          <w:sz w:val="32"/>
          <w:szCs w:val="32"/>
        </w:rPr>
      </w:pPr>
      <w:r>
        <w:rPr>
          <w:rFonts w:ascii="仿宋_GB2312" w:eastAsia="仿宋_GB2312" w:cs="仿宋_GB2312"/>
          <w:i w:val="0"/>
          <w:caps w:val="0"/>
          <w:smallCaps w:val="0"/>
          <w:color w:val="000000"/>
          <w:spacing w:val="0"/>
          <w:kern w:val="0"/>
          <w:sz w:val="32"/>
          <w:szCs w:val="32"/>
          <w:lang w:val="en-US" w:eastAsia="zh-CN"/>
        </w:rPr>
        <w:t>团州委</w:t>
      </w:r>
      <w:r>
        <w:rPr>
          <w:rFonts w:hint="eastAsia" w:ascii="仿宋_GB2312" w:eastAsia="仿宋_GB2312" w:cs="仿宋_GB2312"/>
          <w:i w:val="0"/>
          <w:caps w:val="0"/>
          <w:smallCaps w:val="0"/>
          <w:color w:val="000000"/>
          <w:spacing w:val="0"/>
          <w:kern w:val="0"/>
          <w:sz w:val="32"/>
          <w:szCs w:val="32"/>
          <w:lang w:val="en-US" w:eastAsia="zh-CN"/>
        </w:rPr>
        <w:t>2026年支出预算574.85万元，其中：一般公共服务支出480.18万元，占83.53%；社会保障和就业支出51.62万元，占8.97%；卫生健康支出17.87万元，占3.12%；住房保障支出25.18万元，占4.38%。</w:t>
      </w:r>
    </w:p>
    <w:p w14:paraId="779173CD">
      <w:pPr>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14:paraId="4280EDED">
      <w:pPr>
        <w:numPr>
          <w:numId w:val="0"/>
        </w:numPr>
        <w:ind w:left="640" w:leftChars="0"/>
        <w:rPr>
          <w:rFonts w:ascii="仿宋_GB2312" w:eastAsia="仿宋_GB2312"/>
          <w:sz w:val="32"/>
          <w:szCs w:val="32"/>
        </w:rPr>
      </w:pPr>
      <w:r>
        <w:rPr>
          <w:rFonts w:hint="eastAsia" w:ascii="仿宋_GB2312" w:eastAsia="仿宋_GB2312" w:cs="仿宋_GB2312"/>
          <w:sz w:val="32"/>
          <w:szCs w:val="32"/>
        </w:rPr>
        <w:t>部门（单位）</w:t>
      </w:r>
      <w:r>
        <w:rPr>
          <w:rFonts w:hint="eastAsia" w:ascii="仿宋_GB2312" w:eastAsia="仿宋_GB2312"/>
          <w:sz w:val="32"/>
          <w:szCs w:val="32"/>
        </w:rPr>
        <w:t>2026年财政拨款收支总预算</w:t>
      </w:r>
      <w:r>
        <w:rPr>
          <w:rFonts w:hint="eastAsia" w:ascii="仿宋_GB2312" w:eastAsia="仿宋_GB2312"/>
          <w:sz w:val="32"/>
          <w:szCs w:val="32"/>
          <w:lang w:val="en-US" w:eastAsia="zh-CN"/>
        </w:rPr>
        <w:t>574.85</w:t>
      </w:r>
      <w:r>
        <w:rPr>
          <w:rFonts w:hint="eastAsia" w:ascii="仿宋_GB2312" w:eastAsia="仿宋_GB2312"/>
          <w:sz w:val="32"/>
          <w:szCs w:val="32"/>
        </w:rPr>
        <w:t>万元,</w:t>
      </w:r>
    </w:p>
    <w:p w14:paraId="744F38F1">
      <w:pPr>
        <w:rPr>
          <w:rFonts w:hint="default" w:ascii="仿宋_GB2312" w:eastAsia="仿宋_GB2312"/>
          <w:sz w:val="32"/>
          <w:szCs w:val="32"/>
          <w:lang w:val="en-US" w:eastAsia="zh-CN"/>
        </w:rPr>
      </w:pPr>
      <w:r>
        <w:rPr>
          <w:rFonts w:hint="eastAsia" w:ascii="仿宋_GB2312" w:eastAsia="仿宋_GB2312"/>
          <w:sz w:val="32"/>
          <w:szCs w:val="32"/>
        </w:rPr>
        <w:t>2025年财政拨款收支总预算增加</w:t>
      </w:r>
      <w:r>
        <w:rPr>
          <w:rFonts w:hint="eastAsia" w:ascii="仿宋_GB2312" w:eastAsia="仿宋_GB2312"/>
          <w:sz w:val="32"/>
          <w:szCs w:val="32"/>
          <w:lang w:val="en-US" w:eastAsia="zh-CN"/>
        </w:rPr>
        <w:t>83.48</w:t>
      </w:r>
      <w:r>
        <w:rPr>
          <w:rFonts w:hint="eastAsia" w:ascii="仿宋_GB2312" w:eastAsia="仿宋_GB2312"/>
          <w:sz w:val="32"/>
          <w:szCs w:val="32"/>
        </w:rPr>
        <w:t>万元，主要原因:</w:t>
      </w:r>
      <w:r>
        <w:rPr>
          <w:rFonts w:hint="eastAsia" w:ascii="仿宋_GB2312" w:eastAsia="仿宋_GB2312"/>
          <w:sz w:val="32"/>
          <w:szCs w:val="32"/>
          <w:lang w:val="en-US" w:eastAsia="zh-CN"/>
        </w:rPr>
        <w:t>项目增加，增加阿坝州青年发展型建设经费、团团带娃公益性托管班、西部计划及全州青年志愿者工作经费、少先队工作经费。</w:t>
      </w:r>
    </w:p>
    <w:p w14:paraId="1CD4FAF9">
      <w:pPr>
        <w:keepNext w:val="0"/>
        <w:keepLines w:val="0"/>
        <w:widowControl/>
        <w:suppressLineNumbers w:val="0"/>
        <w:shd w:val="clear" w:color="auto" w:fill="auto"/>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收入包括：</w:t>
      </w:r>
      <w:r>
        <w:rPr>
          <w:rFonts w:ascii="仿宋_GB2312" w:eastAsia="仿宋_GB2312" w:cs="仿宋_GB2312"/>
          <w:i w:val="0"/>
          <w:caps w:val="0"/>
          <w:smallCaps w:val="0"/>
          <w:color w:val="000000"/>
          <w:spacing w:val="0"/>
          <w:kern w:val="0"/>
          <w:sz w:val="32"/>
          <w:szCs w:val="32"/>
          <w:lang w:val="en-US" w:eastAsia="zh-CN"/>
        </w:rPr>
        <w:t>一般公共预算拨款收入</w:t>
      </w:r>
      <w:r>
        <w:rPr>
          <w:rFonts w:hint="eastAsia" w:ascii="仿宋_GB2312" w:eastAsia="仿宋_GB2312" w:cs="仿宋_GB2312"/>
          <w:i w:val="0"/>
          <w:caps w:val="0"/>
          <w:smallCaps w:val="0"/>
          <w:color w:val="000000"/>
          <w:spacing w:val="0"/>
          <w:kern w:val="0"/>
          <w:sz w:val="32"/>
          <w:szCs w:val="32"/>
          <w:lang w:val="en-US" w:eastAsia="zh-CN"/>
        </w:rPr>
        <w:t>574.85万元，上年结转0万元。</w:t>
      </w:r>
    </w:p>
    <w:p w14:paraId="2BA31C84">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cs="仿宋_GB2312"/>
          <w:i w:val="0"/>
          <w:caps w:val="0"/>
          <w:smallCaps w:val="0"/>
          <w:color w:val="000000"/>
          <w:spacing w:val="0"/>
          <w:kern w:val="0"/>
          <w:sz w:val="32"/>
          <w:szCs w:val="32"/>
          <w:lang w:val="en-US" w:eastAsia="zh-CN"/>
        </w:rPr>
        <w:t>一般公共服务支出480.18万元；社会保障和就业支出51.62万元；卫生健康支出17.87万元；住房保障支出25.18万元。</w:t>
      </w:r>
    </w:p>
    <w:p w14:paraId="3A8A0DA3">
      <w:pPr>
        <w:ind w:firstLine="640" w:firstLineChars="200"/>
        <w:rPr>
          <w:rFonts w:ascii="黑体" w:eastAsia="黑体"/>
          <w:sz w:val="32"/>
          <w:szCs w:val="32"/>
        </w:rPr>
      </w:pPr>
      <w:r>
        <w:rPr>
          <w:rFonts w:hint="eastAsia" w:ascii="黑体" w:eastAsia="黑体"/>
          <w:sz w:val="32"/>
          <w:szCs w:val="32"/>
        </w:rPr>
        <w:t>五、一般公共预算当年拨款情况说明</w:t>
      </w:r>
    </w:p>
    <w:p w14:paraId="582FB29C">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5CDCE1A">
      <w:pPr>
        <w:ind w:firstLine="640" w:firstLineChars="200"/>
        <w:rPr>
          <w:rFonts w:cs="仿宋_GB2312"/>
          <w:kern w:val="2"/>
          <w:sz w:val="32"/>
          <w:szCs w:val="32"/>
        </w:rPr>
      </w:pPr>
      <w:r>
        <w:rPr>
          <w:rFonts w:hint="eastAsia" w:ascii="仿宋_GB2312" w:eastAsia="仿宋_GB2312" w:cs="仿宋_GB2312"/>
          <w:i w:val="0"/>
          <w:caps w:val="0"/>
          <w:smallCaps w:val="0"/>
          <w:color w:val="000000"/>
          <w:spacing w:val="0"/>
          <w:kern w:val="0"/>
          <w:sz w:val="32"/>
          <w:szCs w:val="32"/>
          <w:lang w:val="en-US" w:eastAsia="zh-CN"/>
        </w:rPr>
        <w:t>共青团阿坝州委2026年一般公共预算当年拨款574.85万元，比2025年预算数增加83.48万元，主要原因:项目增加，增加阿坝州青年发展型建设经费、团团带娃公益性托管班、西部计划及全州青年志愿者工作经费、少先队工作经费。</w:t>
      </w:r>
      <w:r>
        <w:rPr>
          <w:rFonts w:hint="eastAsia" w:cs="仿宋_GB2312"/>
          <w:kern w:val="2"/>
          <w:sz w:val="32"/>
          <w:szCs w:val="32"/>
        </w:rPr>
        <w:t>　　</w:t>
      </w:r>
    </w:p>
    <w:p w14:paraId="28DF915E">
      <w:pPr>
        <w:keepNext w:val="0"/>
        <w:keepLines w:val="0"/>
        <w:widowControl/>
        <w:numPr>
          <w:ilvl w:val="0"/>
          <w:numId w:val="2"/>
        </w:numPr>
        <w:suppressLineNumbers w:val="0"/>
        <w:shd w:val="clear" w:color="auto" w:fill="auto"/>
        <w:ind w:left="640" w:leftChars="0" w:firstLine="0" w:firstLineChars="0"/>
        <w:jc w:val="left"/>
        <w:rPr>
          <w:rFonts w:hint="eastAsia" w:ascii="楷体" w:eastAsia="楷体" w:cs="宋体"/>
          <w:sz w:val="32"/>
          <w:szCs w:val="32"/>
          <w:lang w:val="en-US" w:eastAsia="zh-CN"/>
        </w:rPr>
      </w:pPr>
      <w:r>
        <w:rPr>
          <w:rFonts w:hint="eastAsia" w:ascii="楷体" w:eastAsia="楷体" w:cs="宋体"/>
          <w:sz w:val="32"/>
          <w:szCs w:val="32"/>
        </w:rPr>
        <w:t>一般公共预算当年拨款结构情况</w:t>
      </w:r>
      <w:r>
        <w:rPr>
          <w:rFonts w:hint="eastAsia" w:ascii="楷体" w:eastAsia="楷体" w:cs="宋体"/>
          <w:sz w:val="32"/>
          <w:szCs w:val="32"/>
          <w:lang w:val="en-US" w:eastAsia="zh-CN"/>
        </w:rPr>
        <w:t xml:space="preserve">  </w:t>
      </w:r>
    </w:p>
    <w:p w14:paraId="4D2F598F">
      <w:pPr>
        <w:keepNext w:val="0"/>
        <w:keepLines w:val="0"/>
        <w:widowControl/>
        <w:numPr>
          <w:numId w:val="0"/>
        </w:numPr>
        <w:suppressLineNumbers w:val="0"/>
        <w:shd w:val="clear" w:color="auto" w:fill="auto"/>
        <w:ind w:firstLine="640" w:firstLineChars="200"/>
        <w:jc w:val="left"/>
        <w:rPr>
          <w:rFonts w:cs="仿宋_GB2312"/>
          <w:kern w:val="2"/>
          <w:sz w:val="32"/>
          <w:szCs w:val="32"/>
        </w:rPr>
      </w:pPr>
      <w:r>
        <w:rPr>
          <w:rFonts w:hint="eastAsia" w:ascii="仿宋_GB2312" w:eastAsia="仿宋_GB2312" w:cs="仿宋_GB2312"/>
          <w:i w:val="0"/>
          <w:caps w:val="0"/>
          <w:smallCaps w:val="0"/>
          <w:color w:val="000000"/>
          <w:spacing w:val="0"/>
          <w:kern w:val="0"/>
          <w:sz w:val="32"/>
          <w:szCs w:val="32"/>
          <w:lang w:val="en-US" w:eastAsia="zh-CN"/>
        </w:rPr>
        <w:t>一般公共服务支出480.18万元，占83.53%；社会保障和就业支出51.62万元，占8.97%；卫生健康支出17.87万元，占3.12%；住房保障支出25.18万元，占4.38%。</w:t>
      </w:r>
    </w:p>
    <w:p w14:paraId="78FCCE82">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2F88B55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576" w:lineRule="atLeast"/>
        <w:ind w:left="0" w:right="0" w:firstLine="640"/>
        <w:jc w:val="both"/>
        <w:rPr>
          <w:rFonts w:ascii="Calibri" w:hAnsi="Calibri" w:cs="Calibri"/>
          <w:i w:val="0"/>
          <w:caps w:val="0"/>
          <w:smallCaps w:val="0"/>
          <w:color w:val="000000"/>
          <w:spacing w:val="0"/>
          <w:sz w:val="21"/>
          <w:szCs w:val="21"/>
        </w:rPr>
      </w:pPr>
      <w:r>
        <w:rPr>
          <w:rFonts w:ascii="仿宋_GB2312" w:eastAsia="仿宋_GB2312" w:cs="仿宋_GB2312"/>
          <w:i w:val="0"/>
          <w:caps w:val="0"/>
          <w:smallCaps w:val="0"/>
          <w:color w:val="000000"/>
          <w:spacing w:val="0"/>
          <w:kern w:val="0"/>
          <w:sz w:val="32"/>
          <w:szCs w:val="32"/>
          <w:lang w:val="en-US" w:eastAsia="zh-CN"/>
        </w:rPr>
        <w:t>1．一般公共服务（201)群团事务（29）行政运行（01）</w:t>
      </w:r>
      <w:r>
        <w:rPr>
          <w:rFonts w:hint="eastAsia" w:ascii="仿宋_GB2312" w:eastAsia="仿宋_GB2312" w:cs="仿宋_GB2312"/>
          <w:i w:val="0"/>
          <w:caps w:val="0"/>
          <w:smallCaps w:val="0"/>
          <w:color w:val="000000"/>
          <w:spacing w:val="0"/>
          <w:kern w:val="0"/>
          <w:sz w:val="32"/>
          <w:szCs w:val="32"/>
          <w:lang w:val="en-US" w:eastAsia="zh-CN"/>
        </w:rPr>
        <w:t>2026年预算数为325.18万元，主要用于：基本工资、津贴补贴、差旅费、公务用车运行维护和其他商品和服务等行政运行。</w:t>
      </w:r>
    </w:p>
    <w:p w14:paraId="3510B42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576" w:lineRule="atLeast"/>
        <w:ind w:left="0" w:right="0" w:firstLine="960"/>
        <w:jc w:val="both"/>
        <w:rPr>
          <w:rFonts w:ascii="Calibri" w:hAnsi="Calibri" w:cs="Calibri"/>
          <w:i w:val="0"/>
          <w:caps w:val="0"/>
          <w:smallCaps w:val="0"/>
          <w:color w:val="000000"/>
          <w:spacing w:val="0"/>
          <w:sz w:val="21"/>
          <w:szCs w:val="21"/>
        </w:rPr>
      </w:pPr>
      <w:r>
        <w:rPr>
          <w:rFonts w:hint="eastAsia" w:ascii="仿宋_GB2312" w:eastAsia="仿宋_GB2312" w:cs="仿宋_GB2312"/>
          <w:i w:val="0"/>
          <w:caps w:val="0"/>
          <w:smallCaps w:val="0"/>
          <w:color w:val="000000"/>
          <w:spacing w:val="0"/>
          <w:kern w:val="0"/>
          <w:sz w:val="32"/>
          <w:szCs w:val="32"/>
          <w:lang w:val="en-US" w:eastAsia="zh-CN"/>
        </w:rPr>
        <w:t>2．一般公共服务（201)群团事务（29）一般行政管理事务（02）2026年预算数为155万元，主要用于 :阿坝州青年发展型建设经费、团团带娃公益性托管班、西部计划及全州青年志愿者工作经费、少先队工作经费等项目支出。</w:t>
      </w:r>
    </w:p>
    <w:p w14:paraId="31EC40C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576" w:lineRule="atLeast"/>
        <w:ind w:left="0" w:right="0" w:firstLine="960"/>
        <w:jc w:val="both"/>
        <w:rPr>
          <w:rFonts w:ascii="Calibri" w:hAnsi="Calibri" w:cs="Calibri"/>
          <w:i w:val="0"/>
          <w:caps w:val="0"/>
          <w:smallCaps w:val="0"/>
          <w:color w:val="000000"/>
          <w:spacing w:val="0"/>
          <w:sz w:val="21"/>
          <w:szCs w:val="21"/>
        </w:rPr>
      </w:pPr>
      <w:r>
        <w:rPr>
          <w:rFonts w:hint="eastAsia" w:ascii="仿宋_GB2312" w:eastAsia="仿宋_GB2312" w:cs="仿宋_GB2312"/>
          <w:i w:val="0"/>
          <w:caps w:val="0"/>
          <w:smallCaps w:val="0"/>
          <w:color w:val="000000"/>
          <w:spacing w:val="0"/>
          <w:kern w:val="0"/>
          <w:sz w:val="32"/>
          <w:szCs w:val="32"/>
          <w:lang w:val="en-US" w:eastAsia="zh-CN"/>
        </w:rPr>
        <w:t>3．社会保障和就业支出（208）行政事业单位离退休（05）机关事业单位基本养老保险缴费支出（05）2026年预算数为34.41万元，主要用于 :单位缴纳的基本养老保险支出。</w:t>
      </w:r>
    </w:p>
    <w:p w14:paraId="1A2182F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576" w:lineRule="atLeast"/>
        <w:ind w:left="0" w:right="0" w:firstLine="960"/>
        <w:jc w:val="both"/>
        <w:rPr>
          <w:rFonts w:ascii="Calibri" w:hAnsi="Calibri" w:cs="Calibri"/>
          <w:i w:val="0"/>
          <w:caps w:val="0"/>
          <w:smallCaps w:val="0"/>
          <w:color w:val="000000"/>
          <w:spacing w:val="0"/>
          <w:sz w:val="21"/>
          <w:szCs w:val="21"/>
        </w:rPr>
      </w:pPr>
      <w:r>
        <w:rPr>
          <w:rFonts w:hint="eastAsia" w:ascii="仿宋_GB2312" w:eastAsia="仿宋_GB2312" w:cs="仿宋_GB2312"/>
          <w:i w:val="0"/>
          <w:caps w:val="0"/>
          <w:smallCaps w:val="0"/>
          <w:color w:val="000000"/>
          <w:spacing w:val="0"/>
          <w:kern w:val="0"/>
          <w:sz w:val="32"/>
          <w:szCs w:val="32"/>
          <w:lang w:val="en-US" w:eastAsia="zh-CN"/>
        </w:rPr>
        <w:t>4．社会保障和就业支出（208）行政事业单位离退休（05）机关事业单位职业年金缴费支出（06）2026年预算数为17.21万元，主要用于 :单位缴纳的职业年金支出。</w:t>
      </w:r>
    </w:p>
    <w:p w14:paraId="76E611E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576" w:lineRule="atLeast"/>
        <w:ind w:left="0" w:right="0" w:firstLine="960"/>
        <w:jc w:val="both"/>
        <w:rPr>
          <w:rFonts w:hint="eastAsia" w:ascii="仿宋_GB2312" w:eastAsia="仿宋_GB2312" w:cs="仿宋_GB2312"/>
          <w:i w:val="0"/>
          <w:caps w:val="0"/>
          <w:smallCaps w:val="0"/>
          <w:color w:val="000000"/>
          <w:spacing w:val="0"/>
          <w:kern w:val="0"/>
          <w:sz w:val="32"/>
          <w:szCs w:val="32"/>
          <w:lang w:val="en-US" w:eastAsia="zh-CN"/>
        </w:rPr>
      </w:pPr>
      <w:r>
        <w:rPr>
          <w:rFonts w:hint="eastAsia" w:ascii="仿宋_GB2312" w:eastAsia="仿宋_GB2312" w:cs="仿宋_GB2312"/>
          <w:i w:val="0"/>
          <w:caps w:val="0"/>
          <w:smallCaps w:val="0"/>
          <w:color w:val="000000"/>
          <w:spacing w:val="0"/>
          <w:kern w:val="0"/>
          <w:sz w:val="32"/>
          <w:szCs w:val="32"/>
          <w:lang w:val="en-US" w:eastAsia="zh-CN"/>
        </w:rPr>
        <w:t>5．卫生健康支出（210）行政事业单位医疗（11）行政单位医疗（01）2026年预算数为15.05万元，主要用于 :单位基本医疗保险缴费经费。</w:t>
      </w:r>
    </w:p>
    <w:p w14:paraId="0958AD4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576" w:lineRule="atLeast"/>
        <w:ind w:left="0" w:right="0" w:firstLine="960"/>
        <w:jc w:val="both"/>
        <w:rPr>
          <w:rFonts w:hint="eastAsia" w:ascii="仿宋_GB2312" w:eastAsia="仿宋_GB2312" w:cs="仿宋_GB2312"/>
          <w:i w:val="0"/>
          <w:caps w:val="0"/>
          <w:smallCaps w:val="0"/>
          <w:color w:val="000000"/>
          <w:spacing w:val="0"/>
          <w:kern w:val="0"/>
          <w:sz w:val="32"/>
          <w:szCs w:val="32"/>
          <w:lang w:val="en-US" w:eastAsia="zh-CN"/>
        </w:rPr>
      </w:pPr>
      <w:r>
        <w:rPr>
          <w:rFonts w:hint="eastAsia" w:ascii="仿宋_GB2312" w:eastAsia="仿宋_GB2312" w:cs="仿宋_GB2312"/>
          <w:i w:val="0"/>
          <w:caps w:val="0"/>
          <w:smallCaps w:val="0"/>
          <w:color w:val="000000"/>
          <w:spacing w:val="0"/>
          <w:kern w:val="0"/>
          <w:sz w:val="32"/>
          <w:szCs w:val="32"/>
          <w:lang w:val="en-US" w:eastAsia="zh-CN"/>
        </w:rPr>
        <w:t>6.卫生健康支出（210）行政事业单位医疗（11）公务员医疗补助（03）2026年预算数为15.05万元，主要用于 :公务员医疗补助经费。</w:t>
      </w:r>
    </w:p>
    <w:p w14:paraId="3C3F9B8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line="576" w:lineRule="atLeast"/>
        <w:ind w:left="0" w:right="0" w:firstLine="960"/>
        <w:jc w:val="both"/>
        <w:rPr>
          <w:rFonts w:ascii="Calibri" w:hAnsi="Calibri" w:cs="Calibri"/>
          <w:i w:val="0"/>
          <w:caps w:val="0"/>
          <w:smallCaps w:val="0"/>
          <w:color w:val="000000"/>
          <w:spacing w:val="0"/>
          <w:sz w:val="21"/>
          <w:szCs w:val="21"/>
        </w:rPr>
      </w:pPr>
      <w:r>
        <w:rPr>
          <w:rFonts w:hint="eastAsia" w:ascii="仿宋_GB2312" w:eastAsia="仿宋_GB2312" w:cs="仿宋_GB2312"/>
          <w:i w:val="0"/>
          <w:caps w:val="0"/>
          <w:smallCaps w:val="0"/>
          <w:color w:val="000000"/>
          <w:spacing w:val="0"/>
          <w:kern w:val="0"/>
          <w:sz w:val="32"/>
          <w:szCs w:val="32"/>
          <w:lang w:val="en-US" w:eastAsia="zh-CN"/>
        </w:rPr>
        <w:t>7．住房保障支出（221）住房改革支出（02）住房公积金（01）2026年预算数为25.18万元，主要用于 :单位缴纳的职工住房公积金。</w:t>
      </w:r>
    </w:p>
    <w:p w14:paraId="746F5BCB">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5A345094">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共青团阿坝州委</w:t>
      </w:r>
      <w:r>
        <w:rPr>
          <w:rFonts w:hint="eastAsia" w:cs="仿宋_GB2312"/>
          <w:kern w:val="2"/>
          <w:sz w:val="32"/>
          <w:szCs w:val="32"/>
        </w:rPr>
        <w:t>2026年一般公共预算基本支出</w:t>
      </w:r>
      <w:r>
        <w:rPr>
          <w:rFonts w:hint="eastAsia" w:cs="仿宋_GB2312"/>
          <w:kern w:val="2"/>
          <w:sz w:val="32"/>
          <w:szCs w:val="32"/>
          <w:lang w:val="en-US" w:eastAsia="zh-CN"/>
        </w:rPr>
        <w:t>419.85</w:t>
      </w:r>
      <w:r>
        <w:rPr>
          <w:rFonts w:hint="eastAsia" w:cs="仿宋_GB2312"/>
          <w:kern w:val="2"/>
          <w:sz w:val="32"/>
          <w:szCs w:val="32"/>
        </w:rPr>
        <w:t>万元，其中：人员经费</w:t>
      </w:r>
      <w:r>
        <w:rPr>
          <w:rFonts w:hint="eastAsia" w:cs="仿宋_GB2312"/>
          <w:kern w:val="2"/>
          <w:sz w:val="32"/>
          <w:szCs w:val="32"/>
          <w:lang w:val="en-US" w:eastAsia="zh-CN"/>
        </w:rPr>
        <w:t>367.12</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2BA356C4">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52.72</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2F6BD46">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共青团阿坝州委</w:t>
      </w:r>
      <w:r>
        <w:rPr>
          <w:rFonts w:hint="eastAsia" w:cs="仿宋_GB2312"/>
          <w:kern w:val="2"/>
          <w:sz w:val="32"/>
          <w:szCs w:val="32"/>
        </w:rPr>
        <w:t>2026年“三公”经费财政拨款预算数</w:t>
      </w:r>
      <w:r>
        <w:rPr>
          <w:rFonts w:hint="eastAsia" w:cs="仿宋_GB2312"/>
          <w:kern w:val="2"/>
          <w:sz w:val="32"/>
          <w:szCs w:val="32"/>
          <w:lang w:val="en-US" w:eastAsia="zh-CN"/>
        </w:rPr>
        <w:t>15.26</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0.86</w:t>
      </w:r>
      <w:r>
        <w:rPr>
          <w:rFonts w:hint="eastAsia" w:cs="仿宋_GB2312"/>
          <w:kern w:val="2"/>
          <w:sz w:val="32"/>
          <w:szCs w:val="32"/>
        </w:rPr>
        <w:t>万元，公务用车购置及运行维护费</w:t>
      </w:r>
      <w:r>
        <w:rPr>
          <w:rFonts w:hint="eastAsia" w:cs="仿宋_GB2312"/>
          <w:kern w:val="2"/>
          <w:sz w:val="32"/>
          <w:szCs w:val="32"/>
          <w:lang w:val="en-US" w:eastAsia="zh-CN"/>
        </w:rPr>
        <w:t>14.4</w:t>
      </w:r>
      <w:r>
        <w:rPr>
          <w:rFonts w:hint="eastAsia" w:cs="仿宋_GB2312"/>
          <w:kern w:val="2"/>
          <w:sz w:val="32"/>
          <w:szCs w:val="32"/>
        </w:rPr>
        <w:t>万元。</w:t>
      </w:r>
    </w:p>
    <w:p w14:paraId="54827BD3">
      <w:pPr>
        <w:pStyle w:val="10"/>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14:paraId="67B74301">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color w:val="000000"/>
          <w:kern w:val="2"/>
          <w:sz w:val="32"/>
          <w:szCs w:val="32"/>
          <w:lang w:val="en-US" w:eastAsia="zh-CN"/>
        </w:rPr>
        <w:t>0.86</w:t>
      </w:r>
      <w:r>
        <w:rPr>
          <w:rFonts w:hint="eastAsia" w:cs="仿宋_GB2312"/>
          <w:color w:val="000000"/>
          <w:kern w:val="2"/>
          <w:sz w:val="32"/>
          <w:szCs w:val="32"/>
        </w:rPr>
        <w:t>万元。较2025年预算经费</w:t>
      </w:r>
      <w:r>
        <w:rPr>
          <w:rFonts w:hint="eastAsia" w:cs="宋体"/>
          <w:sz w:val="32"/>
          <w:szCs w:val="32"/>
        </w:rPr>
        <w:t>增加</w:t>
      </w:r>
      <w:r>
        <w:rPr>
          <w:rFonts w:hint="eastAsia" w:cs="宋体"/>
          <w:sz w:val="32"/>
          <w:szCs w:val="32"/>
          <w:lang w:val="en-US" w:eastAsia="zh-CN"/>
        </w:rPr>
        <w:t>0.01</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1.1</w:t>
      </w:r>
      <w:r>
        <w:rPr>
          <w:rFonts w:hint="eastAsia" w:cs="仿宋_GB2312"/>
          <w:color w:val="000000"/>
          <w:kern w:val="2"/>
          <w:sz w:val="32"/>
          <w:szCs w:val="32"/>
        </w:rPr>
        <w:t>%，主要原因</w:t>
      </w:r>
      <w:r>
        <w:rPr>
          <w:rFonts w:hint="eastAsia" w:cs="仿宋_GB2312"/>
          <w:color w:val="000000"/>
          <w:kern w:val="2"/>
          <w:sz w:val="32"/>
          <w:szCs w:val="32"/>
          <w:lang w:eastAsia="zh-CN"/>
        </w:rPr>
        <w:t>预算基数增加</w:t>
      </w:r>
    </w:p>
    <w:p w14:paraId="4A1E17DD">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14.4</w:t>
      </w:r>
      <w:r>
        <w:rPr>
          <w:rFonts w:hint="eastAsia" w:cs="仿宋_GB2312"/>
          <w:color w:val="000000"/>
          <w:kern w:val="2"/>
          <w:sz w:val="32"/>
          <w:szCs w:val="32"/>
        </w:rPr>
        <w:t>万元。较2025年预算经费</w:t>
      </w:r>
      <w:r>
        <w:rPr>
          <w:rFonts w:hint="eastAsia" w:cs="宋体"/>
          <w:sz w:val="32"/>
          <w:szCs w:val="32"/>
          <w:lang w:val="en-US" w:eastAsia="zh-CN"/>
        </w:rPr>
        <w:t>无变化</w:t>
      </w:r>
      <w:r>
        <w:rPr>
          <w:rFonts w:hint="eastAsia" w:cs="仿宋_GB2312"/>
          <w:color w:val="000000"/>
          <w:kern w:val="2"/>
          <w:sz w:val="32"/>
          <w:szCs w:val="32"/>
          <w:lang w:eastAsia="zh-CN"/>
        </w:rPr>
        <w:t>。</w:t>
      </w:r>
    </w:p>
    <w:p w14:paraId="301B2831">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0CE0D7A0">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共青团阿坝州委</w:t>
      </w:r>
      <w:r>
        <w:rPr>
          <w:rFonts w:hint="eastAsia" w:cs="仿宋_GB2312"/>
          <w:kern w:val="2"/>
          <w:sz w:val="32"/>
          <w:szCs w:val="32"/>
        </w:rPr>
        <w:t>2026年政府性基金预算拨款安排的支出</w:t>
      </w:r>
      <w:r>
        <w:rPr>
          <w:rFonts w:hint="eastAsia" w:cs="仿宋_GB2312"/>
          <w:kern w:val="2"/>
          <w:sz w:val="32"/>
          <w:szCs w:val="32"/>
          <w:lang w:val="en-US" w:eastAsia="zh-CN"/>
        </w:rPr>
        <w:t>0</w:t>
      </w:r>
      <w:r>
        <w:rPr>
          <w:rFonts w:hint="eastAsia" w:cs="仿宋_GB2312"/>
          <w:kern w:val="2"/>
          <w:sz w:val="32"/>
          <w:szCs w:val="32"/>
        </w:rPr>
        <w:t>万元。较2025年预算经费</w:t>
      </w:r>
      <w:r>
        <w:rPr>
          <w:rFonts w:hint="eastAsia" w:cs="宋体"/>
          <w:sz w:val="32"/>
          <w:szCs w:val="32"/>
          <w:lang w:val="en-US" w:eastAsia="zh-CN"/>
        </w:rPr>
        <w:t>无变化</w:t>
      </w:r>
      <w:r>
        <w:rPr>
          <w:rFonts w:hint="eastAsia" w:cs="仿宋_GB2312"/>
          <w:kern w:val="2"/>
          <w:sz w:val="32"/>
          <w:szCs w:val="32"/>
        </w:rPr>
        <w:t>。</w:t>
      </w:r>
    </w:p>
    <w:p w14:paraId="5D09874F">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6929213">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部门（单位）2026年机关运行经费财政拨款预算为</w:t>
      </w:r>
      <w:r>
        <w:rPr>
          <w:rFonts w:hint="eastAsia" w:cs="仿宋_GB2312"/>
          <w:kern w:val="2"/>
          <w:sz w:val="32"/>
          <w:szCs w:val="32"/>
          <w:lang w:val="en-US" w:eastAsia="zh-CN"/>
        </w:rPr>
        <w:t>52.72</w:t>
      </w:r>
      <w:r>
        <w:rPr>
          <w:rFonts w:hint="eastAsia" w:cs="仿宋_GB2312"/>
          <w:kern w:val="2"/>
          <w:sz w:val="32"/>
          <w:szCs w:val="32"/>
        </w:rPr>
        <w:t>万元，比2025年预算</w:t>
      </w:r>
      <w:r>
        <w:rPr>
          <w:rFonts w:hint="eastAsia" w:cs="仿宋_GB2312"/>
          <w:color w:val="000000"/>
          <w:kern w:val="2"/>
          <w:sz w:val="32"/>
          <w:szCs w:val="32"/>
        </w:rPr>
        <w:t>减少</w:t>
      </w:r>
      <w:r>
        <w:rPr>
          <w:rFonts w:hint="eastAsia" w:cs="仿宋_GB2312"/>
          <w:color w:val="000000"/>
          <w:kern w:val="2"/>
          <w:sz w:val="32"/>
          <w:szCs w:val="32"/>
          <w:lang w:val="en-US" w:eastAsia="zh-CN"/>
        </w:rPr>
        <w:t>0.55</w:t>
      </w:r>
      <w:r>
        <w:rPr>
          <w:rFonts w:hint="eastAsia" w:cs="仿宋_GB2312"/>
          <w:color w:val="000000"/>
          <w:kern w:val="2"/>
          <w:sz w:val="32"/>
          <w:szCs w:val="32"/>
        </w:rPr>
        <w:t>万元，减少</w:t>
      </w:r>
      <w:r>
        <w:rPr>
          <w:rFonts w:hint="eastAsia" w:cs="仿宋_GB2312"/>
          <w:color w:val="000000"/>
          <w:kern w:val="2"/>
          <w:sz w:val="32"/>
          <w:szCs w:val="32"/>
          <w:lang w:val="en-US" w:eastAsia="zh-CN"/>
        </w:rPr>
        <w:t>1.03</w:t>
      </w:r>
      <w:r>
        <w:rPr>
          <w:rFonts w:hint="eastAsia" w:cs="仿宋_GB2312"/>
          <w:color w:val="000000"/>
          <w:kern w:val="2"/>
          <w:sz w:val="32"/>
          <w:szCs w:val="32"/>
        </w:rPr>
        <w:t xml:space="preserve">%。 </w:t>
      </w:r>
    </w:p>
    <w:p w14:paraId="508D9D93">
      <w:pPr>
        <w:pStyle w:val="10"/>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val="en-US" w:eastAsia="zh-CN"/>
        </w:rPr>
        <w:t>.</w:t>
      </w:r>
    </w:p>
    <w:p w14:paraId="1B23C20F">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5758575C">
      <w:pPr>
        <w:pStyle w:val="10"/>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203.03</w:t>
      </w:r>
      <w:bookmarkStart w:id="0" w:name="_GoBack"/>
      <w:bookmarkEnd w:id="0"/>
      <w:r>
        <w:rPr>
          <w:rFonts w:hint="eastAsia" w:cs="仿宋_GB2312"/>
          <w:kern w:val="2"/>
          <w:sz w:val="32"/>
          <w:szCs w:val="32"/>
        </w:rPr>
        <w:t>万元。</w:t>
      </w:r>
    </w:p>
    <w:p w14:paraId="529F6DA3">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2026年部门（单位）通用项目和专用项目均按要求实行绩效目标管理，涉及一般公共预算当年拨款</w:t>
      </w:r>
      <w:r>
        <w:rPr>
          <w:rFonts w:hint="eastAsia" w:cs="仿宋_GB2312"/>
          <w:kern w:val="2"/>
          <w:sz w:val="32"/>
          <w:szCs w:val="32"/>
          <w:lang w:val="en-US" w:eastAsia="zh-CN"/>
        </w:rPr>
        <w:t>155</w:t>
      </w:r>
      <w:r>
        <w:rPr>
          <w:rFonts w:hint="eastAsia" w:cs="仿宋_GB2312"/>
          <w:kern w:val="2"/>
          <w:sz w:val="32"/>
          <w:szCs w:val="32"/>
        </w:rPr>
        <w:t>万元。</w:t>
      </w:r>
    </w:p>
    <w:p w14:paraId="68BCB549">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F7F2CFE">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0BB223-A36F-4CD3-A8C6-588571DCDD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642B01E-664C-438B-BF95-9AC250AE08DB}"/>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3" w:fontKey="{9B80A46E-39E0-4480-80DE-41D437CAB304}"/>
  </w:font>
  <w:font w:name="楷体">
    <w:panose1 w:val="02010609060101010101"/>
    <w:charset w:val="86"/>
    <w:family w:val="modern"/>
    <w:pitch w:val="default"/>
    <w:sig w:usb0="800002BF" w:usb1="38CF7CFA" w:usb2="00000016" w:usb3="00000000" w:csb0="00040001" w:csb1="00000000"/>
    <w:embedRegular r:id="rId4" w:fontKey="{DE6271A0-4650-4D72-B01F-A87DC7663083}"/>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embedRegular r:id="rId5" w:fontKey="{805FDC1B-AC37-4FFD-8A4F-542010E4D7D3}"/>
  </w:font>
  <w:font w:name="方正楷体_GBK">
    <w:panose1 w:val="02000000000000000000"/>
    <w:charset w:val="86"/>
    <w:family w:val="auto"/>
    <w:pitch w:val="default"/>
    <w:sig w:usb0="800002BF" w:usb1="38CF7CFA" w:usb2="00000016" w:usb3="00000000" w:csb0="00040000" w:csb1="00000000"/>
    <w:embedRegular r:id="rId6" w:fontKey="{41A1A618-1AFB-4854-BF7F-52BE37C422CD}"/>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6324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FADE84"/>
    <w:multiLevelType w:val="singleLevel"/>
    <w:tmpl w:val="AEFADE84"/>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F6D0BAD"/>
    <w:rsid w:val="629113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1633</Words>
  <Characters>1737</Characters>
  <Lines>124</Lines>
  <Paragraphs>51</Paragraphs>
  <TotalTime>1</TotalTime>
  <ScaleCrop>false</ScaleCrop>
  <LinksUpToDate>false</LinksUpToDate>
  <CharactersWithSpaces>1778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WPS_1479357016</cp:lastModifiedBy>
  <cp:lastPrinted>2018-01-30T09:39:00Z</cp:lastPrinted>
  <dcterms:modified xsi:type="dcterms:W3CDTF">2026-01-29T10:42:50Z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eyJoZGlkIjoiYmNhNjMwM2I3NjZmYmIwMzA5YWNmMGI4ZjYxY2QzOWYiLCJ1c2VySWQiOiIyNTE3MTYzMTQifQ==</vt:lpwstr>
  </property>
  <property fmtid="{D5CDD505-2E9C-101B-9397-08002B2CF9AE}" pid="4" name="ICV">
    <vt:lpwstr>8A8A973CF23849AB9C591656EB678EF2_13</vt:lpwstr>
  </property>
</Properties>
</file>