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A2581">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70DE1D7"/>
    <w:p w14:paraId="58B7ED0A"/>
    <w:p w14:paraId="2A6B59C8"/>
    <w:p w14:paraId="49A7D360">
      <w:pPr>
        <w:ind w:firstLine="1050" w:firstLineChars="500"/>
      </w:pPr>
    </w:p>
    <w:p w14:paraId="58668F94">
      <w:pPr>
        <w:ind w:firstLine="1050" w:firstLineChars="500"/>
      </w:pPr>
    </w:p>
    <w:p w14:paraId="5D064449">
      <w:pPr>
        <w:ind w:firstLine="1760" w:firstLineChars="400"/>
        <w:rPr>
          <w:rFonts w:ascii="黑体" w:eastAsia="黑体"/>
          <w:sz w:val="44"/>
          <w:szCs w:val="44"/>
        </w:rPr>
      </w:pPr>
    </w:p>
    <w:p w14:paraId="23E9BB4E">
      <w:pPr>
        <w:ind w:firstLine="1760" w:firstLineChars="400"/>
        <w:rPr>
          <w:rFonts w:ascii="黑体" w:eastAsia="黑体"/>
          <w:sz w:val="44"/>
          <w:szCs w:val="44"/>
        </w:rPr>
      </w:pPr>
    </w:p>
    <w:p w14:paraId="6A4E51E7">
      <w:pPr>
        <w:jc w:val="center"/>
        <w:rPr>
          <w:rFonts w:hint="eastAsia" w:ascii="黑体" w:eastAsia="黑体"/>
          <w:sz w:val="44"/>
          <w:szCs w:val="44"/>
          <w:lang w:val="en-US" w:eastAsia="zh-CN"/>
        </w:rPr>
      </w:pPr>
      <w:r>
        <w:rPr>
          <w:rFonts w:hint="eastAsia" w:ascii="黑体" w:eastAsia="黑体"/>
          <w:sz w:val="44"/>
          <w:szCs w:val="44"/>
          <w:lang w:val="en-US" w:eastAsia="zh-CN"/>
        </w:rPr>
        <w:t>中共阿坝州委老干部局</w:t>
      </w:r>
    </w:p>
    <w:p w14:paraId="0F71D4BC">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5E76E7C3">
      <w:pPr>
        <w:ind w:firstLine="1760" w:firstLineChars="400"/>
        <w:rPr>
          <w:rFonts w:ascii="黑体" w:eastAsia="黑体"/>
          <w:sz w:val="44"/>
          <w:szCs w:val="44"/>
        </w:rPr>
      </w:pPr>
    </w:p>
    <w:p w14:paraId="5A1D696A">
      <w:pPr>
        <w:ind w:firstLine="1760" w:firstLineChars="400"/>
        <w:rPr>
          <w:rFonts w:ascii="黑体" w:eastAsia="黑体"/>
          <w:sz w:val="44"/>
          <w:szCs w:val="44"/>
        </w:rPr>
      </w:pPr>
    </w:p>
    <w:p w14:paraId="1788FE8D">
      <w:pPr>
        <w:ind w:firstLine="1760" w:firstLineChars="400"/>
        <w:rPr>
          <w:rFonts w:ascii="黑体" w:eastAsia="黑体"/>
          <w:sz w:val="44"/>
          <w:szCs w:val="44"/>
        </w:rPr>
      </w:pPr>
    </w:p>
    <w:p w14:paraId="414BB694">
      <w:pPr>
        <w:ind w:firstLine="1760" w:firstLineChars="400"/>
        <w:rPr>
          <w:rFonts w:ascii="黑体" w:eastAsia="黑体"/>
          <w:sz w:val="44"/>
          <w:szCs w:val="44"/>
        </w:rPr>
      </w:pPr>
    </w:p>
    <w:p w14:paraId="5271685A">
      <w:pPr>
        <w:ind w:firstLine="1760" w:firstLineChars="400"/>
        <w:rPr>
          <w:rFonts w:ascii="黑体" w:eastAsia="黑体"/>
          <w:sz w:val="44"/>
          <w:szCs w:val="44"/>
        </w:rPr>
      </w:pPr>
    </w:p>
    <w:p w14:paraId="4176D1A3">
      <w:pPr>
        <w:ind w:firstLine="1760" w:firstLineChars="400"/>
        <w:rPr>
          <w:rFonts w:ascii="黑体" w:eastAsia="黑体"/>
          <w:sz w:val="44"/>
          <w:szCs w:val="44"/>
        </w:rPr>
      </w:pPr>
    </w:p>
    <w:p w14:paraId="5B0720EF">
      <w:pPr>
        <w:ind w:firstLine="1760" w:firstLineChars="400"/>
        <w:rPr>
          <w:rFonts w:ascii="黑体" w:eastAsia="黑体"/>
          <w:sz w:val="44"/>
          <w:szCs w:val="44"/>
        </w:rPr>
      </w:pPr>
    </w:p>
    <w:p w14:paraId="61372C96">
      <w:pPr>
        <w:ind w:firstLine="1760" w:firstLineChars="400"/>
        <w:rPr>
          <w:rFonts w:ascii="黑体" w:eastAsia="黑体"/>
          <w:sz w:val="44"/>
          <w:szCs w:val="44"/>
        </w:rPr>
      </w:pPr>
    </w:p>
    <w:p w14:paraId="570F2598">
      <w:pPr>
        <w:ind w:firstLine="1760" w:firstLineChars="400"/>
        <w:rPr>
          <w:rFonts w:ascii="黑体" w:eastAsia="黑体"/>
          <w:sz w:val="44"/>
          <w:szCs w:val="44"/>
        </w:rPr>
      </w:pPr>
    </w:p>
    <w:p w14:paraId="12B971AD">
      <w:pPr>
        <w:ind w:firstLine="1760" w:firstLineChars="400"/>
        <w:rPr>
          <w:rFonts w:ascii="黑体" w:eastAsia="黑体"/>
          <w:sz w:val="44"/>
          <w:szCs w:val="44"/>
        </w:rPr>
      </w:pPr>
    </w:p>
    <w:p w14:paraId="21D62200">
      <w:pPr>
        <w:ind w:firstLine="1760" w:firstLineChars="400"/>
        <w:rPr>
          <w:rFonts w:ascii="黑体" w:eastAsia="黑体"/>
          <w:sz w:val="44"/>
          <w:szCs w:val="44"/>
        </w:rPr>
      </w:pPr>
    </w:p>
    <w:p w14:paraId="725B89DE">
      <w:pPr>
        <w:ind w:firstLine="1760" w:firstLineChars="400"/>
        <w:rPr>
          <w:rFonts w:ascii="黑体" w:eastAsia="黑体"/>
          <w:sz w:val="44"/>
          <w:szCs w:val="44"/>
        </w:rPr>
      </w:pPr>
    </w:p>
    <w:p w14:paraId="366B1FA5">
      <w:pPr>
        <w:ind w:firstLine="1760" w:firstLineChars="400"/>
        <w:rPr>
          <w:rFonts w:ascii="黑体" w:eastAsia="黑体"/>
          <w:sz w:val="44"/>
          <w:szCs w:val="44"/>
        </w:rPr>
      </w:pPr>
    </w:p>
    <w:p w14:paraId="3FF47440">
      <w:pPr>
        <w:ind w:firstLine="1760" w:firstLineChars="400"/>
        <w:rPr>
          <w:rFonts w:ascii="黑体" w:eastAsia="黑体"/>
          <w:sz w:val="44"/>
          <w:szCs w:val="44"/>
        </w:rPr>
      </w:pPr>
    </w:p>
    <w:p w14:paraId="609D42A4">
      <w:pPr>
        <w:rPr>
          <w:rFonts w:ascii="黑体" w:eastAsia="黑体"/>
          <w:sz w:val="44"/>
          <w:szCs w:val="44"/>
        </w:rPr>
      </w:pPr>
    </w:p>
    <w:p w14:paraId="58FA5A44">
      <w:pPr>
        <w:ind w:firstLine="3120" w:firstLineChars="600"/>
        <w:rPr>
          <w:rFonts w:ascii="黑体" w:eastAsia="黑体"/>
          <w:sz w:val="52"/>
          <w:szCs w:val="52"/>
        </w:rPr>
      </w:pPr>
      <w:r>
        <w:rPr>
          <w:rFonts w:hint="eastAsia" w:ascii="黑体" w:eastAsia="黑体"/>
          <w:sz w:val="52"/>
          <w:szCs w:val="52"/>
        </w:rPr>
        <w:t>目录</w:t>
      </w:r>
    </w:p>
    <w:p w14:paraId="2665CD1E">
      <w:pPr>
        <w:ind w:firstLine="3080" w:firstLineChars="700"/>
        <w:rPr>
          <w:rFonts w:ascii="黑体" w:eastAsia="黑体"/>
          <w:sz w:val="44"/>
          <w:szCs w:val="44"/>
        </w:rPr>
      </w:pPr>
    </w:p>
    <w:p w14:paraId="6577B0BC">
      <w:pPr>
        <w:pStyle w:val="12"/>
        <w:ind w:firstLine="0" w:firstLineChars="0"/>
        <w:rPr>
          <w:rFonts w:ascii="黑体" w:eastAsia="黑体"/>
          <w:sz w:val="32"/>
          <w:szCs w:val="32"/>
        </w:rPr>
      </w:pPr>
      <w:r>
        <w:rPr>
          <w:rFonts w:hint="eastAsia" w:ascii="黑体" w:eastAsia="黑体"/>
          <w:sz w:val="32"/>
          <w:szCs w:val="32"/>
        </w:rPr>
        <w:t>一、基本职能及主要工作</w:t>
      </w:r>
    </w:p>
    <w:p w14:paraId="46DA57C4">
      <w:pPr>
        <w:rPr>
          <w:rFonts w:ascii="楷体" w:eastAsia="楷体"/>
          <w:sz w:val="32"/>
          <w:szCs w:val="32"/>
        </w:rPr>
      </w:pPr>
      <w:r>
        <w:rPr>
          <w:rFonts w:hint="eastAsia" w:ascii="楷体" w:eastAsia="楷体"/>
          <w:sz w:val="32"/>
          <w:szCs w:val="32"/>
        </w:rPr>
        <w:t>（一）部门职能简介</w:t>
      </w:r>
    </w:p>
    <w:p w14:paraId="3DDDA0FE">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0B08B825">
      <w:pPr>
        <w:rPr>
          <w:rFonts w:ascii="黑体" w:eastAsia="黑体"/>
          <w:sz w:val="32"/>
          <w:szCs w:val="32"/>
        </w:rPr>
      </w:pPr>
      <w:r>
        <w:rPr>
          <w:rFonts w:hint="eastAsia" w:ascii="黑体" w:eastAsia="黑体"/>
          <w:sz w:val="32"/>
          <w:szCs w:val="32"/>
        </w:rPr>
        <w:t>二、部门预算单位构成</w:t>
      </w:r>
    </w:p>
    <w:p w14:paraId="6DFC2C47">
      <w:pPr>
        <w:rPr>
          <w:rFonts w:ascii="黑体" w:eastAsia="黑体"/>
          <w:sz w:val="32"/>
          <w:szCs w:val="32"/>
        </w:rPr>
      </w:pPr>
      <w:r>
        <w:rPr>
          <w:rFonts w:hint="eastAsia" w:ascii="黑体" w:eastAsia="黑体"/>
          <w:sz w:val="32"/>
          <w:szCs w:val="32"/>
        </w:rPr>
        <w:t>三、收支预算情况说明</w:t>
      </w:r>
    </w:p>
    <w:p w14:paraId="5A9F4092">
      <w:pPr>
        <w:rPr>
          <w:rFonts w:ascii="楷体" w:eastAsia="楷体"/>
          <w:sz w:val="32"/>
          <w:szCs w:val="32"/>
        </w:rPr>
      </w:pPr>
      <w:r>
        <w:rPr>
          <w:rFonts w:hint="eastAsia" w:ascii="楷体" w:eastAsia="楷体"/>
          <w:sz w:val="32"/>
          <w:szCs w:val="32"/>
        </w:rPr>
        <w:t>（一）收入预算情况</w:t>
      </w:r>
    </w:p>
    <w:p w14:paraId="5A2A8FCC">
      <w:pPr>
        <w:rPr>
          <w:rFonts w:ascii="楷体" w:eastAsia="楷体"/>
          <w:sz w:val="32"/>
          <w:szCs w:val="32"/>
        </w:rPr>
      </w:pPr>
      <w:r>
        <w:rPr>
          <w:rFonts w:hint="eastAsia" w:ascii="楷体" w:eastAsia="楷体"/>
          <w:sz w:val="32"/>
          <w:szCs w:val="32"/>
        </w:rPr>
        <w:t>（二）支出预算情况</w:t>
      </w:r>
    </w:p>
    <w:p w14:paraId="7BF89625">
      <w:pPr>
        <w:rPr>
          <w:rFonts w:ascii="黑体" w:eastAsia="黑体"/>
          <w:sz w:val="32"/>
          <w:szCs w:val="32"/>
        </w:rPr>
      </w:pPr>
      <w:r>
        <w:rPr>
          <w:rFonts w:hint="eastAsia" w:ascii="黑体" w:eastAsia="黑体"/>
          <w:sz w:val="32"/>
          <w:szCs w:val="32"/>
        </w:rPr>
        <w:t>四、财政拨款收支预算情况说明</w:t>
      </w:r>
    </w:p>
    <w:p w14:paraId="50E2582B">
      <w:pPr>
        <w:rPr>
          <w:rFonts w:ascii="黑体" w:eastAsia="黑体"/>
          <w:sz w:val="32"/>
          <w:szCs w:val="32"/>
        </w:rPr>
      </w:pPr>
      <w:r>
        <w:rPr>
          <w:rFonts w:hint="eastAsia" w:ascii="黑体" w:eastAsia="黑体"/>
          <w:sz w:val="32"/>
          <w:szCs w:val="32"/>
        </w:rPr>
        <w:t>五、一般公共预算当年拨款情况说明</w:t>
      </w:r>
    </w:p>
    <w:p w14:paraId="55FB96F8">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8E259CC">
      <w:pPr>
        <w:rPr>
          <w:rFonts w:ascii="黑体" w:eastAsia="黑体"/>
          <w:sz w:val="32"/>
          <w:szCs w:val="32"/>
        </w:rPr>
      </w:pPr>
    </w:p>
    <w:p w14:paraId="0B07CE8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9C2335E">
      <w:pPr>
        <w:pStyle w:val="12"/>
        <w:rPr>
          <w:rFonts w:ascii="黑体" w:eastAsia="黑体"/>
          <w:sz w:val="32"/>
          <w:szCs w:val="32"/>
        </w:rPr>
      </w:pPr>
      <w:r>
        <w:rPr>
          <w:rFonts w:hint="eastAsia" w:ascii="黑体" w:eastAsia="黑体"/>
          <w:sz w:val="32"/>
          <w:szCs w:val="32"/>
        </w:rPr>
        <w:t>一、基本职能及主要工作</w:t>
      </w:r>
    </w:p>
    <w:p w14:paraId="78D85E09">
      <w:pPr>
        <w:ind w:firstLine="640" w:firstLineChars="200"/>
        <w:rPr>
          <w:rFonts w:ascii="楷体" w:eastAsia="楷体"/>
          <w:sz w:val="32"/>
          <w:szCs w:val="32"/>
        </w:rPr>
      </w:pPr>
      <w:r>
        <w:rPr>
          <w:rFonts w:hint="eastAsia" w:ascii="楷体" w:eastAsia="楷体"/>
          <w:sz w:val="32"/>
          <w:szCs w:val="32"/>
        </w:rPr>
        <w:t>（一）部门职能简介</w:t>
      </w:r>
    </w:p>
    <w:p w14:paraId="6D35D16D">
      <w:pPr>
        <w:snapToGrid w:val="0"/>
        <w:spacing w:line="520" w:lineRule="exact"/>
        <w:ind w:firstLine="640" w:firstLineChars="200"/>
        <w:rPr>
          <w:rFonts w:hint="eastAsia"/>
        </w:rPr>
      </w:pPr>
      <w:r>
        <w:rPr>
          <w:rFonts w:hint="eastAsia" w:ascii="仿宋_GB2312" w:hAnsi="仿宋" w:eastAsia="仿宋_GB2312" w:cs="Times New Roman"/>
          <w:sz w:val="32"/>
          <w:szCs w:val="32"/>
          <w:lang w:eastAsia="zh-CN"/>
        </w:rPr>
        <w:t>州委老干部局</w:t>
      </w:r>
      <w:r>
        <w:rPr>
          <w:rFonts w:hint="eastAsia" w:ascii="仿宋_GB2312" w:hAnsi="仿宋" w:eastAsia="仿宋_GB2312" w:cs="Times New Roman"/>
          <w:sz w:val="32"/>
          <w:szCs w:val="32"/>
        </w:rPr>
        <w:t>负责和指导全州离退休干部的政治理论学习，配合州委组织部抓好离退休干部党支部建设和思想政治工作，组织离退休干部参加重要会议、重大庆典纪念活动</w:t>
      </w:r>
      <w:r>
        <w:rPr>
          <w:rFonts w:hint="eastAsia" w:ascii="仿宋_GB2312" w:hAnsi="仿宋" w:eastAsia="仿宋_GB2312" w:cs="Times New Roman"/>
          <w:sz w:val="32"/>
          <w:szCs w:val="32"/>
          <w:lang w:eastAsia="zh-CN"/>
        </w:rPr>
        <w:t>；负责</w:t>
      </w:r>
      <w:r>
        <w:rPr>
          <w:rFonts w:hint="eastAsia" w:ascii="仿宋_GB2312" w:hAnsi="仿宋" w:eastAsia="仿宋_GB2312" w:cs="Times New Roman"/>
          <w:sz w:val="32"/>
          <w:szCs w:val="32"/>
        </w:rPr>
        <w:t>指导和承办离休干部和副州级以上退休干部的管理、服务工作；负责副县（处）级以上退休干部的管理工作；检查、督促老干部政治、生活待遇的落实情况</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负责在重大节日组织走访慰问老干部和在州工作过的老同志、兄弟市州老干部来州参观考察的有关接待工作</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负责老干部医疗保健工作</w:t>
      </w:r>
      <w:r>
        <w:rPr>
          <w:rFonts w:hint="eastAsia" w:ascii="仿宋_GB2312" w:hAnsi="仿宋" w:eastAsia="仿宋_GB2312" w:cs="Times New Roman"/>
          <w:sz w:val="32"/>
          <w:szCs w:val="32"/>
          <w:lang w:eastAsia="zh-CN"/>
        </w:rPr>
        <w:t>；负责</w:t>
      </w:r>
      <w:r>
        <w:rPr>
          <w:rFonts w:hint="eastAsia" w:ascii="仿宋_GB2312" w:hAnsi="仿宋" w:eastAsia="仿宋_GB2312" w:cs="Times New Roman"/>
          <w:sz w:val="32"/>
          <w:szCs w:val="32"/>
        </w:rPr>
        <w:t>加强州级各系统及各县</w:t>
      </w:r>
      <w:r>
        <w:rPr>
          <w:rFonts w:hint="eastAsia" w:ascii="仿宋_GB2312" w:hAnsi="仿宋" w:eastAsia="仿宋_GB2312" w:cs="Times New Roman"/>
          <w:sz w:val="32"/>
          <w:szCs w:val="32"/>
          <w:lang w:eastAsia="zh-CN"/>
        </w:rPr>
        <w:t>（市）</w:t>
      </w:r>
      <w:r>
        <w:rPr>
          <w:rFonts w:hint="eastAsia" w:ascii="仿宋_GB2312" w:hAnsi="仿宋" w:eastAsia="仿宋_GB2312" w:cs="Times New Roman"/>
          <w:sz w:val="32"/>
          <w:szCs w:val="32"/>
        </w:rPr>
        <w:t>，州属成都、</w:t>
      </w:r>
      <w:r>
        <w:rPr>
          <w:rFonts w:hint="eastAsia" w:ascii="仿宋_GB2312" w:hAnsi="仿宋" w:eastAsia="仿宋_GB2312" w:cs="Times New Roman"/>
          <w:sz w:val="32"/>
          <w:szCs w:val="32"/>
          <w:lang w:eastAsia="zh-CN"/>
        </w:rPr>
        <w:t>郫都区</w:t>
      </w:r>
      <w:r>
        <w:rPr>
          <w:rFonts w:hint="eastAsia" w:ascii="仿宋_GB2312" w:hAnsi="仿宋" w:eastAsia="仿宋_GB2312" w:cs="Times New Roman"/>
          <w:sz w:val="32"/>
          <w:szCs w:val="32"/>
        </w:rPr>
        <w:t>、都江堰、马尔康六个干休所的管理、督促、指导、检查</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负责直属干休所人事任免、人员调整、退休手续的报批、奖惩、人员编制的管理工作</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rPr>
        <w:t>负责全州关心下一代工作，并承担关心下一代工作委员会日常工作。</w:t>
      </w:r>
    </w:p>
    <w:p w14:paraId="1A1AB208">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6205E723">
      <w:pPr>
        <w:keepNext w:val="0"/>
        <w:keepLines w:val="0"/>
        <w:pageBreakBefore w:val="0"/>
        <w:widowControl w:val="0"/>
        <w:kinsoku/>
        <w:wordWrap/>
        <w:topLinePunct w:val="0"/>
        <w:autoSpaceDE/>
        <w:autoSpaceDN/>
        <w:bidi w:val="0"/>
        <w:adjustRightInd w:val="0"/>
        <w:snapToGrid w:val="0"/>
        <w:spacing w:line="576" w:lineRule="exact"/>
        <w:ind w:firstLine="643" w:firstLineChars="200"/>
        <w:textAlignment w:val="auto"/>
        <w:rPr>
          <w:rFonts w:hint="default" w:ascii="Times New Roman" w:hAnsi="Times New Roman" w:eastAsia="方正仿宋简体"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1.构建“大党建”格局，筑牢老干部工作基石。</w:t>
      </w:r>
      <w:r>
        <w:rPr>
          <w:rFonts w:hint="default" w:ascii="Times New Roman" w:hAnsi="Times New Roman" w:eastAsia="方正仿宋_GBK" w:cs="Times New Roman"/>
          <w:color w:val="auto"/>
          <w:kern w:val="2"/>
          <w:sz w:val="32"/>
          <w:szCs w:val="32"/>
          <w:lang w:val="en-US" w:eastAsia="zh-CN" w:bidi="ar-SA"/>
        </w:rPr>
        <w:t>持续深化离退休干部学习教育，丰富学习形式和内容，针对不同群体制定差异化学习计划，加强学习成效督查，引导广大离退休干部坚定拥护“两个确立”、坚决做到“两个维护”。着力增强党组织政治功能和组织功能，抓示范创建提升功能，分级推进“六好”党支部示范创建，推动党组织建设规范化标准化。健全后备力量培养机制，加强党务工作队伍、 联络员队伍建设，优化组织设置，扩大组织覆盖， 严格组织生活。纵深推进“古堰金秋·阿坝情”“鹃城金秋·阿坝情”离退休干部党建联建工作，深化党建联建合作，在流动党员、 候鸟党员集中地区积极探索服务管理新模式，将离退休干部党员有效纳入党组织管理。总结提炼特色工作经验，形成具有阿坝州老干部工作特色的党建品牌。总结提炼特色工作经验，形成具有阿坝州老干部工作特色的党建品牌。</w:t>
      </w:r>
    </w:p>
    <w:p w14:paraId="7BCF1433">
      <w:pPr>
        <w:keepNext w:val="0"/>
        <w:keepLines w:val="0"/>
        <w:pageBreakBefore w:val="0"/>
        <w:widowControl w:val="0"/>
        <w:kinsoku/>
        <w:wordWrap/>
        <w:topLinePunct w:val="0"/>
        <w:autoSpaceDE/>
        <w:autoSpaceDN/>
        <w:bidi w:val="0"/>
        <w:adjustRightInd w:val="0"/>
        <w:snapToGrid w:val="0"/>
        <w:spacing w:line="576"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方正仿宋_GBK" w:cs="Times New Roman"/>
          <w:b/>
          <w:bCs/>
          <w:color w:val="auto"/>
          <w:kern w:val="2"/>
          <w:sz w:val="32"/>
          <w:szCs w:val="32"/>
          <w:lang w:val="en-US" w:eastAsia="zh-CN" w:bidi="ar-SA"/>
        </w:rPr>
        <w:t>2.擦亮特色品牌，扩大协同育人影响。</w:t>
      </w:r>
      <w:r>
        <w:rPr>
          <w:rFonts w:hint="default" w:ascii="Times New Roman" w:hAnsi="Times New Roman" w:eastAsia="方正仿宋_GBK" w:cs="Times New Roman"/>
          <w:color w:val="auto"/>
          <w:kern w:val="2"/>
          <w:sz w:val="32"/>
          <w:szCs w:val="32"/>
          <w:lang w:val="en-US" w:eastAsia="zh-CN" w:bidi="ar-SA"/>
        </w:rPr>
        <w:t>以长征胜利90周年为契机，做强“新长征”夏令营品牌，深化浙阿研学互动。做优“守护净土”科普宣讲，厚植生态文明理念。推进“红领巾”讲解员选培与红色故事编写。服务文旅产业发展，推动“五老”传技授艺，促进非遗传承与产业对接。持续选树宣传“新时代阿坝好少年”先进典型。深化“微心愿”工作，建服务站精准对接需求。实施青少年大病救助项目，规范救助流程。持续发放“爱心爷爷奶奶”暖冬包，推进“金秋助学”“暖冬行动”“普法先行”等关爱活动，建立重点青少年“一人一档”动态帮扶机制。深化校内外活动融合，开展科创、艺术等活动。加强青少年实践基地等阵地建设，规范标识。优化“五老”队伍结构，开展专题培训，持续推动“五老”宣讲进校园、进社区。强化关爱宣传，扩大工作影响力。提升基金会运作效能，完善内部管理，增强公信力与可持续性。</w:t>
      </w:r>
    </w:p>
    <w:p w14:paraId="790790DF">
      <w:pPr>
        <w:pStyle w:val="11"/>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3.彰显银铃担当本色，多渠道贡献老干部智慧力量。</w:t>
      </w:r>
      <w:r>
        <w:rPr>
          <w:rFonts w:hint="default" w:ascii="Times New Roman" w:hAnsi="Times New Roman" w:eastAsia="方正仿宋_GBK" w:cs="Times New Roman"/>
          <w:color w:val="auto"/>
          <w:kern w:val="2"/>
          <w:sz w:val="32"/>
          <w:szCs w:val="32"/>
          <w:lang w:val="en-US" w:eastAsia="zh-CN" w:bidi="ar-SA"/>
        </w:rPr>
        <w:t>持续推进“老党员工作室”、“老干部志愿服务队”规范化建设，加强“银发人才库”建设，推动</w:t>
      </w:r>
      <w:r>
        <w:rPr>
          <w:rFonts w:hint="default" w:ascii="Times New Roman" w:hAnsi="Times New Roman" w:eastAsia="方正仿宋_GBK" w:cs="Times New Roman"/>
          <w:color w:val="auto"/>
          <w:kern w:val="2"/>
          <w:sz w:val="32"/>
          <w:szCs w:val="32"/>
          <w:lang w:val="en" w:eastAsia="zh-CN" w:bidi="ar-SA"/>
        </w:rPr>
        <w:t>“银发人才”和“银发志愿服务队”发挥更大作用。</w:t>
      </w:r>
      <w:r>
        <w:rPr>
          <w:rFonts w:hint="default" w:ascii="Times New Roman" w:hAnsi="Times New Roman" w:eastAsia="方正仿宋_GBK" w:cs="Times New Roman"/>
          <w:color w:val="auto"/>
          <w:kern w:val="2"/>
          <w:sz w:val="32"/>
          <w:szCs w:val="32"/>
          <w:lang w:val="en-US" w:eastAsia="zh-CN" w:bidi="ar-SA"/>
        </w:rPr>
        <w:t>持续开展“增添正能量·共筑中国梦”活动，高质量</w:t>
      </w:r>
      <w:r>
        <w:rPr>
          <w:rFonts w:hint="default" w:ascii="Times New Roman" w:hAnsi="Times New Roman" w:eastAsia="方正仿宋_GBK" w:cs="Times New Roman"/>
          <w:color w:val="auto"/>
          <w:kern w:val="2"/>
          <w:sz w:val="32"/>
          <w:szCs w:val="32"/>
          <w:lang w:val="en" w:eastAsia="zh-CN" w:bidi="ar-SA"/>
        </w:rPr>
        <w:t>承办川西南八市州及省直机关第十四届老年书画联展活动，打造“绿水青山”歌舞剧精品佳作，</w:t>
      </w:r>
      <w:r>
        <w:rPr>
          <w:rFonts w:hint="default" w:ascii="Times New Roman" w:hAnsi="Times New Roman" w:eastAsia="方正仿宋_GBK" w:cs="Times New Roman"/>
          <w:color w:val="auto"/>
          <w:kern w:val="2"/>
          <w:sz w:val="32"/>
          <w:szCs w:val="32"/>
          <w:lang w:val="en-US" w:eastAsia="zh-CN" w:bidi="ar-SA"/>
        </w:rPr>
        <w:t>引导老同志通过开展有益活动，助力民族团结进步创建、全域旅游发展、城乡基层治理、银发经济发展等中心工作。进一步加大老年社团建设，充分发挥老干部文艺特长优势，讲述阿坝好故事、宣传阿坝新变化、集聚奋进正能量。</w:t>
      </w:r>
    </w:p>
    <w:p w14:paraId="41E5114B">
      <w:pPr>
        <w:pStyle w:val="11"/>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ascii="仿宋_GB2312" w:eastAsia="仿宋_GB2312"/>
          <w:sz w:val="32"/>
          <w:szCs w:val="32"/>
        </w:rPr>
      </w:pPr>
      <w:r>
        <w:rPr>
          <w:rFonts w:hint="default" w:ascii="Times New Roman" w:hAnsi="Times New Roman" w:eastAsia="方正仿宋_GBK" w:cs="Times New Roman"/>
          <w:b/>
          <w:bCs/>
          <w:color w:val="auto"/>
          <w:kern w:val="2"/>
          <w:sz w:val="32"/>
          <w:szCs w:val="32"/>
          <w:lang w:val="en-US" w:eastAsia="zh-CN" w:bidi="ar-SA"/>
        </w:rPr>
        <w:t>4.深化精准服务理念，全方位服务老干部群体。</w:t>
      </w:r>
      <w:r>
        <w:rPr>
          <w:rFonts w:hint="default" w:ascii="Times New Roman" w:hAnsi="Times New Roman" w:eastAsia="方正仿宋_GBK" w:cs="Times New Roman"/>
          <w:color w:val="auto"/>
          <w:kern w:val="2"/>
          <w:sz w:val="32"/>
          <w:szCs w:val="32"/>
          <w:lang w:val="en-US" w:eastAsia="zh-CN" w:bidi="ar-SA"/>
        </w:rPr>
        <w:t>全面落实离退休干部精准服务“一人一策”工作要求，进一步完善困难帮扶和关爱机制，不断提升离退休干部服务管理精准度。持续完善老干部工资医疗待遇保障机制，全面落实离休干部一次性生活补贴、离休干部困难补助以及建国初期参加革命工作的部分退休干部医疗照顾等政策，强化离退休干部特殊困难帮扶，真正为特困离退休干部办好事、解难事。深入推进“五大惠老行动”，进一步巩固“见物不见人”专项整治成果。加强与成都、郫都、都江堰等地区协同联动，推动异地居住离退休干部实现就近就便享受优质普惠公共服务。</w:t>
      </w:r>
    </w:p>
    <w:p w14:paraId="386C7CC7">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1A91DB0B">
      <w:pPr>
        <w:snapToGrid w:val="0"/>
        <w:spacing w:line="520" w:lineRule="exact"/>
        <w:ind w:firstLine="640" w:firstLineChars="200"/>
      </w:pPr>
      <w:r>
        <w:rPr>
          <w:rFonts w:hint="default" w:ascii="仿宋_GB2312" w:hAnsi="仿宋" w:eastAsia="仿宋_GB2312" w:cs="Times New Roman"/>
          <w:sz w:val="32"/>
          <w:szCs w:val="32"/>
          <w:lang w:eastAsia="zh-CN"/>
        </w:rPr>
        <w:t>州委老干部局设内设机构</w:t>
      </w:r>
      <w:r>
        <w:rPr>
          <w:rFonts w:hint="eastAsia" w:ascii="仿宋_GB2312" w:hAnsi="仿宋" w:eastAsia="仿宋_GB2312" w:cs="Times New Roman"/>
          <w:sz w:val="32"/>
          <w:szCs w:val="32"/>
          <w:lang w:val="en-US" w:eastAsia="zh-CN"/>
        </w:rPr>
        <w:t>6个：</w:t>
      </w:r>
      <w:r>
        <w:rPr>
          <w:rFonts w:hint="default" w:ascii="仿宋_GB2312" w:hAnsi="仿宋" w:eastAsia="仿宋_GB2312" w:cs="Times New Roman"/>
          <w:sz w:val="32"/>
          <w:szCs w:val="32"/>
          <w:lang w:eastAsia="zh-CN"/>
        </w:rPr>
        <w:t>办公室</w:t>
      </w:r>
      <w:r>
        <w:rPr>
          <w:rFonts w:hint="eastAsia" w:ascii="仿宋_GB2312" w:hAnsi="仿宋" w:eastAsia="仿宋_GB2312" w:cs="Times New Roman"/>
          <w:sz w:val="32"/>
          <w:szCs w:val="32"/>
          <w:lang w:eastAsia="zh-CN"/>
        </w:rPr>
        <w:t>、</w:t>
      </w:r>
      <w:r>
        <w:rPr>
          <w:rFonts w:hint="default" w:ascii="仿宋_GB2312" w:hAnsi="仿宋" w:eastAsia="仿宋_GB2312" w:cs="Times New Roman"/>
          <w:sz w:val="32"/>
          <w:szCs w:val="32"/>
          <w:lang w:val="en-US" w:eastAsia="zh-CN"/>
        </w:rPr>
        <w:t>离退休科</w:t>
      </w:r>
      <w:r>
        <w:rPr>
          <w:rFonts w:hint="eastAsia" w:ascii="仿宋_GB2312" w:hAnsi="仿宋" w:eastAsia="仿宋_GB2312" w:cs="Times New Roman"/>
          <w:sz w:val="32"/>
          <w:szCs w:val="32"/>
          <w:lang w:val="en-US" w:eastAsia="zh-CN"/>
        </w:rPr>
        <w:t>、</w:t>
      </w:r>
      <w:r>
        <w:rPr>
          <w:rFonts w:hint="default" w:ascii="仿宋_GB2312" w:hAnsi="仿宋" w:eastAsia="仿宋_GB2312" w:cs="Times New Roman"/>
          <w:sz w:val="32"/>
          <w:szCs w:val="32"/>
          <w:lang w:val="en-US" w:eastAsia="zh-CN"/>
        </w:rPr>
        <w:t>保健活动科</w:t>
      </w:r>
      <w:r>
        <w:rPr>
          <w:rFonts w:hint="eastAsia" w:ascii="仿宋_GB2312" w:hAnsi="仿宋" w:eastAsia="仿宋_GB2312" w:cs="Times New Roman"/>
          <w:sz w:val="32"/>
          <w:szCs w:val="32"/>
          <w:lang w:val="en-US" w:eastAsia="zh-CN"/>
        </w:rPr>
        <w:t>、</w:t>
      </w:r>
      <w:r>
        <w:rPr>
          <w:rFonts w:hint="default" w:ascii="仿宋_GB2312" w:hAnsi="仿宋" w:eastAsia="仿宋_GB2312" w:cs="Times New Roman"/>
          <w:sz w:val="32"/>
          <w:szCs w:val="32"/>
          <w:lang w:val="en-US" w:eastAsia="zh-CN"/>
        </w:rPr>
        <w:t>信息调研科</w:t>
      </w:r>
      <w:r>
        <w:rPr>
          <w:rFonts w:hint="eastAsia" w:ascii="仿宋_GB2312" w:hAnsi="仿宋" w:eastAsia="仿宋_GB2312" w:cs="Times New Roman"/>
          <w:sz w:val="32"/>
          <w:szCs w:val="32"/>
          <w:lang w:val="en-US" w:eastAsia="zh-CN"/>
        </w:rPr>
        <w:t>、</w:t>
      </w:r>
      <w:r>
        <w:rPr>
          <w:rFonts w:hint="default" w:ascii="仿宋_GB2312" w:hAnsi="仿宋" w:eastAsia="仿宋_GB2312" w:cs="Times New Roman"/>
          <w:sz w:val="32"/>
          <w:szCs w:val="32"/>
          <w:lang w:val="en-US" w:eastAsia="zh-CN"/>
        </w:rPr>
        <w:t>党建指导科</w:t>
      </w:r>
      <w:r>
        <w:rPr>
          <w:rFonts w:hint="eastAsia" w:ascii="仿宋_GB2312" w:hAnsi="仿宋" w:eastAsia="仿宋_GB2312" w:cs="Times New Roman"/>
          <w:sz w:val="32"/>
          <w:szCs w:val="32"/>
          <w:lang w:val="en-US" w:eastAsia="zh-CN"/>
        </w:rPr>
        <w:t>、</w:t>
      </w:r>
      <w:r>
        <w:rPr>
          <w:rFonts w:hint="default" w:ascii="仿宋_GB2312" w:hAnsi="仿宋" w:eastAsia="仿宋_GB2312" w:cs="Times New Roman"/>
          <w:sz w:val="32"/>
          <w:szCs w:val="32"/>
          <w:lang w:val="en-US" w:eastAsia="zh-CN"/>
        </w:rPr>
        <w:t>关心下一代工作科</w:t>
      </w:r>
      <w:r>
        <w:rPr>
          <w:rFonts w:hint="eastAsia" w:ascii="仿宋_GB2312" w:hAnsi="仿宋" w:eastAsia="仿宋_GB2312" w:cs="Times New Roman"/>
          <w:sz w:val="32"/>
          <w:szCs w:val="32"/>
          <w:lang w:val="en-US" w:eastAsia="zh-CN"/>
        </w:rPr>
        <w:t>。机构设置较上一年度无变化。</w:t>
      </w:r>
    </w:p>
    <w:p w14:paraId="701E5CB7">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人员情况</w:t>
      </w:r>
      <w:r>
        <w:rPr>
          <w:rFonts w:hint="eastAsia" w:ascii="仿宋_GB2312" w:hAnsi="仿宋" w:eastAsia="仿宋_GB2312"/>
          <w:sz w:val="32"/>
          <w:szCs w:val="32"/>
          <w:lang w:eastAsia="zh-CN"/>
        </w:rPr>
        <w:t>。州委老干部局</w:t>
      </w:r>
      <w:r>
        <w:rPr>
          <w:rFonts w:hint="eastAsia" w:ascii="仿宋_GB2312" w:hAnsi="仿宋" w:eastAsia="仿宋_GB2312" w:cs="Times New Roman"/>
          <w:sz w:val="32"/>
          <w:szCs w:val="32"/>
          <w:lang w:eastAsia="zh-CN"/>
        </w:rPr>
        <w:t>核定公务员编制</w:t>
      </w:r>
      <w:r>
        <w:rPr>
          <w:rFonts w:hint="eastAsia" w:ascii="仿宋_GB2312" w:hAnsi="仿宋" w:eastAsia="仿宋_GB2312" w:cs="Times New Roman"/>
          <w:sz w:val="32"/>
          <w:szCs w:val="32"/>
          <w:lang w:val="en-US" w:eastAsia="zh-CN"/>
        </w:rPr>
        <w:t>15名，行政工勤编制2名，实有公务员14名，行政工勤人员2名。</w:t>
      </w:r>
    </w:p>
    <w:p w14:paraId="274C7745">
      <w:pPr>
        <w:pStyle w:val="12"/>
        <w:ind w:left="720" w:firstLine="0" w:firstLineChars="0"/>
        <w:rPr>
          <w:rFonts w:ascii="黑体" w:eastAsia="黑体"/>
          <w:sz w:val="32"/>
          <w:szCs w:val="32"/>
        </w:rPr>
      </w:pPr>
      <w:r>
        <w:rPr>
          <w:rFonts w:hint="eastAsia" w:ascii="黑体" w:eastAsia="黑体"/>
          <w:sz w:val="32"/>
          <w:szCs w:val="32"/>
        </w:rPr>
        <w:t>三、收支预算情况说明</w:t>
      </w:r>
    </w:p>
    <w:p w14:paraId="14643CDC">
      <w:pPr>
        <w:ind w:firstLine="640" w:firstLineChars="200"/>
        <w:rPr>
          <w:rFonts w:ascii="楷体" w:eastAsia="楷体"/>
          <w:sz w:val="32"/>
          <w:szCs w:val="32"/>
        </w:rPr>
      </w:pPr>
      <w:r>
        <w:rPr>
          <w:rFonts w:hint="eastAsia" w:ascii="楷体" w:eastAsia="楷体"/>
          <w:sz w:val="32"/>
          <w:szCs w:val="32"/>
        </w:rPr>
        <w:t>（一）收入预算情况</w:t>
      </w:r>
      <w:r>
        <w:rPr>
          <w:rFonts w:hint="eastAsia" w:ascii="楷体" w:eastAsia="楷体"/>
          <w:sz w:val="32"/>
          <w:szCs w:val="32"/>
          <w:lang w:eastAsia="zh-CN"/>
        </w:rPr>
        <w:t>：</w:t>
      </w:r>
      <w:r>
        <w:rPr>
          <w:rFonts w:hint="default" w:ascii="仿宋_GB2312" w:hAnsi="仿宋" w:eastAsia="仿宋_GB2312" w:cs="Times New Roman"/>
          <w:sz w:val="32"/>
          <w:szCs w:val="32"/>
          <w:lang w:eastAsia="zh-CN"/>
        </w:rPr>
        <w:t>2026 年部门收入预算合计 1018.26 万元，全部为一般公共预算拨款收入，无政府性基金预算拨款收入、国有资本经营预算拨款收入、事业收入、事业单位经营收入及其他收入，也无上年结转收入。</w:t>
      </w:r>
    </w:p>
    <w:p w14:paraId="682F2AEE">
      <w:pPr>
        <w:jc w:val="left"/>
        <w:rPr>
          <w:rFonts w:hint="default" w:ascii="仿宋_GB2312" w:hAnsi="仿宋" w:eastAsia="仿宋_GB2312" w:cs="Times New Roman"/>
          <w:sz w:val="32"/>
          <w:szCs w:val="32"/>
          <w:lang w:eastAsia="zh-CN"/>
        </w:rPr>
      </w:pPr>
      <w:r>
        <w:rPr>
          <w:rFonts w:hint="eastAsia" w:ascii="楷体" w:eastAsia="楷体" w:cs="仿宋_GB2312"/>
          <w:sz w:val="32"/>
          <w:szCs w:val="32"/>
        </w:rPr>
        <w:t>　　（二）支出预算情况</w:t>
      </w:r>
      <w:r>
        <w:rPr>
          <w:rFonts w:hint="eastAsia" w:ascii="楷体" w:eastAsia="楷体" w:cs="仿宋_GB2312"/>
          <w:sz w:val="32"/>
          <w:szCs w:val="32"/>
          <w:lang w:eastAsia="zh-CN"/>
        </w:rPr>
        <w:t>：</w:t>
      </w:r>
      <w:r>
        <w:rPr>
          <w:rFonts w:hint="eastAsia" w:ascii="仿宋_GB2312" w:hAnsi="仿宋" w:eastAsia="仿宋_GB2312" w:cs="Times New Roman"/>
          <w:sz w:val="32"/>
          <w:szCs w:val="32"/>
          <w:lang w:eastAsia="zh-CN"/>
        </w:rPr>
        <w:t>2026 年部门支出预算合计1018.26 万元，按支出功能分类：一般公共服务支出 890.01 万元，主要用于行政运行、一般行政管理事务等老干部相关管理服务工作；社会保障和就业支出 69.11 万元，包括机关事业单位基本养老保险缴费支出 46.07 万元、机关事业单位职业年金缴费支出 23.04 万元；卫生健康支出 25.57 万元，包含行政单位医疗 20.16 万元、公务员医疗补助 5.41 万元；住房保障支出 33.58 万元，为住房公积金支出。按支出经济分类，基本支出 523.76 万元（含人员经费 457.33 万元、公用经费 66.43 万元），项目支出 494.50 万元。</w:t>
      </w:r>
    </w:p>
    <w:p w14:paraId="2FD03A66">
      <w:pPr>
        <w:keepNext w:val="0"/>
        <w:keepLines w:val="0"/>
        <w:pageBreakBefore w:val="0"/>
        <w:widowControl w:val="0"/>
        <w:kinsoku/>
        <w:wordWrap/>
        <w:overflowPunct/>
        <w:topLinePunct w:val="0"/>
        <w:autoSpaceDE/>
        <w:autoSpaceDN/>
        <w:bidi w:val="0"/>
        <w:adjustRightInd/>
        <w:snapToGrid/>
        <w:ind w:left="0" w:leftChars="0" w:firstLine="640" w:firstLineChars="200"/>
        <w:jc w:val="left"/>
        <w:textAlignment w:val="auto"/>
        <w:rPr>
          <w:rFonts w:hint="eastAsia" w:ascii="仿宋_GB2312" w:hAnsi="仿宋" w:eastAsia="仿宋_GB2312" w:cs="Times New Roman"/>
          <w:sz w:val="32"/>
          <w:szCs w:val="32"/>
          <w:lang w:eastAsia="zh-CN"/>
        </w:rPr>
      </w:pPr>
      <w:r>
        <w:rPr>
          <w:rFonts w:hint="eastAsia" w:ascii="黑体" w:hAnsi="Calibri" w:eastAsia="黑体" w:cs="Times New Roman"/>
          <w:kern w:val="2"/>
          <w:sz w:val="32"/>
          <w:szCs w:val="32"/>
          <w:lang w:val="en-US" w:eastAsia="zh-CN" w:bidi="ar-SA"/>
        </w:rPr>
        <w:t>四、财政拨款收支预算情况说明</w:t>
      </w:r>
      <w:r>
        <w:rPr>
          <w:rFonts w:hint="eastAsia" w:ascii="楷体" w:eastAsia="楷体" w:cs="仿宋_GB2312"/>
          <w:sz w:val="32"/>
          <w:szCs w:val="32"/>
        </w:rPr>
        <w:br w:type="textWrapping"/>
      </w:r>
      <w:r>
        <w:rPr>
          <w:rFonts w:hint="eastAsia" w:ascii="仿宋_GB2312" w:hAnsi="仿宋" w:eastAsia="仿宋_GB2312" w:cs="Times New Roman"/>
          <w:sz w:val="32"/>
          <w:szCs w:val="32"/>
          <w:lang w:eastAsia="zh-CN"/>
        </w:rPr>
        <w:t>2026 年财政拨款收支总预算 1018.26 万元，收入全部为当年一般公共预算拨款收入 1018.26 万元，无政府性基金预算拨款收入、国有资本经营预算拨款收入及上年结转财政拨款；支出合计 1018.26 万元，其中一般公共服务支出 890.01 万元、社会保障和就业支出 69.11 万元、卫生健康支出 25.57 万元、住房保障支出 33.58 万元，与收入预算数相等，收支平衡。</w:t>
      </w:r>
    </w:p>
    <w:p w14:paraId="6D39D0B8">
      <w:pPr>
        <w:ind w:firstLine="640" w:firstLineChars="200"/>
        <w:rPr>
          <w:rFonts w:ascii="黑体" w:eastAsia="黑体"/>
          <w:sz w:val="32"/>
          <w:szCs w:val="32"/>
        </w:rPr>
      </w:pPr>
      <w:r>
        <w:rPr>
          <w:rFonts w:hint="eastAsia" w:ascii="黑体" w:eastAsia="黑体"/>
          <w:sz w:val="32"/>
          <w:szCs w:val="32"/>
        </w:rPr>
        <w:t>五、一般公共预算当年拨款情况说明</w:t>
      </w:r>
    </w:p>
    <w:p w14:paraId="4F980AFB">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772E79D3">
      <w:pPr>
        <w:pStyle w:val="13"/>
        <w:spacing w:before="0" w:line="360" w:lineRule="auto"/>
        <w:ind w:firstLine="660"/>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2026 年一般公共预算当年拨款 1018.26 万元，预算规模根据老干部管理服务工作需求、人员编制及相关政策保障标准确定，确保各项老干部服务、党建、关爱等重点工作有序开展。　</w:t>
      </w:r>
    </w:p>
    <w:p w14:paraId="77BBD047">
      <w:pPr>
        <w:pStyle w:val="13"/>
        <w:spacing w:before="0" w:line="360" w:lineRule="auto"/>
        <w:jc w:val="left"/>
        <w:rPr>
          <w:rFonts w:hint="eastAsia" w:ascii="仿宋_GB2312" w:hAnsi="仿宋" w:eastAsia="仿宋_GB2312" w:cs="Times New Roman"/>
          <w:kern w:val="2"/>
          <w:sz w:val="32"/>
          <w:szCs w:val="32"/>
          <w:lang w:val="en-US" w:eastAsia="zh-CN" w:bidi="ar-SA"/>
        </w:rPr>
      </w:pPr>
      <w:r>
        <w:rPr>
          <w:rFonts w:hint="eastAsia" w:ascii="楷体" w:eastAsia="楷体" w:cs="宋体"/>
          <w:sz w:val="32"/>
          <w:szCs w:val="32"/>
        </w:rPr>
        <w:t>（二）一般公共预算当年拨款结构情况</w:t>
      </w:r>
      <w:r>
        <w:rPr>
          <w:rFonts w:hint="eastAsia" w:cs="宋体"/>
          <w:sz w:val="32"/>
          <w:szCs w:val="32"/>
        </w:rPr>
        <w:br w:type="textWrapping"/>
      </w:r>
      <w:r>
        <w:rPr>
          <w:rFonts w:hint="eastAsia" w:ascii="仿宋_GB2312" w:hAnsi="仿宋" w:eastAsia="仿宋_GB2312" w:cs="Times New Roman"/>
          <w:kern w:val="2"/>
          <w:sz w:val="32"/>
          <w:szCs w:val="32"/>
          <w:lang w:val="en-US" w:eastAsia="zh-CN" w:bidi="ar-SA"/>
        </w:rPr>
        <w:t>一般公共服务支出 890.01 万元，占一般公共预算当年拨款总额的 87.41%；社会保障和就业支出 69.11 万元，占比 6.79%；卫生健康支出 25.57 万元，占比 2.51%；住房保障支出 33.58 万元，占比 3.29%。</w:t>
      </w:r>
    </w:p>
    <w:p w14:paraId="2CF67609">
      <w:pPr>
        <w:pStyle w:val="13"/>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5AFD4539">
      <w:pPr>
        <w:pStyle w:val="13"/>
        <w:spacing w:before="0" w:line="360" w:lineRule="auto"/>
        <w:ind w:firstLine="660"/>
        <w:rPr>
          <w:rFonts w:hint="eastAsia" w:cs="仿宋_GB2312"/>
          <w:kern w:val="2"/>
          <w:sz w:val="32"/>
          <w:szCs w:val="32"/>
        </w:rPr>
      </w:pPr>
      <w:r>
        <w:rPr>
          <w:rFonts w:hint="eastAsia" w:cs="仿宋_GB2312"/>
          <w:kern w:val="2"/>
          <w:sz w:val="32"/>
          <w:szCs w:val="32"/>
        </w:rPr>
        <w:t>一般公共服务支出（201 类 31 款）：行政运行（2013101）395.51 万元，用于保障州委老干部局日常行政运行，包括人员工资福利、基本公用经费等；一般行政管理事务（2013102）494.50 万元，具体用于建国初期参加革命工作的部分退休干部门诊医疗费 16.00 万元、全覆盖走访慰问省内外异地居住离退休干部工作经费 20.00 万元、老协活动费 45.00 万元、离退休干部特困帮扶工作经费 20.00 万元、生病住院看望慰问费（特需费）5.00 万元、厅级干部省外参观考察 60.00 万元、春节慰问活动 50.00 万元、老干部活动费 20.00 万元、离退休干部体检费 58.00 万元、关工委工作经费 30.00 万元、报刊费 30.00 万元、党建工作经费 10.00 万元、新时代离退休党建示范点及 “六好” 示范党支部推进工作现场会 10.00 万元、“五老” 宣讲团建设经费 5.00 万元、“古堰金秋・阿坝情” 离退休干部党建联建经费 20.00 万元、老干部情况通报会经费 6.00 万元、“绿水青山” 歌舞剧编演工作经费 20.00 万元、川西南八市州暨省直机关老年书画联展工作经费 59.50 万元、关心下一代基金会日常公务经费 10.00 万元。社会保障和就业支出（208 类 05 款）：机关事业单位基本养老保险缴费支出（2080505）46.07 万元，用于缴纳机关事业单位工作人员基本养老保险；机关事业单位职业年金缴费支出（2080506）23.04 万元，用于缴纳机关事业单位工作人员职业年金。卫生健康支出（210 类 11 款）：行政单位医疗（2101101）20.16 万元，用于行政单位工作人员基本医疗保险缴费；公务员医疗补助（2101103）5.41 万元，用于公务员医疗补助缴费。住房保障支出（221 类 02 款）：住房公积金（2210201）33.58 万元，用于为工作人员缴纳住房公积金。</w:t>
      </w:r>
    </w:p>
    <w:p w14:paraId="50FF6BA6">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73D8A68E">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部门 2026 年一般公共预算基本支出 523.76 万元，其中：</w:t>
      </w:r>
    </w:p>
    <w:p w14:paraId="70B447D7">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（一）人员经费 457.33 万元</w:t>
      </w:r>
    </w:p>
    <w:p w14:paraId="5983B22B">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主要包括：</w:t>
      </w:r>
    </w:p>
    <w:p w14:paraId="7EC7A7B1">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工资福利支出 425.81 万元，具体为基本工资 101.17 万元、津贴补贴 98.67 万元（含艰苦边远地区津贴 24.00 万元、高海拔地区折算工龄补贴 12.50 万元、公务员规范津贴补贴 62.17 万元）、奖金 89.41 万元（含年终一次性奖金 8.43 万元、绩效奖金 80.98 万元）、机关事业单位基本养老保险缴费 46.07 万元、职业年金缴费 23.04 万元、职工基本医疗保险缴费 20.16 万元、公务员医疗补助缴费 5.41 万元、其他社会保障缴费 2.30 万元（含失业保险 1.73 万元、工伤保险 0.58 万元）、住房公积金 33.58 万元、其他工资福利支出 6.00 万元（为编制外长聘人员经费）；</w:t>
      </w:r>
    </w:p>
    <w:p w14:paraId="7FD7CDFA">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对个人和家庭的补助 30.59 万元，具体为生活补助 30.58 万元（含遗属生活补助 0.78 万元、离退休人员年定额补助 29.80 万元）、奖励金 0.01 万元（为独生子女父母奖励）。</w:t>
      </w:r>
    </w:p>
    <w:p w14:paraId="052A75EF">
      <w:pPr>
        <w:pStyle w:val="13"/>
        <w:spacing w:before="0" w:line="360" w:lineRule="auto"/>
        <w:ind w:firstLine="640" w:firstLineChars="200"/>
        <w:rPr>
          <w:rFonts w:ascii="黑体" w:eastAsia="黑体"/>
          <w:sz w:val="32"/>
          <w:szCs w:val="32"/>
        </w:rPr>
      </w:pPr>
      <w:r>
        <w:rPr>
          <w:rFonts w:hint="eastAsia" w:cs="仿宋_GB2312"/>
          <w:kern w:val="2"/>
          <w:sz w:val="32"/>
          <w:szCs w:val="32"/>
        </w:rPr>
        <w:t>（二）公用经费 66.43 万元</w:t>
      </w:r>
      <w:r>
        <w:rPr>
          <w:rFonts w:hint="eastAsia" w:cs="仿宋_GB2312"/>
          <w:kern w:val="2"/>
          <w:sz w:val="32"/>
          <w:szCs w:val="32"/>
          <w:lang w:eastAsia="zh-CN"/>
        </w:rPr>
        <w:t>。</w:t>
      </w:r>
      <w:r>
        <w:rPr>
          <w:rFonts w:hint="eastAsia" w:cs="仿宋_GB2312"/>
          <w:kern w:val="2"/>
          <w:sz w:val="32"/>
          <w:szCs w:val="32"/>
        </w:rPr>
        <w:t>主要包括：办公费 1.73 万元；水费 0.52 万元；邮电费 6.08 万元；取暖费 0.69 万元；差旅费 15.33 万元；维修（护）费 0.22 万元；培训费 3.52 万元；公务接待费 1.04 万元；公务用车运行维护费 14.40 万元；其他商品和服务支出 22.90 万元（含党组织活动经费 5.22 万元、残疾人就业保障金 2.67 万元、体检费 3.60 万元、其他商品和服务支出 11.41 万元）。</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14C0FB2E">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 xml:space="preserve"> 2026 年 “三公” 经费财政拨款预算数 15.44 万元，具体情况如下：因公出国（境）费用：0 万元，本年度无因公出国（境）相关计划。公务接待费：1.04 万元，主要用于接待兄弟市州老干部来州参观考察、老干部工作相关业务交流等公务活动产生的费用。公务用车购置及运行维护费：14.40 万元，其中公务用车购置费 0 万元（本年度无公务用车购置计划），公务用车运行维护费 14.40 万元，用于现有公务用车的燃料费、维修费、保险费等日常运行维护支出，保障老干部走访慰问、医疗保健等工作开展。</w:t>
      </w:r>
    </w:p>
    <w:p w14:paraId="3CB05257">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61534483">
      <w:pPr>
        <w:pStyle w:val="13"/>
        <w:spacing w:before="0" w:line="360" w:lineRule="auto"/>
        <w:ind w:firstLine="640" w:firstLineChars="200"/>
        <w:rPr>
          <w:rFonts w:cs="仿宋_GB2312"/>
          <w:kern w:val="2"/>
          <w:sz w:val="32"/>
          <w:szCs w:val="32"/>
        </w:rPr>
      </w:pPr>
      <w:r>
        <w:rPr>
          <w:rFonts w:hint="eastAsia" w:cs="仿宋_GB2312"/>
          <w:kern w:val="2"/>
          <w:sz w:val="32"/>
          <w:szCs w:val="32"/>
        </w:rPr>
        <w:t>2026 年政府性基金预算拨款安排的支出 0 万元，无相关政府性基金预算支出项目。</w:t>
      </w:r>
    </w:p>
    <w:p w14:paraId="3D1C86A8">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AFA7E53">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default" w:cs="仿宋_GB2312"/>
          <w:kern w:val="2"/>
          <w:sz w:val="32"/>
          <w:szCs w:val="32"/>
        </w:rPr>
        <w:t>2026 年机关运行经费财政拨款预算为 66.43 万元，即一般公共预算基本支出中的公用经费部分，主要用于保障机关日常运行所需的办公、水电、差旅、公务用车运行等费用，确保老干部管理服务工作正常开展。</w:t>
      </w:r>
      <w:r>
        <w:rPr>
          <w:rFonts w:hint="eastAsia" w:cs="仿宋_GB2312"/>
          <w:color w:val="000000"/>
          <w:kern w:val="2"/>
          <w:sz w:val="32"/>
          <w:szCs w:val="32"/>
        </w:rPr>
        <w:t xml:space="preserve"> </w:t>
      </w:r>
    </w:p>
    <w:p w14:paraId="65F550A0">
      <w:pPr>
        <w:pStyle w:val="13"/>
        <w:spacing w:before="0" w:line="360" w:lineRule="auto"/>
        <w:ind w:firstLine="640" w:firstLineChars="200"/>
        <w:rPr>
          <w:rFonts w:hint="eastAsia"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kern w:val="2"/>
          <w:sz w:val="32"/>
          <w:szCs w:val="32"/>
        </w:rPr>
        <w:t>2026 年部门未单独列明具体政府采购预算金额，后续将根据实际工作需求，按照政府采购相关规定，对符合采购标准的商品和服务开展政府采购工作，如办公设备购置、公务用车维修保养服务等。</w:t>
      </w:r>
    </w:p>
    <w:p w14:paraId="38F2059A">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72BCFDE9">
      <w:pPr>
        <w:pStyle w:val="13"/>
        <w:spacing w:before="0" w:line="360" w:lineRule="auto"/>
        <w:ind w:firstLine="640" w:firstLineChars="200"/>
        <w:rPr>
          <w:rFonts w:hint="eastAsia"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268.5066</w:t>
      </w:r>
      <w:r>
        <w:rPr>
          <w:rFonts w:hint="eastAsia" w:cs="仿宋_GB2312"/>
          <w:kern w:val="2"/>
          <w:sz w:val="32"/>
          <w:szCs w:val="32"/>
        </w:rPr>
        <w:t>万元。</w:t>
      </w:r>
    </w:p>
    <w:p w14:paraId="203A7FB7">
      <w:pPr>
        <w:pStyle w:val="13"/>
        <w:spacing w:before="0" w:line="360" w:lineRule="auto"/>
        <w:ind w:firstLine="640" w:firstLineChars="200"/>
        <w:rPr>
          <w:rFonts w:hint="eastAsia" w:cs="仿宋_GB2312"/>
          <w:kern w:val="2"/>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bookmarkStart w:id="0" w:name="_GoBack"/>
      <w:r>
        <w:rPr>
          <w:rFonts w:hint="eastAsia" w:cs="仿宋_GB2312"/>
          <w:kern w:val="2"/>
          <w:sz w:val="32"/>
          <w:szCs w:val="32"/>
        </w:rPr>
        <w:t>2026 年部门通用项目和专用项目均按要求实行绩效目标管理，涉及一般公共预算当年拨款 1018.26 万元。绩效目标围绕老干部政治待遇落实、生活服务保障、党建工作推进、关心下一代活动开展等核心工作设定，聚焦工作成效、服务质量、资金使用效率等方面，确保财政资金规范、高效使用，切实提升老干部工作水平。</w:t>
      </w:r>
    </w:p>
    <w:bookmarkEnd w:id="0"/>
    <w:p w14:paraId="122CBB2C">
      <w:pPr>
        <w:pStyle w:val="13"/>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2A46C73">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048A0">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16CB7E3F"/>
    <w:rsid w:val="1A0320BB"/>
    <w:rsid w:val="36017313"/>
    <w:rsid w:val="72063235"/>
    <w:rsid w:val="EF63F2B2"/>
    <w:rsid w:val="FFF749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常用样式（方正仿宋简）"/>
    <w:basedOn w:val="1"/>
    <w:qFormat/>
    <w:uiPriority w:val="0"/>
    <w:pPr>
      <w:spacing w:line="560" w:lineRule="exact"/>
      <w:ind w:firstLine="200" w:firstLineChars="200"/>
    </w:pPr>
    <w:rPr>
      <w:rFonts w:ascii="Times New Roman" w:hAnsi="Times New Roman" w:eastAsia="方正仿宋简体"/>
      <w:sz w:val="32"/>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3300</Words>
  <Characters>3414</Characters>
  <Lines>124</Lines>
  <Paragraphs>51</Paragraphs>
  <TotalTime>20</TotalTime>
  <ScaleCrop>false</ScaleCrop>
  <LinksUpToDate>false</LinksUpToDate>
  <CharactersWithSpaces>3458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叶子</cp:lastModifiedBy>
  <cp:lastPrinted>2018-01-30T17:39:00Z</cp:lastPrinted>
  <dcterms:modified xsi:type="dcterms:W3CDTF">2026-02-05T02:52:27Z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E83F51C2810E36E72FF2836937CF6B2D</vt:lpwstr>
  </property>
  <property fmtid="{D5CDD505-2E9C-101B-9397-08002B2CF9AE}" pid="4" name="KSOTemplateDocerSaveRecord">
    <vt:lpwstr>eyJoZGlkIjoiOGEyYWE2MzEzYzdjNDFkN2M3NzViMDE2ZTA0NzNmMmEiLCJ1c2VySWQiOiI1OTE5MzM3OTgifQ==</vt:lpwstr>
  </property>
</Properties>
</file>