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300BB5">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56810211"/>
    <w:p w14:paraId="5A72C907"/>
    <w:p w14:paraId="55351C3A"/>
    <w:p w14:paraId="58F80502">
      <w:pPr>
        <w:ind w:firstLine="1050" w:firstLineChars="500"/>
      </w:pPr>
    </w:p>
    <w:p w14:paraId="3F44E7DA">
      <w:pPr>
        <w:ind w:firstLine="1050" w:firstLineChars="500"/>
      </w:pPr>
    </w:p>
    <w:p w14:paraId="25986F3E">
      <w:pPr>
        <w:ind w:firstLine="1760" w:firstLineChars="400"/>
        <w:rPr>
          <w:rFonts w:ascii="黑体" w:eastAsia="黑体"/>
          <w:sz w:val="44"/>
          <w:szCs w:val="44"/>
        </w:rPr>
      </w:pPr>
    </w:p>
    <w:p w14:paraId="26169880">
      <w:pPr>
        <w:ind w:firstLine="1760" w:firstLineChars="400"/>
        <w:rPr>
          <w:rFonts w:ascii="黑体" w:eastAsia="黑体"/>
          <w:sz w:val="44"/>
          <w:szCs w:val="44"/>
        </w:rPr>
      </w:pPr>
    </w:p>
    <w:p w14:paraId="171773C8">
      <w:pPr>
        <w:jc w:val="center"/>
        <w:rPr>
          <w:rFonts w:ascii="黑体" w:eastAsia="黑体"/>
          <w:sz w:val="44"/>
          <w:szCs w:val="44"/>
        </w:rPr>
      </w:pPr>
      <w:r>
        <w:rPr>
          <w:rFonts w:hint="eastAsia" w:ascii="黑体" w:eastAsia="黑体"/>
          <w:sz w:val="44"/>
          <w:szCs w:val="44"/>
          <w:lang w:val="en-US" w:eastAsia="zh-CN"/>
        </w:rPr>
        <w:t>阿坝州州级机关退休干部驻马尔康休养所</w:t>
      </w:r>
      <w:r>
        <w:rPr>
          <w:rFonts w:ascii="黑体" w:eastAsia="黑体"/>
          <w:sz w:val="44"/>
          <w:szCs w:val="44"/>
        </w:rPr>
        <w:t>2026</w:t>
      </w:r>
      <w:r>
        <w:rPr>
          <w:rFonts w:hint="eastAsia" w:ascii="黑体" w:eastAsia="黑体"/>
          <w:sz w:val="44"/>
          <w:szCs w:val="44"/>
        </w:rPr>
        <w:t>年部门预算</w:t>
      </w:r>
    </w:p>
    <w:p w14:paraId="7757F3E8">
      <w:pPr>
        <w:ind w:firstLine="1760" w:firstLineChars="400"/>
        <w:rPr>
          <w:rFonts w:ascii="黑体" w:eastAsia="黑体"/>
          <w:sz w:val="44"/>
          <w:szCs w:val="44"/>
        </w:rPr>
      </w:pPr>
    </w:p>
    <w:p w14:paraId="2E4957D4">
      <w:pPr>
        <w:ind w:firstLine="1760" w:firstLineChars="400"/>
        <w:rPr>
          <w:rFonts w:ascii="黑体" w:eastAsia="黑体"/>
          <w:sz w:val="44"/>
          <w:szCs w:val="44"/>
        </w:rPr>
      </w:pPr>
    </w:p>
    <w:p w14:paraId="7992B236">
      <w:pPr>
        <w:ind w:firstLine="1760" w:firstLineChars="400"/>
        <w:rPr>
          <w:rFonts w:ascii="黑体" w:eastAsia="黑体"/>
          <w:sz w:val="44"/>
          <w:szCs w:val="44"/>
        </w:rPr>
      </w:pPr>
    </w:p>
    <w:p w14:paraId="45E7B191">
      <w:pPr>
        <w:ind w:firstLine="1760" w:firstLineChars="400"/>
        <w:rPr>
          <w:rFonts w:ascii="黑体" w:eastAsia="黑体"/>
          <w:sz w:val="44"/>
          <w:szCs w:val="44"/>
        </w:rPr>
      </w:pPr>
    </w:p>
    <w:p w14:paraId="42062C2C">
      <w:pPr>
        <w:ind w:firstLine="1760" w:firstLineChars="400"/>
        <w:rPr>
          <w:rFonts w:ascii="黑体" w:eastAsia="黑体"/>
          <w:sz w:val="44"/>
          <w:szCs w:val="44"/>
        </w:rPr>
      </w:pPr>
    </w:p>
    <w:p w14:paraId="5E2B2E2B">
      <w:pPr>
        <w:ind w:firstLine="1760" w:firstLineChars="400"/>
        <w:rPr>
          <w:rFonts w:ascii="黑体" w:eastAsia="黑体"/>
          <w:sz w:val="44"/>
          <w:szCs w:val="44"/>
        </w:rPr>
      </w:pPr>
    </w:p>
    <w:p w14:paraId="34D989B2">
      <w:pPr>
        <w:ind w:firstLine="1760" w:firstLineChars="400"/>
        <w:rPr>
          <w:rFonts w:ascii="黑体" w:eastAsia="黑体"/>
          <w:sz w:val="44"/>
          <w:szCs w:val="44"/>
        </w:rPr>
      </w:pPr>
    </w:p>
    <w:p w14:paraId="6FCE3250">
      <w:pPr>
        <w:ind w:firstLine="1760" w:firstLineChars="400"/>
        <w:rPr>
          <w:rFonts w:ascii="黑体" w:eastAsia="黑体"/>
          <w:sz w:val="44"/>
          <w:szCs w:val="44"/>
        </w:rPr>
      </w:pPr>
    </w:p>
    <w:p w14:paraId="149FB115">
      <w:pPr>
        <w:ind w:firstLine="1760" w:firstLineChars="400"/>
        <w:rPr>
          <w:rFonts w:ascii="黑体" w:eastAsia="黑体"/>
          <w:sz w:val="44"/>
          <w:szCs w:val="44"/>
        </w:rPr>
      </w:pPr>
    </w:p>
    <w:p w14:paraId="78829CDE">
      <w:pPr>
        <w:ind w:firstLine="1760" w:firstLineChars="400"/>
        <w:rPr>
          <w:rFonts w:ascii="黑体" w:eastAsia="黑体"/>
          <w:sz w:val="44"/>
          <w:szCs w:val="44"/>
        </w:rPr>
      </w:pPr>
    </w:p>
    <w:p w14:paraId="37F47E7D">
      <w:pPr>
        <w:ind w:firstLine="1760" w:firstLineChars="400"/>
        <w:rPr>
          <w:rFonts w:ascii="黑体" w:eastAsia="黑体"/>
          <w:sz w:val="44"/>
          <w:szCs w:val="44"/>
        </w:rPr>
      </w:pPr>
    </w:p>
    <w:p w14:paraId="0B957DEC">
      <w:pPr>
        <w:ind w:firstLine="1760" w:firstLineChars="400"/>
        <w:rPr>
          <w:rFonts w:ascii="黑体" w:eastAsia="黑体"/>
          <w:sz w:val="44"/>
          <w:szCs w:val="44"/>
        </w:rPr>
      </w:pPr>
    </w:p>
    <w:p w14:paraId="4E3F9D5E">
      <w:pPr>
        <w:ind w:firstLine="1760" w:firstLineChars="400"/>
        <w:rPr>
          <w:rFonts w:ascii="黑体" w:eastAsia="黑体"/>
          <w:sz w:val="44"/>
          <w:szCs w:val="44"/>
        </w:rPr>
      </w:pPr>
    </w:p>
    <w:p w14:paraId="0736F03D">
      <w:pPr>
        <w:ind w:firstLine="1760" w:firstLineChars="400"/>
        <w:rPr>
          <w:rFonts w:ascii="黑体" w:eastAsia="黑体"/>
          <w:sz w:val="44"/>
          <w:szCs w:val="44"/>
        </w:rPr>
      </w:pPr>
    </w:p>
    <w:p w14:paraId="097CBBEB">
      <w:pPr>
        <w:rPr>
          <w:rFonts w:ascii="黑体" w:eastAsia="黑体"/>
          <w:sz w:val="44"/>
          <w:szCs w:val="44"/>
        </w:rPr>
      </w:pPr>
    </w:p>
    <w:p w14:paraId="520958CB">
      <w:pPr>
        <w:ind w:firstLine="3120" w:firstLineChars="600"/>
        <w:rPr>
          <w:rFonts w:ascii="黑体" w:eastAsia="黑体"/>
          <w:sz w:val="52"/>
          <w:szCs w:val="52"/>
        </w:rPr>
      </w:pPr>
      <w:r>
        <w:rPr>
          <w:rFonts w:hint="eastAsia" w:ascii="黑体" w:eastAsia="黑体"/>
          <w:sz w:val="52"/>
          <w:szCs w:val="52"/>
        </w:rPr>
        <w:t>目录</w:t>
      </w:r>
    </w:p>
    <w:p w14:paraId="7EBDBE42">
      <w:pPr>
        <w:ind w:firstLine="3080" w:firstLineChars="700"/>
        <w:rPr>
          <w:rFonts w:ascii="黑体" w:eastAsia="黑体"/>
          <w:sz w:val="44"/>
          <w:szCs w:val="44"/>
        </w:rPr>
      </w:pPr>
    </w:p>
    <w:p w14:paraId="484DC37B">
      <w:pPr>
        <w:pStyle w:val="9"/>
        <w:ind w:firstLine="0" w:firstLineChars="0"/>
        <w:rPr>
          <w:rFonts w:ascii="黑体" w:eastAsia="黑体"/>
          <w:sz w:val="32"/>
          <w:szCs w:val="32"/>
        </w:rPr>
      </w:pPr>
      <w:r>
        <w:rPr>
          <w:rFonts w:hint="eastAsia" w:ascii="黑体" w:eastAsia="黑体"/>
          <w:sz w:val="32"/>
          <w:szCs w:val="32"/>
        </w:rPr>
        <w:t>一、基本职能及主要工作</w:t>
      </w:r>
    </w:p>
    <w:p w14:paraId="68BEDAF7">
      <w:pPr>
        <w:rPr>
          <w:rFonts w:ascii="楷体" w:eastAsia="楷体"/>
          <w:sz w:val="32"/>
          <w:szCs w:val="32"/>
        </w:rPr>
      </w:pPr>
      <w:r>
        <w:rPr>
          <w:rFonts w:hint="eastAsia" w:ascii="楷体" w:eastAsia="楷体"/>
          <w:sz w:val="32"/>
          <w:szCs w:val="32"/>
        </w:rPr>
        <w:t>（一）部门职能简介</w:t>
      </w:r>
    </w:p>
    <w:p w14:paraId="48744A16">
      <w:pPr>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14:paraId="4282D72E">
      <w:pPr>
        <w:rPr>
          <w:rFonts w:ascii="黑体" w:eastAsia="黑体"/>
          <w:sz w:val="32"/>
          <w:szCs w:val="32"/>
        </w:rPr>
      </w:pPr>
      <w:r>
        <w:rPr>
          <w:rFonts w:hint="eastAsia" w:ascii="黑体" w:eastAsia="黑体"/>
          <w:sz w:val="32"/>
          <w:szCs w:val="32"/>
        </w:rPr>
        <w:t>二、部门预算单位构成</w:t>
      </w:r>
    </w:p>
    <w:p w14:paraId="5885CA1D">
      <w:pPr>
        <w:rPr>
          <w:rFonts w:ascii="黑体" w:eastAsia="黑体"/>
          <w:sz w:val="32"/>
          <w:szCs w:val="32"/>
        </w:rPr>
      </w:pPr>
      <w:r>
        <w:rPr>
          <w:rFonts w:hint="eastAsia" w:ascii="黑体" w:eastAsia="黑体"/>
          <w:sz w:val="32"/>
          <w:szCs w:val="32"/>
        </w:rPr>
        <w:t>三、收支预算情况说明</w:t>
      </w:r>
    </w:p>
    <w:p w14:paraId="7A1C20A2">
      <w:pPr>
        <w:rPr>
          <w:rFonts w:ascii="楷体" w:eastAsia="楷体"/>
          <w:sz w:val="32"/>
          <w:szCs w:val="32"/>
        </w:rPr>
      </w:pPr>
      <w:r>
        <w:rPr>
          <w:rFonts w:hint="eastAsia" w:ascii="楷体" w:eastAsia="楷体"/>
          <w:sz w:val="32"/>
          <w:szCs w:val="32"/>
        </w:rPr>
        <w:t>（一）收入预算情况</w:t>
      </w:r>
    </w:p>
    <w:p w14:paraId="64B22584">
      <w:pPr>
        <w:rPr>
          <w:rFonts w:ascii="楷体" w:eastAsia="楷体"/>
          <w:sz w:val="32"/>
          <w:szCs w:val="32"/>
        </w:rPr>
      </w:pPr>
      <w:r>
        <w:rPr>
          <w:rFonts w:hint="eastAsia" w:ascii="楷体" w:eastAsia="楷体"/>
          <w:sz w:val="32"/>
          <w:szCs w:val="32"/>
        </w:rPr>
        <w:t>（二）支出预算情况</w:t>
      </w:r>
    </w:p>
    <w:p w14:paraId="53C50E9E">
      <w:pPr>
        <w:rPr>
          <w:rFonts w:ascii="黑体" w:eastAsia="黑体"/>
          <w:sz w:val="32"/>
          <w:szCs w:val="32"/>
        </w:rPr>
      </w:pPr>
      <w:r>
        <w:rPr>
          <w:rFonts w:hint="eastAsia" w:ascii="黑体" w:eastAsia="黑体"/>
          <w:sz w:val="32"/>
          <w:szCs w:val="32"/>
        </w:rPr>
        <w:t>四、财政拨款收支预算情况说明</w:t>
      </w:r>
    </w:p>
    <w:p w14:paraId="30A8041F">
      <w:pPr>
        <w:rPr>
          <w:rFonts w:ascii="黑体" w:eastAsia="黑体"/>
          <w:sz w:val="32"/>
          <w:szCs w:val="32"/>
        </w:rPr>
      </w:pPr>
      <w:r>
        <w:rPr>
          <w:rFonts w:hint="eastAsia" w:ascii="黑体" w:eastAsia="黑体"/>
          <w:sz w:val="32"/>
          <w:szCs w:val="32"/>
        </w:rPr>
        <w:t>五、一般公共预算当年拨款情况说明</w:t>
      </w:r>
    </w:p>
    <w:p w14:paraId="6C45AADD">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41FE327F">
      <w:pPr>
        <w:rPr>
          <w:rFonts w:ascii="黑体" w:eastAsia="黑体"/>
          <w:sz w:val="32"/>
          <w:szCs w:val="32"/>
        </w:rPr>
      </w:pPr>
    </w:p>
    <w:p w14:paraId="4043B10B">
      <w:pPr>
        <w:widowControl/>
        <w:shd w:val="clear" w:color="auto" w:fill="FFFFFF"/>
        <w:spacing w:before="100" w:beforeAutospacing="1" w:after="100" w:afterAutospacing="1" w:line="290" w:lineRule="atLeast"/>
        <w:ind w:right="300"/>
        <w:jc w:val="left"/>
        <w:rPr>
          <w:rFonts w:ascii="??" w:hAnsi="??" w:cs="宋体"/>
          <w:kern w:val="0"/>
          <w:sz w:val="12"/>
          <w:szCs w:val="12"/>
        </w:rPr>
      </w:pPr>
    </w:p>
    <w:p w14:paraId="34F21BCA">
      <w:pPr>
        <w:pStyle w:val="9"/>
        <w:rPr>
          <w:rFonts w:ascii="黑体" w:eastAsia="黑体"/>
          <w:sz w:val="32"/>
          <w:szCs w:val="32"/>
        </w:rPr>
      </w:pPr>
      <w:r>
        <w:rPr>
          <w:rFonts w:hint="eastAsia" w:ascii="黑体" w:eastAsia="黑体"/>
          <w:sz w:val="32"/>
          <w:szCs w:val="32"/>
        </w:rPr>
        <w:t>一、基本职能及主要工作</w:t>
      </w:r>
    </w:p>
    <w:p w14:paraId="239BB2D0">
      <w:pPr>
        <w:ind w:firstLine="640" w:firstLineChars="200"/>
        <w:rPr>
          <w:rFonts w:ascii="楷体" w:eastAsia="楷体"/>
          <w:sz w:val="32"/>
          <w:szCs w:val="32"/>
        </w:rPr>
      </w:pPr>
      <w:r>
        <w:rPr>
          <w:rFonts w:hint="eastAsia" w:ascii="楷体" w:eastAsia="楷体"/>
          <w:sz w:val="32"/>
          <w:szCs w:val="32"/>
        </w:rPr>
        <w:t>（一）部门职能简介</w:t>
      </w:r>
    </w:p>
    <w:p w14:paraId="30E7B662">
      <w:pPr>
        <w:snapToGrid w:val="0"/>
        <w:spacing w:line="572" w:lineRule="exact"/>
        <w:ind w:firstLine="640" w:firstLineChars="200"/>
        <w:rPr>
          <w:rFonts w:hint="eastAsia" w:ascii="楷体" w:eastAsia="楷体"/>
          <w:sz w:val="32"/>
          <w:szCs w:val="32"/>
        </w:rPr>
      </w:pPr>
      <w:r>
        <w:rPr>
          <w:rFonts w:hint="default" w:ascii="Times New Roman" w:hAnsi="Times New Roman" w:eastAsia="仿宋_GB2312" w:cs="Times New Roman"/>
          <w:color w:val="auto"/>
          <w:kern w:val="2"/>
          <w:sz w:val="32"/>
          <w:szCs w:val="32"/>
          <w:u w:val="none"/>
          <w:lang w:val="en-US" w:eastAsia="zh-CN" w:bidi="ar-SA"/>
        </w:rPr>
        <w:t>根据根据阿编发［1997］3号文件规定，按照中办发（2016）3号文件要求，阿坝州州级退休干部驻马尔康休养所主要职责是负责居住在马尔康干休所退休干部及马尔康地区的州级机关离退休党员的管理服务工作；对居住在阿坝州内的离休干部、副厅级退休干部宏观管理；管理好马尔康地区老干部活动中心；贯彻落实宣传好党和国家关于老干部工作的政策。让老干部感到老有所管，老有所学，老有所医，老有所乐；让管辖范围内老同志满意，营造良好的社会敬老氛围。</w:t>
      </w:r>
    </w:p>
    <w:p w14:paraId="02617B3C">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14:paraId="60022B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2026年，马尔康干休所将按照州委老干部局统一部署，坚持全州老干工作“一盘棋”理念，以问题为导向、以实效为目标，补齐短板、提质增效，奋力开创老干部工作新局面。</w:t>
      </w:r>
    </w:p>
    <w:p w14:paraId="133DD9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公文楷体" w:eastAsia="方正公文楷体" w:cs="方正公文楷体"/>
          <w:sz w:val="32"/>
          <w:szCs w:val="32"/>
          <w:lang w:bidi="ar-SA"/>
        </w:rPr>
      </w:pPr>
      <w:r>
        <w:rPr>
          <w:rFonts w:hint="eastAsia" w:ascii="方正公文楷体" w:eastAsia="方正公文楷体" w:cs="方正公文楷体"/>
          <w:sz w:val="32"/>
          <w:szCs w:val="32"/>
          <w:lang w:val="en-US" w:eastAsia="zh-CN" w:bidi="ar-SA"/>
        </w:rPr>
        <w:t>一、</w:t>
      </w:r>
      <w:r>
        <w:rPr>
          <w:rFonts w:hint="eastAsia" w:ascii="方正公文楷体" w:eastAsia="方正公文楷体" w:cs="方正公文楷体"/>
          <w:sz w:val="32"/>
          <w:szCs w:val="32"/>
          <w:lang w:bidi="ar-SA"/>
        </w:rPr>
        <w:t>深化党建引领，提升组织建设水平</w:t>
      </w:r>
    </w:p>
    <w:p w14:paraId="022843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eastAsia="方正仿宋_GBK" w:cs="方正仿宋_GBK"/>
          <w:sz w:val="32"/>
          <w:szCs w:val="32"/>
          <w:lang w:bidi="ar-SA"/>
        </w:rPr>
      </w:pPr>
      <w:r>
        <w:rPr>
          <w:rFonts w:hint="eastAsia" w:ascii="方正仿宋_GBK" w:eastAsia="方正仿宋_GBK" w:cs="方正仿宋_GBK"/>
          <w:sz w:val="32"/>
          <w:szCs w:val="32"/>
          <w:lang w:eastAsia="zh-CN" w:bidi="ar-SA"/>
        </w:rPr>
        <w:t>（</w:t>
      </w:r>
      <w:r>
        <w:rPr>
          <w:rFonts w:hint="eastAsia" w:ascii="方正仿宋_GBK" w:eastAsia="方正仿宋_GBK" w:cs="方正仿宋_GBK"/>
          <w:sz w:val="32"/>
          <w:szCs w:val="32"/>
          <w:lang w:val="en-US" w:eastAsia="zh-CN" w:bidi="ar-SA"/>
        </w:rPr>
        <w:t>一</w:t>
      </w:r>
      <w:r>
        <w:rPr>
          <w:rFonts w:hint="eastAsia" w:ascii="方正仿宋_GBK" w:eastAsia="方正仿宋_GBK" w:cs="方正仿宋_GBK"/>
          <w:sz w:val="32"/>
          <w:szCs w:val="32"/>
          <w:lang w:eastAsia="zh-CN" w:bidi="ar-SA"/>
        </w:rPr>
        <w:t>）</w:t>
      </w:r>
      <w:r>
        <w:rPr>
          <w:rFonts w:hint="eastAsia" w:ascii="方正仿宋_GBK" w:eastAsia="方正仿宋_GBK" w:cs="方正仿宋_GBK"/>
          <w:sz w:val="32"/>
          <w:szCs w:val="32"/>
          <w:lang w:bidi="ar-SA"/>
        </w:rPr>
        <w:t>持续加强政治理论学习，以“三会一课”、主题党日为核心载体，结合线上学习平台，常态化推送党的创新理论和中央、省、州决策部署，推动理论学习入脑入心。</w:t>
      </w:r>
    </w:p>
    <w:p w14:paraId="1C45B4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eastAsia="方正仿宋_GBK" w:cs="方正仿宋_GBK"/>
          <w:sz w:val="32"/>
          <w:szCs w:val="32"/>
          <w:lang w:bidi="ar-SA"/>
        </w:rPr>
      </w:pPr>
      <w:r>
        <w:rPr>
          <w:rFonts w:hint="eastAsia" w:ascii="方正仿宋_GBK" w:eastAsia="方正仿宋_GBK" w:cs="方正仿宋_GBK"/>
          <w:sz w:val="32"/>
          <w:szCs w:val="32"/>
          <w:lang w:eastAsia="zh-CN" w:bidi="ar-SA"/>
        </w:rPr>
        <w:t>（</w:t>
      </w:r>
      <w:r>
        <w:rPr>
          <w:rFonts w:hint="eastAsia" w:ascii="方正仿宋_GBK" w:eastAsia="方正仿宋_GBK" w:cs="方正仿宋_GBK"/>
          <w:sz w:val="32"/>
          <w:szCs w:val="32"/>
          <w:lang w:val="en-US" w:eastAsia="zh-CN" w:bidi="ar-SA"/>
        </w:rPr>
        <w:t>二</w:t>
      </w:r>
      <w:r>
        <w:rPr>
          <w:rFonts w:hint="eastAsia" w:ascii="方正仿宋_GBK" w:eastAsia="方正仿宋_GBK" w:cs="方正仿宋_GBK"/>
          <w:sz w:val="32"/>
          <w:szCs w:val="32"/>
          <w:lang w:eastAsia="zh-CN" w:bidi="ar-SA"/>
        </w:rPr>
        <w:t>）</w:t>
      </w:r>
      <w:r>
        <w:rPr>
          <w:rFonts w:hint="eastAsia" w:ascii="方正仿宋_GBK" w:eastAsia="方正仿宋_GBK" w:cs="方正仿宋_GBK"/>
          <w:sz w:val="32"/>
          <w:szCs w:val="32"/>
          <w:lang w:bidi="ar-SA"/>
        </w:rPr>
        <w:t> 扎实推进党建联建落地见效，建立“组织联建、活动联办、资源联享、人才联用”长效机制；加快老党员工作室建设，完善党员教育管理体系，做好党员组织关系转接服务，建立老党员“一对一”帮扶机制，提升党组织规范化建设水平。</w:t>
      </w:r>
    </w:p>
    <w:p w14:paraId="73E0C1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eastAsia="方正仿宋_GBK" w:cs="方正仿宋_GBK"/>
          <w:sz w:val="32"/>
          <w:szCs w:val="32"/>
          <w:lang w:bidi="ar-SA"/>
        </w:rPr>
      </w:pPr>
      <w:r>
        <w:rPr>
          <w:rFonts w:hint="eastAsia" w:ascii="方正仿宋_GBK" w:eastAsia="方正仿宋_GBK" w:cs="方正仿宋_GBK"/>
          <w:sz w:val="32"/>
          <w:szCs w:val="32"/>
          <w:lang w:eastAsia="zh-CN" w:bidi="ar-SA"/>
        </w:rPr>
        <w:t>（</w:t>
      </w:r>
      <w:r>
        <w:rPr>
          <w:rFonts w:hint="eastAsia" w:ascii="方正仿宋_GBK" w:eastAsia="方正仿宋_GBK" w:cs="方正仿宋_GBK"/>
          <w:sz w:val="32"/>
          <w:szCs w:val="32"/>
          <w:lang w:val="en-US" w:eastAsia="zh-CN" w:bidi="ar-SA"/>
        </w:rPr>
        <w:t>三</w:t>
      </w:r>
      <w:r>
        <w:rPr>
          <w:rFonts w:hint="eastAsia" w:ascii="方正仿宋_GBK" w:eastAsia="方正仿宋_GBK" w:cs="方正仿宋_GBK"/>
          <w:sz w:val="32"/>
          <w:szCs w:val="32"/>
          <w:lang w:eastAsia="zh-CN" w:bidi="ar-SA"/>
        </w:rPr>
        <w:t>）</w:t>
      </w:r>
      <w:r>
        <w:rPr>
          <w:rFonts w:hint="eastAsia" w:ascii="方正仿宋_GBK" w:eastAsia="方正仿宋_GBK" w:cs="方正仿宋_GBK"/>
          <w:sz w:val="32"/>
          <w:szCs w:val="32"/>
          <w:lang w:bidi="ar-SA"/>
        </w:rPr>
        <w:t>创新党建活动形式，联合共建单位开展主题党日、志愿服务等活动不少于3次，搭建“银发先锋”平台，组织退休干部党员参与政策宣传、社区治理、关心下一代等活动不少于1次，充分发挥退休党员先锋模范作用。</w:t>
      </w:r>
    </w:p>
    <w:p w14:paraId="1C7186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公文楷体" w:eastAsia="方正公文楷体" w:cs="方正公文楷体"/>
          <w:sz w:val="32"/>
          <w:szCs w:val="32"/>
          <w:lang w:bidi="ar-SA"/>
        </w:rPr>
      </w:pPr>
      <w:r>
        <w:rPr>
          <w:rFonts w:hint="eastAsia" w:ascii="方正公文楷体" w:eastAsia="方正公文楷体" w:cs="方正公文楷体"/>
          <w:sz w:val="32"/>
          <w:szCs w:val="32"/>
          <w:lang w:val="en-US" w:eastAsia="zh-CN" w:bidi="ar-SA"/>
        </w:rPr>
        <w:t>二、</w:t>
      </w:r>
      <w:r>
        <w:rPr>
          <w:rFonts w:hint="eastAsia" w:ascii="方正公文楷体" w:eastAsia="方正公文楷体" w:cs="方正公文楷体"/>
          <w:sz w:val="32"/>
          <w:szCs w:val="32"/>
          <w:lang w:bidi="ar-SA"/>
        </w:rPr>
        <w:t>优化服务供给，增强老同志获得感</w:t>
      </w:r>
    </w:p>
    <w:p w14:paraId="0FAB98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eastAsia="方正仿宋_GBK" w:cs="方正仿宋_GBK"/>
          <w:sz w:val="32"/>
          <w:szCs w:val="32"/>
          <w:lang w:bidi="ar-SA"/>
        </w:rPr>
      </w:pPr>
      <w:r>
        <w:rPr>
          <w:rFonts w:hint="eastAsia" w:ascii="方正仿宋_GBK" w:eastAsia="方正仿宋_GBK" w:cs="方正仿宋_GBK"/>
          <w:sz w:val="32"/>
          <w:szCs w:val="32"/>
          <w:lang w:eastAsia="zh-CN" w:bidi="ar-SA"/>
        </w:rPr>
        <w:t>（</w:t>
      </w:r>
      <w:r>
        <w:rPr>
          <w:rFonts w:hint="eastAsia" w:ascii="方正仿宋_GBK" w:eastAsia="方正仿宋_GBK" w:cs="方正仿宋_GBK"/>
          <w:sz w:val="32"/>
          <w:szCs w:val="32"/>
          <w:lang w:val="en-US" w:eastAsia="zh-CN" w:bidi="ar-SA"/>
        </w:rPr>
        <w:t>一</w:t>
      </w:r>
      <w:r>
        <w:rPr>
          <w:rFonts w:hint="eastAsia" w:ascii="方正仿宋_GBK" w:eastAsia="方正仿宋_GBK" w:cs="方正仿宋_GBK"/>
          <w:sz w:val="32"/>
          <w:szCs w:val="32"/>
          <w:lang w:eastAsia="zh-CN" w:bidi="ar-SA"/>
        </w:rPr>
        <w:t>）</w:t>
      </w:r>
      <w:r>
        <w:rPr>
          <w:rFonts w:hint="eastAsia" w:ascii="方正仿宋_GBK" w:eastAsia="方正仿宋_GBK" w:cs="方正仿宋_GBK"/>
          <w:sz w:val="32"/>
          <w:szCs w:val="32"/>
          <w:lang w:bidi="ar-SA"/>
        </w:rPr>
        <w:t>持续深化“五大惠老行动”，拓展与医疗机构的合作领域，新增慢性病管理、康复指导等服务项目，每半年开展1次集中义诊和健康讲座，为行动不便老干部提供上门体检、送药服务；升级健康角设施，丰富健康科普资料，完善健康档案动态管理机制。</w:t>
      </w:r>
    </w:p>
    <w:p w14:paraId="7A141E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eastAsia="方正仿宋_GBK" w:cs="方正仿宋_GBK"/>
          <w:sz w:val="32"/>
          <w:szCs w:val="32"/>
          <w:lang w:bidi="ar-SA"/>
        </w:rPr>
      </w:pPr>
      <w:r>
        <w:rPr>
          <w:rFonts w:hint="eastAsia" w:ascii="方正仿宋_GBK" w:eastAsia="方正仿宋_GBK" w:cs="方正仿宋_GBK"/>
          <w:sz w:val="32"/>
          <w:szCs w:val="32"/>
          <w:lang w:eastAsia="zh-CN" w:bidi="ar-SA"/>
        </w:rPr>
        <w:t>（</w:t>
      </w:r>
      <w:r>
        <w:rPr>
          <w:rFonts w:hint="eastAsia" w:ascii="方正仿宋_GBK" w:eastAsia="方正仿宋_GBK" w:cs="方正仿宋_GBK"/>
          <w:sz w:val="32"/>
          <w:szCs w:val="32"/>
          <w:lang w:val="en-US" w:eastAsia="zh-CN" w:bidi="ar-SA"/>
        </w:rPr>
        <w:t>二</w:t>
      </w:r>
      <w:r>
        <w:rPr>
          <w:rFonts w:hint="eastAsia" w:ascii="方正仿宋_GBK" w:eastAsia="方正仿宋_GBK" w:cs="方正仿宋_GBK"/>
          <w:sz w:val="32"/>
          <w:szCs w:val="32"/>
          <w:lang w:eastAsia="zh-CN" w:bidi="ar-SA"/>
        </w:rPr>
        <w:t>）</w:t>
      </w:r>
      <w:r>
        <w:rPr>
          <w:rFonts w:hint="eastAsia" w:ascii="方正仿宋_GBK" w:eastAsia="方正仿宋_GBK" w:cs="方正仿宋_GBK"/>
          <w:sz w:val="32"/>
          <w:szCs w:val="32"/>
          <w:lang w:bidi="ar-SA"/>
        </w:rPr>
        <w:t>细化“一人一策”服务清单，针对高龄、失能、独居老干部的个性化需求；每季度开展1次需求调研，精准对接服务诉求。</w:t>
      </w:r>
    </w:p>
    <w:p w14:paraId="2CCE6D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eastAsia="方正仿宋_GBK" w:cs="方正仿宋_GBK"/>
          <w:sz w:val="32"/>
          <w:szCs w:val="32"/>
          <w:lang w:bidi="ar-SA"/>
        </w:rPr>
      </w:pPr>
      <w:r>
        <w:rPr>
          <w:rFonts w:hint="eastAsia" w:ascii="方正仿宋_GBK" w:eastAsia="方正仿宋_GBK" w:cs="方正仿宋_GBK"/>
          <w:sz w:val="32"/>
          <w:szCs w:val="32"/>
          <w:lang w:eastAsia="zh-CN" w:bidi="ar-SA"/>
        </w:rPr>
        <w:t>（</w:t>
      </w:r>
      <w:r>
        <w:rPr>
          <w:rFonts w:hint="eastAsia" w:ascii="方正仿宋_GBK" w:eastAsia="方正仿宋_GBK" w:cs="方正仿宋_GBK"/>
          <w:sz w:val="32"/>
          <w:szCs w:val="32"/>
          <w:lang w:val="en-US" w:eastAsia="zh-CN" w:bidi="ar-SA"/>
        </w:rPr>
        <w:t>三</w:t>
      </w:r>
      <w:r>
        <w:rPr>
          <w:rFonts w:hint="eastAsia" w:ascii="方正仿宋_GBK" w:eastAsia="方正仿宋_GBK" w:cs="方正仿宋_GBK"/>
          <w:sz w:val="32"/>
          <w:szCs w:val="32"/>
          <w:lang w:eastAsia="zh-CN" w:bidi="ar-SA"/>
        </w:rPr>
        <w:t>）</w:t>
      </w:r>
      <w:r>
        <w:rPr>
          <w:rFonts w:hint="eastAsia" w:ascii="方正仿宋_GBK" w:eastAsia="方正仿宋_GBK" w:cs="方正仿宋_GBK"/>
          <w:sz w:val="32"/>
          <w:szCs w:val="32"/>
          <w:lang w:bidi="ar-SA"/>
        </w:rPr>
        <w:t>丰富精神文化生活，启用舞蹈室，组建退休干部党员文艺宣传队伍；在建党节、建军节、国庆节、重阳节等重要节点，为浓厚节日氛围，体现组织关爱，全年开展集中学习、慰问走访、文艺汇演等活动不少于6次，。</w:t>
      </w:r>
    </w:p>
    <w:p w14:paraId="20EB4E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eastAsia="方正仿宋_GBK" w:cs="方正仿宋_GBK"/>
          <w:sz w:val="32"/>
          <w:szCs w:val="32"/>
          <w:lang w:bidi="ar-SA"/>
        </w:rPr>
      </w:pPr>
      <w:r>
        <w:rPr>
          <w:rFonts w:hint="eastAsia" w:ascii="方正仿宋_GBK" w:eastAsia="方正仿宋_GBK" w:cs="方正仿宋_GBK"/>
          <w:sz w:val="32"/>
          <w:szCs w:val="32"/>
          <w:lang w:eastAsia="zh-CN" w:bidi="ar-SA"/>
        </w:rPr>
        <w:t>（</w:t>
      </w:r>
      <w:r>
        <w:rPr>
          <w:rFonts w:hint="eastAsia" w:ascii="方正仿宋_GBK" w:eastAsia="方正仿宋_GBK" w:cs="方正仿宋_GBK"/>
          <w:sz w:val="32"/>
          <w:szCs w:val="32"/>
          <w:lang w:val="en-US" w:eastAsia="zh-CN" w:bidi="ar-SA"/>
        </w:rPr>
        <w:t>四</w:t>
      </w:r>
      <w:r>
        <w:rPr>
          <w:rFonts w:hint="eastAsia" w:ascii="方正仿宋_GBK" w:eastAsia="方正仿宋_GBK" w:cs="方正仿宋_GBK"/>
          <w:sz w:val="32"/>
          <w:szCs w:val="32"/>
          <w:lang w:eastAsia="zh-CN" w:bidi="ar-SA"/>
        </w:rPr>
        <w:t>）</w:t>
      </w:r>
      <w:r>
        <w:rPr>
          <w:rFonts w:hint="eastAsia" w:ascii="方正仿宋_GBK" w:eastAsia="方正仿宋_GBK" w:cs="方正仿宋_GBK"/>
          <w:sz w:val="32"/>
          <w:szCs w:val="32"/>
          <w:lang w:bidi="ar-SA"/>
        </w:rPr>
        <w:t>筑牢安全稳定防线，常态化开展院内消防、用电、设施设备等安全隐患排查整治，每半开展1次安全演练；加强对老同志的安全宣传教育，提升自我防护意识；敏感时期及重要会议期间，加大走访排查力度，及时掌握老同志思想动态，确保队伍稳定。</w:t>
      </w:r>
    </w:p>
    <w:p w14:paraId="21E0ED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公文楷体" w:eastAsia="方正公文楷体" w:cs="方正公文楷体"/>
          <w:sz w:val="32"/>
          <w:szCs w:val="32"/>
          <w:lang w:bidi="ar-SA"/>
        </w:rPr>
      </w:pPr>
      <w:r>
        <w:rPr>
          <w:rFonts w:hint="eastAsia" w:ascii="方正公文楷体" w:eastAsia="方正公文楷体" w:cs="方正公文楷体"/>
          <w:sz w:val="32"/>
          <w:szCs w:val="32"/>
          <w:lang w:val="en-US" w:eastAsia="zh-CN" w:bidi="ar-SA"/>
        </w:rPr>
        <w:t>三、</w:t>
      </w:r>
      <w:r>
        <w:rPr>
          <w:rFonts w:hint="eastAsia" w:ascii="方正公文楷体" w:eastAsia="方正公文楷体" w:cs="方正公文楷体"/>
          <w:sz w:val="32"/>
          <w:szCs w:val="32"/>
          <w:lang w:bidi="ar-SA"/>
        </w:rPr>
        <w:t>强化队伍建设，激发干事创业活力</w:t>
      </w:r>
    </w:p>
    <w:p w14:paraId="2D0D1E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eastAsia="方正仿宋_GBK" w:cs="方正仿宋_GBK"/>
          <w:sz w:val="32"/>
          <w:szCs w:val="32"/>
          <w:lang w:bidi="ar-SA"/>
        </w:rPr>
      </w:pPr>
      <w:r>
        <w:rPr>
          <w:rFonts w:hint="eastAsia" w:ascii="方正仿宋_GBK" w:eastAsia="方正仿宋_GBK" w:cs="方正仿宋_GBK"/>
          <w:sz w:val="32"/>
          <w:szCs w:val="32"/>
          <w:lang w:eastAsia="zh-CN" w:bidi="ar-SA"/>
        </w:rPr>
        <w:t>（</w:t>
      </w:r>
      <w:r>
        <w:rPr>
          <w:rFonts w:hint="eastAsia" w:ascii="方正仿宋_GBK" w:eastAsia="方正仿宋_GBK" w:cs="方正仿宋_GBK"/>
          <w:sz w:val="32"/>
          <w:szCs w:val="32"/>
          <w:lang w:val="en-US" w:eastAsia="zh-CN" w:bidi="ar-SA"/>
        </w:rPr>
        <w:t>一</w:t>
      </w:r>
      <w:r>
        <w:rPr>
          <w:rFonts w:hint="eastAsia" w:ascii="方正仿宋_GBK" w:eastAsia="方正仿宋_GBK" w:cs="方正仿宋_GBK"/>
          <w:sz w:val="32"/>
          <w:szCs w:val="32"/>
          <w:lang w:eastAsia="zh-CN" w:bidi="ar-SA"/>
        </w:rPr>
        <w:t>）</w:t>
      </w:r>
      <w:r>
        <w:rPr>
          <w:rFonts w:hint="eastAsia" w:ascii="方正仿宋_GBK" w:eastAsia="方正仿宋_GBK" w:cs="方正仿宋_GBK"/>
          <w:sz w:val="32"/>
          <w:szCs w:val="32"/>
          <w:lang w:bidi="ar-SA"/>
        </w:rPr>
        <w:t>优化队伍结构，积极向上级争取人员配置补充，补齐班子短板，科学调整岗位设置，明确岗位职责分工，提升工作运转效率。</w:t>
      </w:r>
    </w:p>
    <w:p w14:paraId="2246C3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eastAsia="方正仿宋_GBK" w:cs="方正仿宋_GBK"/>
          <w:sz w:val="32"/>
          <w:szCs w:val="32"/>
          <w:lang w:bidi="ar-SA"/>
        </w:rPr>
      </w:pPr>
      <w:r>
        <w:rPr>
          <w:rFonts w:hint="eastAsia" w:ascii="方正仿宋_GBK" w:eastAsia="方正仿宋_GBK" w:cs="方正仿宋_GBK"/>
          <w:sz w:val="32"/>
          <w:szCs w:val="32"/>
          <w:lang w:eastAsia="zh-CN" w:bidi="ar-SA"/>
        </w:rPr>
        <w:t>（</w:t>
      </w:r>
      <w:r>
        <w:rPr>
          <w:rFonts w:hint="eastAsia" w:ascii="方正仿宋_GBK" w:eastAsia="方正仿宋_GBK" w:cs="方正仿宋_GBK"/>
          <w:sz w:val="32"/>
          <w:szCs w:val="32"/>
          <w:lang w:val="en-US" w:eastAsia="zh-CN" w:bidi="ar-SA"/>
        </w:rPr>
        <w:t>二</w:t>
      </w:r>
      <w:r>
        <w:rPr>
          <w:rFonts w:hint="eastAsia" w:ascii="方正仿宋_GBK" w:eastAsia="方正仿宋_GBK" w:cs="方正仿宋_GBK"/>
          <w:sz w:val="32"/>
          <w:szCs w:val="32"/>
          <w:lang w:eastAsia="zh-CN" w:bidi="ar-SA"/>
        </w:rPr>
        <w:t>）</w:t>
      </w:r>
      <w:r>
        <w:rPr>
          <w:rFonts w:hint="eastAsia" w:ascii="方正仿宋_GBK" w:eastAsia="方正仿宋_GBK" w:cs="方正仿宋_GBK"/>
          <w:sz w:val="32"/>
          <w:szCs w:val="32"/>
          <w:lang w:bidi="ar-SA"/>
        </w:rPr>
        <w:t>健全激励机制，建立完善工作人员晋升、考核、奖励制度，树立鲜明工作导向，充分调动干部职工工作积极性；每半年开展1次廉政风险排查，常态化开展警示教育，筑牢拒腐防变思想防线。</w:t>
      </w:r>
    </w:p>
    <w:p w14:paraId="25372C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eastAsia="方正仿宋_GBK" w:cs="方正仿宋_GBK"/>
          <w:sz w:val="32"/>
          <w:szCs w:val="32"/>
          <w:lang w:bidi="ar-SA"/>
        </w:rPr>
      </w:pPr>
      <w:r>
        <w:rPr>
          <w:rFonts w:hint="eastAsia" w:ascii="方正仿宋_GBK" w:eastAsia="方正仿宋_GBK" w:cs="方正仿宋_GBK"/>
          <w:sz w:val="32"/>
          <w:szCs w:val="32"/>
          <w:lang w:eastAsia="zh-CN" w:bidi="ar-SA"/>
        </w:rPr>
        <w:t>（</w:t>
      </w:r>
      <w:r>
        <w:rPr>
          <w:rFonts w:hint="eastAsia" w:ascii="方正仿宋_GBK" w:eastAsia="方正仿宋_GBK" w:cs="方正仿宋_GBK"/>
          <w:sz w:val="32"/>
          <w:szCs w:val="32"/>
          <w:lang w:val="en-US" w:eastAsia="zh-CN" w:bidi="ar-SA"/>
        </w:rPr>
        <w:t>三</w:t>
      </w:r>
      <w:r>
        <w:rPr>
          <w:rFonts w:hint="eastAsia" w:ascii="方正仿宋_GBK" w:eastAsia="方正仿宋_GBK" w:cs="方正仿宋_GBK"/>
          <w:sz w:val="32"/>
          <w:szCs w:val="32"/>
          <w:lang w:eastAsia="zh-CN" w:bidi="ar-SA"/>
        </w:rPr>
        <w:t>）</w:t>
      </w:r>
      <w:r>
        <w:rPr>
          <w:rFonts w:hint="eastAsia" w:ascii="方正仿宋_GBK" w:eastAsia="方正仿宋_GBK" w:cs="方正仿宋_GBK"/>
          <w:sz w:val="32"/>
          <w:szCs w:val="32"/>
          <w:lang w:bidi="ar-SA"/>
        </w:rPr>
        <w:t>提升专业能力，组织干部职工开展老干部工作政策、服务技能、应急处置等专题培训不少于4次，安排赴先进干休所考察学习1-2次，不断提升业务素养和服务水平。</w:t>
      </w:r>
    </w:p>
    <w:p w14:paraId="624F96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eastAsia="方正仿宋_GBK" w:cs="方正仿宋_GBK"/>
          <w:sz w:val="32"/>
          <w:szCs w:val="32"/>
          <w:lang w:bidi="ar-SA"/>
        </w:rPr>
      </w:pPr>
      <w:r>
        <w:rPr>
          <w:rFonts w:hint="eastAsia" w:ascii="方正仿宋_GBK" w:eastAsia="方正仿宋_GBK" w:cs="方正仿宋_GBK"/>
          <w:sz w:val="32"/>
          <w:szCs w:val="32"/>
          <w:lang w:eastAsia="zh-CN" w:bidi="ar-SA"/>
        </w:rPr>
        <w:t>（</w:t>
      </w:r>
      <w:r>
        <w:rPr>
          <w:rFonts w:hint="eastAsia" w:ascii="方正仿宋_GBK" w:eastAsia="方正仿宋_GBK" w:cs="方正仿宋_GBK"/>
          <w:sz w:val="32"/>
          <w:szCs w:val="32"/>
          <w:lang w:val="en-US" w:eastAsia="zh-CN" w:bidi="ar-SA"/>
        </w:rPr>
        <w:t>四</w:t>
      </w:r>
      <w:r>
        <w:rPr>
          <w:rFonts w:hint="eastAsia" w:ascii="方正仿宋_GBK" w:eastAsia="方正仿宋_GBK" w:cs="方正仿宋_GBK"/>
          <w:sz w:val="32"/>
          <w:szCs w:val="32"/>
          <w:lang w:eastAsia="zh-CN" w:bidi="ar-SA"/>
        </w:rPr>
        <w:t>）</w:t>
      </w:r>
      <w:r>
        <w:rPr>
          <w:rFonts w:hint="eastAsia" w:ascii="方正仿宋_GBK" w:eastAsia="方正仿宋_GBK" w:cs="方正仿宋_GBK"/>
          <w:sz w:val="32"/>
          <w:szCs w:val="32"/>
          <w:lang w:bidi="ar-SA"/>
        </w:rPr>
        <w:t>加强关怀保障，发挥工会职能作用，开展团建活动、心理健康辅导等，增强队伍凝聚力和归属感，构建团结协作、务实担当的工作氛围。</w:t>
      </w:r>
    </w:p>
    <w:p w14:paraId="1D832DC4">
      <w:pPr>
        <w:pStyle w:val="9"/>
        <w:numPr>
          <w:ilvl w:val="0"/>
          <w:numId w:val="1"/>
        </w:numPr>
        <w:ind w:firstLineChars="0"/>
        <w:rPr>
          <w:rFonts w:ascii="黑体" w:eastAsia="黑体"/>
          <w:sz w:val="32"/>
          <w:szCs w:val="32"/>
        </w:rPr>
      </w:pPr>
      <w:r>
        <w:rPr>
          <w:rFonts w:hint="eastAsia" w:ascii="黑体" w:eastAsia="黑体"/>
          <w:sz w:val="32"/>
          <w:szCs w:val="32"/>
        </w:rPr>
        <w:t>部门预算单位构成</w:t>
      </w:r>
    </w:p>
    <w:p w14:paraId="557AA8FF">
      <w:pPr>
        <w:snapToGrid w:val="0"/>
        <w:spacing w:line="572" w:lineRule="exact"/>
        <w:ind w:firstLine="640" w:firstLineChars="200"/>
        <w:rPr>
          <w:rFonts w:hint="default" w:ascii="Times New Roman" w:hAnsi="Times New Roman" w:cs="Times New Roman"/>
          <w:color w:val="auto"/>
          <w:u w:val="none"/>
        </w:rPr>
      </w:pPr>
      <w:r>
        <w:rPr>
          <w:rFonts w:hint="default" w:ascii="Times New Roman" w:hAnsi="Times New Roman" w:eastAsia="仿宋_GB2312" w:cs="Times New Roman"/>
          <w:color w:val="auto"/>
          <w:kern w:val="2"/>
          <w:sz w:val="32"/>
          <w:szCs w:val="32"/>
          <w:u w:val="none"/>
          <w:lang w:val="en-US" w:eastAsia="zh-CN" w:bidi="ar-SA"/>
        </w:rPr>
        <w:t>马尔康干休所属州本级二级预算单位，单位类型为公益一类事业单位，决算编报类型为单户表，按照政府会计准则制度填报决算数据。执行行政财会制度，阿坝州委老干部局是上级主管单位，无下属二级预算单。纳入本套决算编制范围的独立核算单位共1个，与上年数量一致。</w:t>
      </w:r>
    </w:p>
    <w:p w14:paraId="64AE9260">
      <w:pPr>
        <w:pStyle w:val="9"/>
        <w:ind w:left="720" w:firstLine="0" w:firstLineChars="0"/>
        <w:rPr>
          <w:rFonts w:ascii="黑体" w:eastAsia="黑体"/>
          <w:sz w:val="32"/>
          <w:szCs w:val="32"/>
        </w:rPr>
      </w:pPr>
      <w:r>
        <w:rPr>
          <w:rFonts w:hint="eastAsia" w:ascii="黑体" w:eastAsia="黑体"/>
          <w:sz w:val="32"/>
          <w:szCs w:val="32"/>
        </w:rPr>
        <w:t>三、收支预算情况说明</w:t>
      </w:r>
    </w:p>
    <w:p w14:paraId="15F77D9B">
      <w:pPr>
        <w:ind w:firstLine="640" w:firstLineChars="200"/>
        <w:rPr>
          <w:rFonts w:ascii="楷体" w:eastAsia="楷体"/>
          <w:sz w:val="32"/>
          <w:szCs w:val="32"/>
        </w:rPr>
      </w:pPr>
      <w:r>
        <w:rPr>
          <w:rFonts w:hint="eastAsia" w:ascii="楷体" w:eastAsia="楷体"/>
          <w:sz w:val="32"/>
          <w:szCs w:val="32"/>
        </w:rPr>
        <w:t>（一）收入预算情况</w:t>
      </w:r>
      <w:r>
        <w:rPr>
          <w:rFonts w:hint="eastAsia" w:ascii="楷体" w:eastAsia="楷体"/>
          <w:sz w:val="32"/>
          <w:szCs w:val="32"/>
          <w:lang w:val="en-US" w:eastAsia="zh-CN"/>
        </w:rPr>
        <w:t>。</w:t>
      </w:r>
      <w:r>
        <w:rPr>
          <w:rFonts w:hint="default" w:ascii="Times New Roman" w:hAnsi="Times New Roman" w:eastAsia="仿宋_GB2312" w:cs="Times New Roman"/>
          <w:color w:val="auto"/>
          <w:kern w:val="2"/>
          <w:sz w:val="32"/>
          <w:szCs w:val="32"/>
          <w:u w:val="none"/>
          <w:lang w:val="en-US" w:eastAsia="zh-CN" w:bidi="ar-SA"/>
        </w:rPr>
        <w:t>2026 年部门收入预算总计 263.34 万元，全部为一般公共预算拨款收入，无政府性基金预算拨款收入、国有资本经营预算拨款收入、事业收入、事业单位经营收入及其他收入，也无上年结转收入。</w:t>
      </w:r>
    </w:p>
    <w:p w14:paraId="0E27A089">
      <w:pPr>
        <w:ind w:firstLine="640" w:firstLineChars="200"/>
        <w:rPr>
          <w:rFonts w:hint="eastAsia" w:ascii="Times New Roman" w:hAnsi="Times New Roman" w:eastAsia="仿宋_GB2312" w:cs="Times New Roman"/>
          <w:color w:val="auto"/>
          <w:kern w:val="2"/>
          <w:sz w:val="32"/>
          <w:szCs w:val="32"/>
          <w:u w:val="none"/>
          <w:lang w:val="en-US" w:eastAsia="zh-CN" w:bidi="ar-SA"/>
        </w:rPr>
      </w:pPr>
      <w:r>
        <w:rPr>
          <w:rFonts w:hint="eastAsia" w:ascii="楷体" w:eastAsia="楷体" w:cs="仿宋_GB2312"/>
          <w:sz w:val="32"/>
          <w:szCs w:val="32"/>
        </w:rPr>
        <w:t>（二）支出预算情况</w:t>
      </w:r>
      <w:r>
        <w:rPr>
          <w:rFonts w:hint="eastAsia" w:ascii="楷体" w:eastAsia="楷体" w:cs="仿宋_GB2312"/>
          <w:sz w:val="32"/>
          <w:szCs w:val="32"/>
          <w:lang w:eastAsia="zh-CN"/>
        </w:rPr>
        <w:t>。</w:t>
      </w:r>
      <w:r>
        <w:rPr>
          <w:rFonts w:hint="eastAsia" w:ascii="楷体" w:eastAsia="楷体" w:cs="仿宋_GB2312"/>
          <w:sz w:val="32"/>
          <w:szCs w:val="32"/>
          <w:lang w:val="en-US" w:eastAsia="zh-CN"/>
        </w:rPr>
        <w:t>一是按功能科目分类。</w:t>
      </w:r>
      <w:r>
        <w:rPr>
          <w:rFonts w:hint="eastAsia" w:ascii="Times New Roman" w:hAnsi="Times New Roman" w:eastAsia="仿宋_GB2312" w:cs="Times New Roman"/>
          <w:b/>
          <w:bCs/>
          <w:color w:val="auto"/>
          <w:kern w:val="2"/>
          <w:sz w:val="32"/>
          <w:szCs w:val="32"/>
          <w:u w:val="none"/>
          <w:lang w:val="en-US" w:eastAsia="zh-CN" w:bidi="ar-SA"/>
        </w:rPr>
        <w:t>一般公共服务支出：</w:t>
      </w:r>
      <w:r>
        <w:rPr>
          <w:rFonts w:hint="eastAsia" w:ascii="Times New Roman" w:hAnsi="Times New Roman" w:eastAsia="仿宋_GB2312" w:cs="Times New Roman"/>
          <w:color w:val="auto"/>
          <w:kern w:val="2"/>
          <w:sz w:val="32"/>
          <w:szCs w:val="32"/>
          <w:u w:val="none"/>
          <w:lang w:val="en-US" w:eastAsia="zh-CN" w:bidi="ar-SA"/>
        </w:rPr>
        <w:t>212.47 万元，占总支出的 80.7%，主要用于行政运行、一般行政管理事务等，保障干休所日常管理和各项业务活动开展。其中，行政运行支出 194.47 万元，主要涵盖人员工资福利、日常公用经费等；一般行政管理事务支出 18.00 万元，具体用于离退休机构运营及维修维护 4.00 万元、离退休党员 \ 干部活动费 14.00 万元。</w:t>
      </w:r>
      <w:r>
        <w:rPr>
          <w:rFonts w:hint="eastAsia" w:ascii="Times New Roman" w:hAnsi="Times New Roman" w:eastAsia="仿宋_GB2312" w:cs="Times New Roman"/>
          <w:b/>
          <w:bCs/>
          <w:color w:val="auto"/>
          <w:kern w:val="2"/>
          <w:sz w:val="32"/>
          <w:szCs w:val="32"/>
          <w:u w:val="none"/>
          <w:lang w:val="en-US" w:eastAsia="zh-CN" w:bidi="ar-SA"/>
        </w:rPr>
        <w:t>社会保障和就业支出：</w:t>
      </w:r>
      <w:r>
        <w:rPr>
          <w:rFonts w:hint="eastAsia" w:ascii="Times New Roman" w:hAnsi="Times New Roman" w:eastAsia="仿宋_GB2312" w:cs="Times New Roman"/>
          <w:color w:val="auto"/>
          <w:kern w:val="2"/>
          <w:sz w:val="32"/>
          <w:szCs w:val="32"/>
          <w:u w:val="none"/>
          <w:lang w:val="en-US" w:eastAsia="zh-CN" w:bidi="ar-SA"/>
        </w:rPr>
        <w:t>27.03 万元，占总支出的 10.26%，主要包括机关事业单位基本养老保险缴费支出 18.02 万元、机关事业单位职业年金缴费支出 9.01 万元，保障干部职工社会保障权益。</w:t>
      </w:r>
      <w:r>
        <w:rPr>
          <w:rFonts w:hint="eastAsia" w:ascii="Times New Roman" w:hAnsi="Times New Roman" w:eastAsia="仿宋_GB2312" w:cs="Times New Roman"/>
          <w:b/>
          <w:bCs/>
          <w:color w:val="auto"/>
          <w:kern w:val="2"/>
          <w:sz w:val="32"/>
          <w:szCs w:val="32"/>
          <w:u w:val="none"/>
          <w:lang w:val="en-US" w:eastAsia="zh-CN" w:bidi="ar-SA"/>
        </w:rPr>
        <w:t>卫生健康支出：</w:t>
      </w:r>
      <w:r>
        <w:rPr>
          <w:rFonts w:hint="eastAsia" w:ascii="Times New Roman" w:hAnsi="Times New Roman" w:eastAsia="仿宋_GB2312" w:cs="Times New Roman"/>
          <w:color w:val="auto"/>
          <w:kern w:val="2"/>
          <w:sz w:val="32"/>
          <w:szCs w:val="32"/>
          <w:u w:val="none"/>
          <w:lang w:val="en-US" w:eastAsia="zh-CN" w:bidi="ar-SA"/>
        </w:rPr>
        <w:t>10.70 万元，占总支出的 4.06%，包含行政单位医疗 7.88 万元、公务员医疗补助 2.81 万元，保障干部职工医疗需求。</w:t>
      </w:r>
      <w:r>
        <w:rPr>
          <w:rFonts w:hint="eastAsia" w:ascii="Times New Roman" w:hAnsi="Times New Roman" w:eastAsia="仿宋_GB2312" w:cs="Times New Roman"/>
          <w:b/>
          <w:bCs/>
          <w:color w:val="auto"/>
          <w:kern w:val="2"/>
          <w:sz w:val="32"/>
          <w:szCs w:val="32"/>
          <w:u w:val="none"/>
          <w:lang w:val="en-US" w:eastAsia="zh-CN" w:bidi="ar-SA"/>
        </w:rPr>
        <w:t>住房保障支出：</w:t>
      </w:r>
      <w:r>
        <w:rPr>
          <w:rFonts w:hint="eastAsia" w:ascii="Times New Roman" w:hAnsi="Times New Roman" w:eastAsia="仿宋_GB2312" w:cs="Times New Roman"/>
          <w:color w:val="auto"/>
          <w:kern w:val="2"/>
          <w:sz w:val="32"/>
          <w:szCs w:val="32"/>
          <w:u w:val="none"/>
          <w:lang w:val="en-US" w:eastAsia="zh-CN" w:bidi="ar-SA"/>
        </w:rPr>
        <w:t>13.15 万元，占总支出的 4.99%，为住房公积金支出，保障干部职工住房需求。二是按支出经济分类。</w:t>
      </w:r>
      <w:r>
        <w:rPr>
          <w:rFonts w:hint="eastAsia" w:ascii="Times New Roman" w:hAnsi="Times New Roman" w:eastAsia="仿宋_GB2312" w:cs="Times New Roman"/>
          <w:b/>
          <w:bCs/>
          <w:color w:val="auto"/>
          <w:kern w:val="2"/>
          <w:sz w:val="32"/>
          <w:szCs w:val="32"/>
          <w:u w:val="none"/>
          <w:lang w:val="en-US" w:eastAsia="zh-CN" w:bidi="ar-SA"/>
        </w:rPr>
        <w:t>基本支出</w:t>
      </w:r>
      <w:r>
        <w:rPr>
          <w:rFonts w:hint="eastAsia" w:ascii="Times New Roman" w:hAnsi="Times New Roman" w:eastAsia="仿宋_GB2312" w:cs="Times New Roman"/>
          <w:color w:val="auto"/>
          <w:kern w:val="2"/>
          <w:sz w:val="32"/>
          <w:szCs w:val="32"/>
          <w:u w:val="none"/>
          <w:lang w:val="en-US" w:eastAsia="zh-CN" w:bidi="ar-SA"/>
        </w:rPr>
        <w:t xml:space="preserve"> 245.34 万元，</w:t>
      </w:r>
      <w:r>
        <w:rPr>
          <w:rFonts w:hint="eastAsia" w:ascii="Times New Roman" w:hAnsi="Times New Roman" w:eastAsia="仿宋_GB2312" w:cs="Times New Roman"/>
          <w:b/>
          <w:bCs/>
          <w:color w:val="auto"/>
          <w:kern w:val="2"/>
          <w:sz w:val="32"/>
          <w:szCs w:val="32"/>
          <w:u w:val="none"/>
          <w:lang w:val="en-US" w:eastAsia="zh-CN" w:bidi="ar-SA"/>
        </w:rPr>
        <w:t>项目支出</w:t>
      </w:r>
      <w:r>
        <w:rPr>
          <w:rFonts w:hint="eastAsia" w:ascii="Times New Roman" w:hAnsi="Times New Roman" w:eastAsia="仿宋_GB2312" w:cs="Times New Roman"/>
          <w:color w:val="auto"/>
          <w:kern w:val="2"/>
          <w:sz w:val="32"/>
          <w:szCs w:val="32"/>
          <w:u w:val="none"/>
          <w:lang w:val="en-US" w:eastAsia="zh-CN" w:bidi="ar-SA"/>
        </w:rPr>
        <w:t xml:space="preserve"> 18.00 万元。基本支出主要用于人员经费和公用经费，保障单位日常运转和人员基本待遇；项目支出主要用于离退休机构运营维护和离退休党员干部活动等专项工作。</w:t>
      </w:r>
    </w:p>
    <w:p w14:paraId="56968161">
      <w:pPr>
        <w:ind w:firstLine="640" w:firstLineChars="200"/>
        <w:rPr>
          <w:rFonts w:hint="eastAsia" w:ascii="Times New Roman" w:hAnsi="Times New Roman" w:eastAsia="仿宋_GB2312" w:cs="Times New Roman"/>
          <w:color w:val="auto"/>
          <w:kern w:val="2"/>
          <w:sz w:val="32"/>
          <w:szCs w:val="32"/>
          <w:u w:val="none"/>
          <w:lang w:val="en-US" w:eastAsia="zh-CN" w:bidi="ar-SA"/>
        </w:rPr>
      </w:pPr>
      <w:r>
        <w:rPr>
          <w:rFonts w:hint="eastAsia" w:ascii="黑体" w:eastAsia="黑体"/>
          <w:sz w:val="32"/>
          <w:szCs w:val="32"/>
        </w:rPr>
        <w:t>四、财政拨款收支预算情况说明</w:t>
      </w:r>
      <w:r>
        <w:rPr>
          <w:rFonts w:ascii="ˎ̥" w:hAnsi="ˎ̥" w:cs="宋体"/>
          <w:sz w:val="16"/>
        </w:rPr>
        <w:br w:type="textWrapping"/>
      </w:r>
      <w:r>
        <w:rPr>
          <w:rFonts w:hint="eastAsia" w:ascii="Times New Roman" w:hAnsi="Times New Roman" w:eastAsia="仿宋_GB2312" w:cs="Times New Roman"/>
          <w:color w:val="auto"/>
          <w:kern w:val="2"/>
          <w:sz w:val="32"/>
          <w:szCs w:val="32"/>
          <w:u w:val="none"/>
          <w:lang w:val="en-US" w:eastAsia="zh-CN" w:bidi="ar-SA"/>
        </w:rPr>
        <w:t>2026 年财政拨款收支总预算 263.34 万元，无上年财政拨款收支结转，与 2026 年部门收支总预算金额一致。</w:t>
      </w:r>
    </w:p>
    <w:p w14:paraId="1A63E1FC">
      <w:pPr>
        <w:ind w:firstLine="640" w:firstLineChars="200"/>
        <w:rPr>
          <w:rFonts w:hint="eastAsia" w:ascii="Times New Roman" w:hAnsi="Times New Roman" w:eastAsia="仿宋_GB2312" w:cs="Times New Roman"/>
          <w:color w:val="auto"/>
          <w:kern w:val="2"/>
          <w:sz w:val="32"/>
          <w:szCs w:val="32"/>
          <w:u w:val="none"/>
          <w:lang w:val="en-US" w:eastAsia="zh-CN" w:bidi="ar-SA"/>
        </w:rPr>
      </w:pPr>
      <w:r>
        <w:rPr>
          <w:rFonts w:hint="eastAsia" w:ascii="Times New Roman" w:hAnsi="Times New Roman" w:eastAsia="仿宋_GB2312" w:cs="Times New Roman"/>
          <w:color w:val="auto"/>
          <w:kern w:val="2"/>
          <w:sz w:val="32"/>
          <w:szCs w:val="32"/>
          <w:u w:val="none"/>
          <w:lang w:val="en-US" w:eastAsia="zh-CN" w:bidi="ar-SA"/>
        </w:rPr>
        <w:t>收入：仅包含一般公共预算拨款收入 263.34 万元，无政府性基金预算拨款收入和国有资本经营预算拨款收入。</w:t>
      </w:r>
    </w:p>
    <w:p w14:paraId="75E412B4">
      <w:pPr>
        <w:ind w:firstLine="640" w:firstLineChars="200"/>
        <w:rPr>
          <w:rFonts w:hint="eastAsia" w:ascii="Times New Roman" w:hAnsi="Times New Roman" w:eastAsia="仿宋_GB2312" w:cs="Times New Roman"/>
          <w:color w:val="auto"/>
          <w:kern w:val="2"/>
          <w:sz w:val="32"/>
          <w:szCs w:val="32"/>
          <w:u w:val="none"/>
          <w:lang w:val="en-US" w:eastAsia="zh-CN" w:bidi="ar-SA"/>
        </w:rPr>
      </w:pPr>
      <w:r>
        <w:rPr>
          <w:rFonts w:hint="eastAsia" w:ascii="Times New Roman" w:hAnsi="Times New Roman" w:eastAsia="仿宋_GB2312" w:cs="Times New Roman"/>
          <w:color w:val="auto"/>
          <w:kern w:val="2"/>
          <w:sz w:val="32"/>
          <w:szCs w:val="32"/>
          <w:u w:val="none"/>
          <w:lang w:val="en-US" w:eastAsia="zh-CN" w:bidi="ar-SA"/>
        </w:rPr>
        <w:t>支出：与部门支出预算一致，具体为一般公共服务支出 212.47 万元、社会保障和就业支出 27.03 万元、卫生健康支出 10.70 万元、住房保障支出 13.15 万元，均通过一般公共预算拨款保障，无政府性基金预算和国有资本经营预算支出。</w:t>
      </w:r>
    </w:p>
    <w:p w14:paraId="5D1BFF54">
      <w:pPr>
        <w:ind w:firstLine="640" w:firstLineChars="200"/>
        <w:rPr>
          <w:rFonts w:ascii="黑体" w:eastAsia="黑体"/>
          <w:sz w:val="32"/>
          <w:szCs w:val="32"/>
        </w:rPr>
      </w:pPr>
      <w:r>
        <w:rPr>
          <w:rFonts w:hint="eastAsia" w:ascii="黑体" w:eastAsia="黑体"/>
          <w:sz w:val="32"/>
          <w:szCs w:val="32"/>
        </w:rPr>
        <w:t>五、一般公共预算当年拨款情况说明</w:t>
      </w:r>
    </w:p>
    <w:p w14:paraId="75F37BC8">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7C1390D1">
      <w:pPr>
        <w:pStyle w:val="10"/>
        <w:spacing w:before="0" w:line="360" w:lineRule="auto"/>
        <w:ind w:firstLine="660"/>
        <w:rPr>
          <w:rFonts w:cs="仿宋_GB2312"/>
          <w:kern w:val="2"/>
          <w:sz w:val="32"/>
          <w:szCs w:val="32"/>
        </w:rPr>
      </w:pPr>
      <w:r>
        <w:rPr>
          <w:rFonts w:hint="eastAsia" w:cs="仿宋_GB2312"/>
          <w:kern w:val="2"/>
          <w:sz w:val="32"/>
          <w:szCs w:val="32"/>
        </w:rPr>
        <w:t>部门（单位）</w:t>
      </w:r>
      <w:r>
        <w:rPr>
          <w:rFonts w:hint="eastAsia" w:cs="宋体"/>
          <w:sz w:val="32"/>
          <w:szCs w:val="32"/>
        </w:rPr>
        <w:t>2026年一般公共预算当年拨款</w:t>
      </w:r>
      <w:r>
        <w:rPr>
          <w:rFonts w:hint="eastAsia" w:cs="宋体"/>
          <w:sz w:val="32"/>
          <w:szCs w:val="32"/>
          <w:lang w:val="en-US" w:eastAsia="zh-CN"/>
        </w:rPr>
        <w:t>263.34</w:t>
      </w:r>
      <w:r>
        <w:rPr>
          <w:rFonts w:hint="eastAsia" w:cs="宋体"/>
          <w:sz w:val="32"/>
          <w:szCs w:val="32"/>
        </w:rPr>
        <w:t>万元，比2025年预算数</w:t>
      </w:r>
      <w:r>
        <w:rPr>
          <w:rFonts w:hint="eastAsia" w:cs="宋体"/>
          <w:sz w:val="32"/>
          <w:szCs w:val="32"/>
          <w:lang w:val="en-US" w:eastAsia="zh-CN"/>
        </w:rPr>
        <w:t>240.88万元</w:t>
      </w:r>
      <w:r>
        <w:rPr>
          <w:rFonts w:hint="eastAsia" w:cs="宋体"/>
          <w:sz w:val="32"/>
          <w:szCs w:val="32"/>
        </w:rPr>
        <w:t>增加</w:t>
      </w:r>
      <w:r>
        <w:rPr>
          <w:rFonts w:hint="eastAsia" w:cs="宋体"/>
          <w:sz w:val="32"/>
          <w:szCs w:val="32"/>
          <w:lang w:val="en-US" w:eastAsia="zh-CN"/>
        </w:rPr>
        <w:t>22.46</w:t>
      </w:r>
      <w:r>
        <w:rPr>
          <w:rFonts w:hint="eastAsia" w:cs="宋体"/>
          <w:sz w:val="32"/>
          <w:szCs w:val="32"/>
        </w:rPr>
        <w:t>万元，主要原因</w:t>
      </w:r>
      <w:r>
        <w:rPr>
          <w:rFonts w:hint="eastAsia" w:cs="宋体"/>
          <w:sz w:val="32"/>
          <w:szCs w:val="32"/>
          <w:lang w:val="en-US" w:eastAsia="zh-CN"/>
        </w:rPr>
        <w:t>人员经费的增加。</w:t>
      </w:r>
      <w:r>
        <w:rPr>
          <w:rFonts w:hint="eastAsia" w:cs="仿宋_GB2312"/>
          <w:kern w:val="2"/>
          <w:sz w:val="32"/>
          <w:szCs w:val="32"/>
        </w:rPr>
        <w:t>　　</w:t>
      </w:r>
    </w:p>
    <w:p w14:paraId="715E3EC1">
      <w:pPr>
        <w:pStyle w:val="10"/>
        <w:spacing w:before="0" w:line="360" w:lineRule="auto"/>
        <w:ind w:left="651" w:leftChars="310"/>
        <w:jc w:val="left"/>
        <w:rPr>
          <w:rFonts w:hint="eastAsia" w:eastAsia="仿宋_GB2312" w:cs="仿宋_GB2312"/>
          <w:kern w:val="2"/>
          <w:sz w:val="32"/>
          <w:szCs w:val="32"/>
          <w:lang w:eastAsia="zh-CN"/>
        </w:rPr>
      </w:pPr>
      <w:r>
        <w:rPr>
          <w:rFonts w:hint="eastAsia" w:ascii="楷体" w:eastAsia="楷体" w:cs="宋体"/>
          <w:sz w:val="32"/>
          <w:szCs w:val="32"/>
        </w:rPr>
        <w:t>（二）一般公共预算当年拨款结构情况</w:t>
      </w:r>
      <w:r>
        <w:rPr>
          <w:rFonts w:hint="eastAsia" w:cs="宋体"/>
          <w:sz w:val="32"/>
          <w:szCs w:val="32"/>
        </w:rPr>
        <w:br w:type="textWrapping"/>
      </w:r>
      <w:r>
        <w:rPr>
          <w:rFonts w:hint="eastAsia" w:cs="宋体"/>
          <w:sz w:val="32"/>
          <w:szCs w:val="32"/>
        </w:rPr>
        <w:t>一般公共服务支出</w:t>
      </w:r>
      <w:r>
        <w:rPr>
          <w:rFonts w:hint="eastAsia" w:cs="宋体"/>
          <w:sz w:val="32"/>
          <w:szCs w:val="32"/>
          <w:lang w:val="en-US" w:eastAsia="zh-CN"/>
        </w:rPr>
        <w:t>212.47</w:t>
      </w:r>
      <w:r>
        <w:rPr>
          <w:rFonts w:hint="eastAsia" w:cs="宋体"/>
          <w:sz w:val="32"/>
          <w:szCs w:val="32"/>
        </w:rPr>
        <w:t>万元，占</w:t>
      </w:r>
      <w:r>
        <w:rPr>
          <w:rFonts w:hint="eastAsia" w:cs="宋体"/>
          <w:sz w:val="32"/>
          <w:szCs w:val="32"/>
          <w:lang w:val="en-US" w:eastAsia="zh-CN"/>
        </w:rPr>
        <w:t>80.7</w:t>
      </w:r>
      <w:r>
        <w:rPr>
          <w:rFonts w:hint="eastAsia" w:cs="宋体"/>
          <w:sz w:val="32"/>
          <w:szCs w:val="32"/>
        </w:rPr>
        <w:t>%；社会保障和就业支</w:t>
      </w:r>
      <w:r>
        <w:rPr>
          <w:rFonts w:hint="eastAsia" w:cs="宋体"/>
          <w:sz w:val="32"/>
          <w:szCs w:val="32"/>
          <w:lang w:val="en-US" w:eastAsia="zh-CN"/>
        </w:rPr>
        <w:t>出27.03万元，</w:t>
      </w:r>
      <w:r>
        <w:rPr>
          <w:rFonts w:hint="eastAsia" w:cs="宋体"/>
          <w:sz w:val="32"/>
          <w:szCs w:val="32"/>
        </w:rPr>
        <w:t>占</w:t>
      </w:r>
      <w:r>
        <w:rPr>
          <w:rFonts w:hint="eastAsia" w:cs="宋体"/>
          <w:sz w:val="32"/>
          <w:szCs w:val="32"/>
          <w:lang w:val="en-US" w:eastAsia="zh-CN"/>
        </w:rPr>
        <w:t>10.26</w:t>
      </w:r>
      <w:r>
        <w:rPr>
          <w:rFonts w:hint="eastAsia" w:cs="宋体"/>
          <w:sz w:val="32"/>
          <w:szCs w:val="32"/>
        </w:rPr>
        <w:t>%；住房保障支出</w:t>
      </w:r>
      <w:r>
        <w:rPr>
          <w:rFonts w:hint="eastAsia" w:cs="宋体"/>
          <w:sz w:val="32"/>
          <w:szCs w:val="32"/>
          <w:lang w:val="en-US" w:eastAsia="zh-CN"/>
        </w:rPr>
        <w:t>13.15</w:t>
      </w:r>
      <w:r>
        <w:rPr>
          <w:rFonts w:hint="eastAsia" w:cs="宋体"/>
          <w:sz w:val="32"/>
          <w:szCs w:val="32"/>
        </w:rPr>
        <w:t>万元，占</w:t>
      </w:r>
      <w:r>
        <w:rPr>
          <w:rFonts w:hint="eastAsia" w:cs="宋体"/>
          <w:sz w:val="32"/>
          <w:szCs w:val="32"/>
          <w:lang w:val="en-US" w:eastAsia="zh-CN"/>
        </w:rPr>
        <w:t>4.99</w:t>
      </w:r>
      <w:r>
        <w:rPr>
          <w:rFonts w:hint="eastAsia" w:cs="宋体"/>
          <w:sz w:val="32"/>
          <w:szCs w:val="32"/>
        </w:rPr>
        <w:t>%</w:t>
      </w:r>
      <w:r>
        <w:rPr>
          <w:rFonts w:hint="eastAsia" w:cs="宋体"/>
          <w:sz w:val="32"/>
          <w:szCs w:val="32"/>
          <w:lang w:val="en-US" w:eastAsia="zh-CN"/>
        </w:rPr>
        <w:t>.</w:t>
      </w:r>
    </w:p>
    <w:p w14:paraId="6AFDF169">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6B678400">
      <w:pPr>
        <w:pStyle w:val="10"/>
        <w:spacing w:before="0" w:line="360" w:lineRule="auto"/>
        <w:ind w:firstLine="979" w:firstLineChars="306"/>
        <w:rPr>
          <w:rFonts w:hint="eastAsia" w:cs="仿宋_GB2312"/>
          <w:kern w:val="2"/>
          <w:sz w:val="32"/>
          <w:szCs w:val="32"/>
        </w:rPr>
      </w:pPr>
      <w:r>
        <w:rPr>
          <w:rFonts w:hint="eastAsia" w:cs="仿宋_GB2312"/>
          <w:kern w:val="2"/>
          <w:sz w:val="32"/>
          <w:szCs w:val="32"/>
        </w:rPr>
        <w:t>一般公共服务支出（201 类）：212.47 万元</w:t>
      </w:r>
      <w:r>
        <w:rPr>
          <w:rFonts w:hint="eastAsia" w:cs="仿宋_GB2312"/>
          <w:kern w:val="2"/>
          <w:sz w:val="32"/>
          <w:szCs w:val="32"/>
          <w:lang w:eastAsia="zh-CN"/>
        </w:rPr>
        <w:t>。</w:t>
      </w:r>
      <w:r>
        <w:rPr>
          <w:rFonts w:hint="eastAsia" w:cs="仿宋_GB2312"/>
          <w:b/>
          <w:bCs/>
          <w:kern w:val="2"/>
          <w:sz w:val="32"/>
          <w:szCs w:val="32"/>
        </w:rPr>
        <w:t>行政运行（2013601）</w:t>
      </w:r>
      <w:r>
        <w:rPr>
          <w:rFonts w:hint="eastAsia" w:cs="仿宋_GB2312"/>
          <w:kern w:val="2"/>
          <w:sz w:val="32"/>
          <w:szCs w:val="32"/>
        </w:rPr>
        <w:t>：194.47 万元，主要用于保障干休所日常行政运转，包括人员工资福利支出 176.92 万元（含基本工资 37.90 万元、津贴补贴 41.82 万元、奖金 33.42 万元、机关事业单位基本养老保险缴费 18.02 万元、职业年金缴费 9.01 万元、职工基本医疗保险缴费 7.88 万元、公务员医疗补助缴费 2.81 万元、其他社会保障缴费 0.90 万元、住房公积金 13.15 万元、其他工资福利支出 12.00 万元），商品和服务支出 17.55 万元（含办公费 0.60 万元、水费 0.23 万元、邮电费 1.58 万元、取暖费 0.30 万元、差旅费 3.33 万元、维修（护）费 0.05 万元、培训费 1.38 万元、公务接待费 0.31 万元、公务用车运行维护费 5.04 万元、其他商品和服务支出 4.13 万元）。</w:t>
      </w:r>
      <w:r>
        <w:rPr>
          <w:rFonts w:hint="eastAsia" w:cs="仿宋_GB2312"/>
          <w:b/>
          <w:bCs/>
          <w:kern w:val="2"/>
          <w:sz w:val="32"/>
          <w:szCs w:val="32"/>
        </w:rPr>
        <w:t>一般行政管理事务（2013602）</w:t>
      </w:r>
      <w:r>
        <w:rPr>
          <w:rFonts w:hint="eastAsia" w:cs="仿宋_GB2312"/>
          <w:kern w:val="2"/>
          <w:sz w:val="32"/>
          <w:szCs w:val="32"/>
        </w:rPr>
        <w:t>：18.00 万元，具体用于离退休机构运营及维修维护 4.00 万元，保障干休所设施设备正常运行和维修；离退休党员 \ 干部活动费 14.00 万元，用于开展离退休党员干部各类活动，丰富老干部精神文化生活。</w:t>
      </w:r>
      <w:r>
        <w:rPr>
          <w:rFonts w:hint="eastAsia" w:cs="仿宋_GB2312"/>
          <w:b/>
          <w:bCs/>
          <w:kern w:val="2"/>
          <w:sz w:val="32"/>
          <w:szCs w:val="32"/>
        </w:rPr>
        <w:t>社会保障和就业支出（208 类）：</w:t>
      </w:r>
      <w:r>
        <w:rPr>
          <w:rFonts w:hint="eastAsia" w:cs="仿宋_GB2312"/>
          <w:kern w:val="2"/>
          <w:sz w:val="32"/>
          <w:szCs w:val="32"/>
        </w:rPr>
        <w:t>27.03 万元</w:t>
      </w:r>
      <w:r>
        <w:rPr>
          <w:rFonts w:hint="eastAsia" w:cs="仿宋_GB2312"/>
          <w:kern w:val="2"/>
          <w:sz w:val="32"/>
          <w:szCs w:val="32"/>
          <w:lang w:eastAsia="zh-CN"/>
        </w:rPr>
        <w:t>。</w:t>
      </w:r>
      <w:r>
        <w:rPr>
          <w:rFonts w:hint="eastAsia" w:cs="仿宋_GB2312"/>
          <w:b/>
          <w:bCs/>
          <w:kern w:val="2"/>
          <w:sz w:val="32"/>
          <w:szCs w:val="32"/>
        </w:rPr>
        <w:t>机关事业单位基本养老保险缴费支出</w:t>
      </w:r>
      <w:r>
        <w:rPr>
          <w:rFonts w:hint="eastAsia" w:cs="仿宋_GB2312"/>
          <w:kern w:val="2"/>
          <w:sz w:val="32"/>
          <w:szCs w:val="32"/>
        </w:rPr>
        <w:t>（2080505）：18.02 万元，用于缴纳干部职工基本养老保险，保障干部职工退休后的基本生活。</w:t>
      </w:r>
      <w:r>
        <w:rPr>
          <w:rFonts w:hint="eastAsia" w:cs="仿宋_GB2312"/>
          <w:b/>
          <w:bCs/>
          <w:kern w:val="2"/>
          <w:sz w:val="32"/>
          <w:szCs w:val="32"/>
        </w:rPr>
        <w:t>机关事业单位职业年金缴费支出（2080506）：</w:t>
      </w:r>
      <w:r>
        <w:rPr>
          <w:rFonts w:hint="eastAsia" w:cs="仿宋_GB2312"/>
          <w:kern w:val="2"/>
          <w:sz w:val="32"/>
          <w:szCs w:val="32"/>
        </w:rPr>
        <w:t>9.01 万元，作为干部职工基本养老保险的补充，进一步保障干部职工退休后的生活水平。</w:t>
      </w:r>
      <w:r>
        <w:rPr>
          <w:rFonts w:hint="eastAsia" w:cs="仿宋_GB2312"/>
          <w:b/>
          <w:bCs/>
          <w:kern w:val="2"/>
          <w:sz w:val="32"/>
          <w:szCs w:val="32"/>
        </w:rPr>
        <w:t>卫生健康支出（210 类）：</w:t>
      </w:r>
      <w:r>
        <w:rPr>
          <w:rFonts w:hint="eastAsia" w:cs="仿宋_GB2312"/>
          <w:kern w:val="2"/>
          <w:sz w:val="32"/>
          <w:szCs w:val="32"/>
        </w:rPr>
        <w:t>10.70 万元</w:t>
      </w:r>
      <w:r>
        <w:rPr>
          <w:rFonts w:hint="eastAsia" w:cs="仿宋_GB2312"/>
          <w:kern w:val="2"/>
          <w:sz w:val="32"/>
          <w:szCs w:val="32"/>
          <w:lang w:eastAsia="zh-CN"/>
        </w:rPr>
        <w:t>。</w:t>
      </w:r>
      <w:r>
        <w:rPr>
          <w:rFonts w:hint="eastAsia" w:cs="仿宋_GB2312"/>
          <w:b/>
          <w:bCs/>
          <w:kern w:val="2"/>
          <w:sz w:val="32"/>
          <w:szCs w:val="32"/>
        </w:rPr>
        <w:t>行政单位医疗（2101101）：</w:t>
      </w:r>
      <w:r>
        <w:rPr>
          <w:rFonts w:hint="eastAsia" w:cs="仿宋_GB2312"/>
          <w:kern w:val="2"/>
          <w:sz w:val="32"/>
          <w:szCs w:val="32"/>
        </w:rPr>
        <w:t>7.88 万元，用于缴纳干部职工基本医疗保险，保障干部职工日常医疗需求。</w:t>
      </w:r>
      <w:r>
        <w:rPr>
          <w:rFonts w:hint="eastAsia" w:cs="仿宋_GB2312"/>
          <w:b/>
          <w:bCs/>
          <w:kern w:val="2"/>
          <w:sz w:val="32"/>
          <w:szCs w:val="32"/>
        </w:rPr>
        <w:t>公务员医疗补助（2101103）：</w:t>
      </w:r>
      <w:r>
        <w:rPr>
          <w:rFonts w:hint="eastAsia" w:cs="仿宋_GB2312"/>
          <w:kern w:val="2"/>
          <w:sz w:val="32"/>
          <w:szCs w:val="32"/>
        </w:rPr>
        <w:t>2.81 万元，为公务员提供额外的医疗补助，减轻医疗负担。</w:t>
      </w:r>
    </w:p>
    <w:p w14:paraId="689EE24F">
      <w:pPr>
        <w:pStyle w:val="10"/>
        <w:spacing w:before="0" w:line="360" w:lineRule="auto"/>
        <w:rPr>
          <w:rFonts w:cs="仿宋_GB2312"/>
          <w:kern w:val="2"/>
          <w:sz w:val="32"/>
          <w:szCs w:val="32"/>
        </w:rPr>
      </w:pPr>
      <w:r>
        <w:rPr>
          <w:rFonts w:hint="eastAsia" w:cs="仿宋_GB2312"/>
          <w:b/>
          <w:bCs/>
          <w:kern w:val="2"/>
          <w:sz w:val="32"/>
          <w:szCs w:val="32"/>
        </w:rPr>
        <w:t>住房保障支出（221 类）：</w:t>
      </w:r>
      <w:r>
        <w:rPr>
          <w:rFonts w:hint="eastAsia" w:cs="仿宋_GB2312"/>
          <w:kern w:val="2"/>
          <w:sz w:val="32"/>
          <w:szCs w:val="32"/>
        </w:rPr>
        <w:t>13.15 万元</w:t>
      </w:r>
      <w:r>
        <w:rPr>
          <w:rFonts w:hint="eastAsia" w:cs="仿宋_GB2312"/>
          <w:kern w:val="2"/>
          <w:sz w:val="32"/>
          <w:szCs w:val="32"/>
          <w:lang w:eastAsia="zh-CN"/>
        </w:rPr>
        <w:t>。</w:t>
      </w:r>
      <w:bookmarkStart w:id="0" w:name="_GoBack"/>
      <w:bookmarkEnd w:id="0"/>
      <w:r>
        <w:rPr>
          <w:rFonts w:hint="eastAsia" w:cs="仿宋_GB2312"/>
          <w:b/>
          <w:bCs/>
          <w:kern w:val="2"/>
          <w:sz w:val="32"/>
          <w:szCs w:val="32"/>
        </w:rPr>
        <w:t>住房公积金（2210201）：</w:t>
      </w:r>
      <w:r>
        <w:rPr>
          <w:rFonts w:hint="eastAsia" w:cs="仿宋_GB2312"/>
          <w:kern w:val="2"/>
          <w:sz w:val="32"/>
          <w:szCs w:val="32"/>
        </w:rPr>
        <w:t>13.15 万元，用于为干部职工缴纳住房公积金，支持干部职工解决住房问题。</w:t>
      </w:r>
    </w:p>
    <w:p w14:paraId="75CC3D18">
      <w:pPr>
        <w:pStyle w:val="10"/>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14A613A0">
      <w:pPr>
        <w:pStyle w:val="10"/>
        <w:spacing w:before="0" w:line="360" w:lineRule="auto"/>
        <w:ind w:firstLine="640" w:firstLineChars="200"/>
        <w:rPr>
          <w:rFonts w:cs="仿宋_GB2312"/>
          <w:kern w:val="2"/>
          <w:sz w:val="32"/>
          <w:szCs w:val="32"/>
        </w:rPr>
      </w:pPr>
      <w:r>
        <w:rPr>
          <w:rFonts w:hint="eastAsia" w:cs="仿宋_GB2312"/>
          <w:kern w:val="2"/>
          <w:sz w:val="32"/>
          <w:szCs w:val="32"/>
        </w:rPr>
        <w:t>部门（单位）2026年一般公共预算基本支出</w:t>
      </w:r>
      <w:r>
        <w:rPr>
          <w:rFonts w:hint="eastAsia" w:cs="仿宋_GB2312"/>
          <w:kern w:val="2"/>
          <w:sz w:val="32"/>
          <w:szCs w:val="32"/>
          <w:lang w:val="en-US" w:eastAsia="zh-CN"/>
        </w:rPr>
        <w:t>245.34</w:t>
      </w:r>
      <w:r>
        <w:rPr>
          <w:rFonts w:hint="eastAsia" w:cs="仿宋_GB2312"/>
          <w:kern w:val="2"/>
          <w:sz w:val="32"/>
          <w:szCs w:val="32"/>
        </w:rPr>
        <w:t>万元，其中：人员经费</w:t>
      </w:r>
      <w:r>
        <w:rPr>
          <w:rFonts w:hint="eastAsia" w:cs="仿宋_GB2312"/>
          <w:kern w:val="2"/>
          <w:sz w:val="32"/>
          <w:szCs w:val="32"/>
          <w:lang w:val="en-US" w:eastAsia="zh-CN"/>
        </w:rPr>
        <w:t>223.04</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68BEDCF9">
      <w:pPr>
        <w:pStyle w:val="10"/>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22.31</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589BBEEA">
      <w:pPr>
        <w:pStyle w:val="10"/>
        <w:spacing w:before="0" w:line="360" w:lineRule="auto"/>
        <w:ind w:firstLine="640" w:firstLineChars="200"/>
        <w:rPr>
          <w:rFonts w:cs="仿宋_GB2312"/>
          <w:kern w:val="2"/>
          <w:sz w:val="32"/>
          <w:szCs w:val="32"/>
        </w:rPr>
      </w:pPr>
      <w:r>
        <w:rPr>
          <w:rFonts w:hint="eastAsia" w:cs="仿宋_GB2312"/>
          <w:kern w:val="2"/>
          <w:sz w:val="32"/>
          <w:szCs w:val="32"/>
        </w:rPr>
        <w:t>部门（单位）2026年“三公”经费财政拨款预算数</w:t>
      </w:r>
      <w:r>
        <w:rPr>
          <w:rFonts w:hint="eastAsia" w:cs="仿宋_GB2312"/>
          <w:kern w:val="2"/>
          <w:sz w:val="32"/>
          <w:szCs w:val="32"/>
          <w:lang w:val="en-US" w:eastAsia="zh-CN"/>
        </w:rPr>
        <w:t>5.35</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0.31</w:t>
      </w:r>
      <w:r>
        <w:rPr>
          <w:rFonts w:hint="eastAsia" w:cs="仿宋_GB2312"/>
          <w:kern w:val="2"/>
          <w:sz w:val="32"/>
          <w:szCs w:val="32"/>
        </w:rPr>
        <w:t>万元，公务用车购置及运行维护费</w:t>
      </w:r>
      <w:r>
        <w:rPr>
          <w:rFonts w:hint="eastAsia" w:cs="仿宋_GB2312"/>
          <w:kern w:val="2"/>
          <w:sz w:val="32"/>
          <w:szCs w:val="32"/>
          <w:lang w:val="en-US" w:eastAsia="zh-CN"/>
        </w:rPr>
        <w:t>5.04</w:t>
      </w:r>
      <w:r>
        <w:rPr>
          <w:rFonts w:hint="eastAsia" w:cs="仿宋_GB2312"/>
          <w:kern w:val="2"/>
          <w:sz w:val="32"/>
          <w:szCs w:val="32"/>
        </w:rPr>
        <w:t>万元。</w:t>
      </w:r>
    </w:p>
    <w:p w14:paraId="1782C22D">
      <w:pPr>
        <w:pStyle w:val="10"/>
        <w:spacing w:before="0" w:line="360" w:lineRule="auto"/>
        <w:ind w:firstLine="640" w:firstLineChars="200"/>
        <w:rPr>
          <w:rFonts w:cs="仿宋_GB2312"/>
          <w:kern w:val="2"/>
          <w:sz w:val="32"/>
          <w:szCs w:val="32"/>
        </w:rPr>
      </w:pPr>
      <w:r>
        <w:rPr>
          <w:rFonts w:hint="eastAsia" w:cs="仿宋_GB2312"/>
          <w:kern w:val="2"/>
          <w:sz w:val="32"/>
          <w:szCs w:val="32"/>
        </w:rPr>
        <w:t>（一）2026年因公出国（境）经费</w:t>
      </w:r>
      <w:r>
        <w:rPr>
          <w:rFonts w:hint="eastAsia" w:cs="仿宋_GB2312"/>
          <w:kern w:val="2"/>
          <w:sz w:val="32"/>
          <w:szCs w:val="32"/>
          <w:lang w:val="en-US" w:eastAsia="zh-CN"/>
        </w:rPr>
        <w:t>0</w:t>
      </w:r>
      <w:r>
        <w:rPr>
          <w:rFonts w:hint="eastAsia" w:cs="仿宋_GB2312"/>
          <w:kern w:val="2"/>
          <w:sz w:val="32"/>
          <w:szCs w:val="32"/>
        </w:rPr>
        <w:t>万元。</w:t>
      </w:r>
    </w:p>
    <w:p w14:paraId="25C6EBCB">
      <w:pPr>
        <w:pStyle w:val="10"/>
        <w:spacing w:before="0" w:line="360" w:lineRule="auto"/>
        <w:ind w:firstLine="640" w:firstLineChars="200"/>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2026年公务接待经费</w:t>
      </w:r>
      <w:r>
        <w:rPr>
          <w:rFonts w:hint="eastAsia" w:cs="仿宋_GB2312"/>
          <w:color w:val="000000"/>
          <w:kern w:val="2"/>
          <w:sz w:val="32"/>
          <w:szCs w:val="32"/>
          <w:lang w:val="en-US" w:eastAsia="zh-CN"/>
        </w:rPr>
        <w:t>0.31</w:t>
      </w:r>
      <w:r>
        <w:rPr>
          <w:rFonts w:hint="eastAsia" w:cs="仿宋_GB2312"/>
          <w:color w:val="000000"/>
          <w:kern w:val="2"/>
          <w:sz w:val="32"/>
          <w:szCs w:val="32"/>
        </w:rPr>
        <w:t>万元。较2025年预算经费</w:t>
      </w:r>
      <w:r>
        <w:rPr>
          <w:rFonts w:hint="eastAsia" w:cs="宋体"/>
          <w:sz w:val="32"/>
          <w:szCs w:val="32"/>
          <w:lang w:val="en-US" w:eastAsia="zh-CN"/>
        </w:rPr>
        <w:t>持平。</w:t>
      </w:r>
    </w:p>
    <w:p w14:paraId="58B09C9A">
      <w:pPr>
        <w:pStyle w:val="10"/>
        <w:spacing w:before="0" w:line="360" w:lineRule="auto"/>
        <w:ind w:firstLine="640" w:firstLineChars="200"/>
        <w:rPr>
          <w:rFonts w:hint="eastAsia" w:cs="仿宋_GB2312"/>
          <w:color w:val="000000"/>
          <w:kern w:val="2"/>
          <w:sz w:val="32"/>
          <w:szCs w:val="32"/>
          <w:lang w:val="en-US" w:eastAsia="zh-CN"/>
        </w:rPr>
      </w:pPr>
      <w:r>
        <w:rPr>
          <w:rFonts w:hint="eastAsia" w:cs="仿宋_GB2312"/>
          <w:color w:val="000000"/>
          <w:kern w:val="2"/>
          <w:sz w:val="32"/>
          <w:szCs w:val="32"/>
        </w:rPr>
        <w:t>（三）2026年公务用车购置及运行维护费</w:t>
      </w:r>
      <w:r>
        <w:rPr>
          <w:rFonts w:hint="eastAsia" w:cs="仿宋_GB2312"/>
          <w:color w:val="000000"/>
          <w:kern w:val="2"/>
          <w:sz w:val="32"/>
          <w:szCs w:val="32"/>
          <w:lang w:val="en-US" w:eastAsia="zh-CN"/>
        </w:rPr>
        <w:t>5.35</w:t>
      </w:r>
      <w:r>
        <w:rPr>
          <w:rFonts w:hint="eastAsia" w:cs="仿宋_GB2312"/>
          <w:color w:val="000000"/>
          <w:kern w:val="2"/>
          <w:sz w:val="32"/>
          <w:szCs w:val="32"/>
        </w:rPr>
        <w:t>万元。较2025年预算经费</w:t>
      </w:r>
      <w:r>
        <w:rPr>
          <w:rFonts w:hint="eastAsia" w:cs="仿宋_GB2312"/>
          <w:color w:val="000000"/>
          <w:kern w:val="2"/>
          <w:sz w:val="32"/>
          <w:szCs w:val="32"/>
          <w:lang w:val="en-US" w:eastAsia="zh-CN"/>
        </w:rPr>
        <w:t>略有增加。</w:t>
      </w:r>
    </w:p>
    <w:p w14:paraId="59E682CF">
      <w:pPr>
        <w:pStyle w:val="10"/>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0774AEC5">
      <w:pPr>
        <w:pStyle w:val="10"/>
        <w:spacing w:before="0" w:line="360" w:lineRule="auto"/>
        <w:ind w:firstLine="640" w:firstLineChars="200"/>
        <w:rPr>
          <w:rFonts w:cs="仿宋_GB2312"/>
          <w:kern w:val="2"/>
          <w:sz w:val="32"/>
          <w:szCs w:val="32"/>
        </w:rPr>
      </w:pPr>
      <w:r>
        <w:rPr>
          <w:rFonts w:hint="eastAsia" w:cs="仿宋_GB2312"/>
          <w:kern w:val="2"/>
          <w:sz w:val="32"/>
          <w:szCs w:val="32"/>
        </w:rPr>
        <w:t>部门（单位）2026年政府性基金预算拨款安排的支出</w:t>
      </w:r>
      <w:r>
        <w:rPr>
          <w:rFonts w:hint="eastAsia" w:cs="仿宋_GB2312"/>
          <w:kern w:val="2"/>
          <w:sz w:val="32"/>
          <w:szCs w:val="32"/>
          <w:lang w:val="en-US" w:eastAsia="zh-CN"/>
        </w:rPr>
        <w:t>0</w:t>
      </w:r>
      <w:r>
        <w:rPr>
          <w:rFonts w:hint="eastAsia" w:cs="仿宋_GB2312"/>
          <w:kern w:val="2"/>
          <w:sz w:val="32"/>
          <w:szCs w:val="32"/>
        </w:rPr>
        <w:t>万元。较2025年预算经费</w:t>
      </w:r>
      <w:r>
        <w:rPr>
          <w:rFonts w:hint="eastAsia" w:cs="宋体"/>
          <w:sz w:val="32"/>
          <w:szCs w:val="32"/>
        </w:rPr>
        <w:t>增加/</w:t>
      </w:r>
      <w:r>
        <w:rPr>
          <w:rFonts w:hint="eastAsia" w:cs="仿宋_GB2312"/>
          <w:color w:val="000000"/>
          <w:kern w:val="2"/>
          <w:sz w:val="32"/>
          <w:szCs w:val="32"/>
        </w:rPr>
        <w:t>减少</w:t>
      </w:r>
      <w:r>
        <w:rPr>
          <w:rFonts w:hint="eastAsia" w:cs="仿宋_GB2312"/>
          <w:kern w:val="2"/>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14:paraId="1297E4A8">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6117EAF4">
      <w:pPr>
        <w:pStyle w:val="10"/>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部门（单位）2026年机关运行经费财政拨款预算为</w:t>
      </w:r>
      <w:r>
        <w:rPr>
          <w:rFonts w:hint="eastAsia" w:cs="仿宋_GB2312"/>
          <w:kern w:val="2"/>
          <w:sz w:val="32"/>
          <w:szCs w:val="32"/>
          <w:lang w:val="en-US" w:eastAsia="zh-CN"/>
        </w:rPr>
        <w:t>22.31</w:t>
      </w:r>
      <w:r>
        <w:rPr>
          <w:rFonts w:hint="eastAsia" w:cs="仿宋_GB2312"/>
          <w:kern w:val="2"/>
          <w:sz w:val="32"/>
          <w:szCs w:val="32"/>
        </w:rPr>
        <w:t>万元，比2025年预算</w:t>
      </w:r>
      <w:r>
        <w:rPr>
          <w:rFonts w:hint="eastAsia" w:cs="仿宋_GB2312"/>
          <w:kern w:val="2"/>
          <w:sz w:val="32"/>
          <w:szCs w:val="32"/>
          <w:lang w:val="en-US" w:eastAsia="zh-CN"/>
        </w:rPr>
        <w:t>22.65万元</w:t>
      </w:r>
      <w:r>
        <w:rPr>
          <w:rFonts w:hint="eastAsia" w:cs="仿宋_GB2312"/>
          <w:color w:val="000000"/>
          <w:kern w:val="2"/>
          <w:sz w:val="32"/>
          <w:szCs w:val="32"/>
        </w:rPr>
        <w:t>减少</w:t>
      </w:r>
      <w:r>
        <w:rPr>
          <w:rFonts w:hint="eastAsia" w:cs="仿宋_GB2312"/>
          <w:color w:val="000000"/>
          <w:kern w:val="2"/>
          <w:sz w:val="32"/>
          <w:szCs w:val="32"/>
          <w:lang w:val="en-US" w:eastAsia="zh-CN"/>
        </w:rPr>
        <w:t>0.34</w:t>
      </w:r>
      <w:r>
        <w:rPr>
          <w:rFonts w:hint="eastAsia" w:cs="仿宋_GB2312"/>
          <w:color w:val="000000"/>
          <w:kern w:val="2"/>
          <w:sz w:val="32"/>
          <w:szCs w:val="32"/>
        </w:rPr>
        <w:t>万元，减少</w:t>
      </w:r>
      <w:r>
        <w:rPr>
          <w:rFonts w:hint="eastAsia" w:cs="仿宋_GB2312"/>
          <w:color w:val="000000"/>
          <w:kern w:val="2"/>
          <w:sz w:val="32"/>
          <w:szCs w:val="32"/>
          <w:lang w:val="en-US" w:eastAsia="zh-CN"/>
        </w:rPr>
        <w:t>1.5</w:t>
      </w:r>
      <w:r>
        <w:rPr>
          <w:rFonts w:hint="eastAsia" w:cs="仿宋_GB2312"/>
          <w:color w:val="000000"/>
          <w:kern w:val="2"/>
          <w:sz w:val="32"/>
          <w:szCs w:val="32"/>
        </w:rPr>
        <w:t xml:space="preserve">%。 </w:t>
      </w:r>
    </w:p>
    <w:p w14:paraId="7AEC670C">
      <w:pPr>
        <w:pStyle w:val="10"/>
        <w:spacing w:before="0" w:line="360" w:lineRule="auto"/>
        <w:ind w:firstLine="640" w:firstLineChars="200"/>
        <w:rPr>
          <w:rFonts w:hint="eastAsia" w:cs="仿宋_GB2312"/>
          <w:color w:val="000000"/>
          <w:kern w:val="2"/>
          <w:sz w:val="32"/>
          <w:szCs w:val="32"/>
          <w:lang w:val="en-US"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2026年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val="en-US" w:eastAsia="zh-CN"/>
        </w:rPr>
        <w:t>.</w:t>
      </w:r>
    </w:p>
    <w:p w14:paraId="5B5AE306">
      <w:pPr>
        <w:pStyle w:val="10"/>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66F7C242">
      <w:pPr>
        <w:pStyle w:val="10"/>
        <w:spacing w:before="0" w:line="360" w:lineRule="auto"/>
        <w:ind w:firstLine="640" w:firstLineChars="200"/>
        <w:rPr>
          <w:rFonts w:cs="仿宋_GB2312"/>
          <w:kern w:val="2"/>
          <w:sz w:val="32"/>
          <w:szCs w:val="32"/>
        </w:rPr>
      </w:pPr>
      <w:r>
        <w:rPr>
          <w:rFonts w:hint="eastAsia" w:cs="仿宋_GB2312"/>
          <w:kern w:val="2"/>
          <w:sz w:val="32"/>
          <w:szCs w:val="32"/>
        </w:rPr>
        <w:t>截至2025年12月31日，我单位固定资产</w:t>
      </w:r>
      <w:r>
        <w:rPr>
          <w:rFonts w:hint="eastAsia" w:cs="仿宋_GB2312"/>
          <w:kern w:val="2"/>
          <w:sz w:val="32"/>
          <w:szCs w:val="32"/>
          <w:lang w:val="en-US" w:eastAsia="zh-CN"/>
        </w:rPr>
        <w:t>59.44</w:t>
      </w:r>
      <w:r>
        <w:rPr>
          <w:rFonts w:hint="eastAsia" w:cs="仿宋_GB2312"/>
          <w:kern w:val="2"/>
          <w:sz w:val="32"/>
          <w:szCs w:val="32"/>
        </w:rPr>
        <w:t>万元。</w:t>
      </w:r>
    </w:p>
    <w:p w14:paraId="18288FC4">
      <w:pPr>
        <w:pStyle w:val="10"/>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2026年部门（单位）通用项目和专用项目均按要求实行绩效目标管理，涉及一般公共预算当年拨款</w:t>
      </w:r>
      <w:r>
        <w:rPr>
          <w:rFonts w:hint="eastAsia" w:cs="仿宋_GB2312"/>
          <w:kern w:val="2"/>
          <w:sz w:val="32"/>
          <w:szCs w:val="32"/>
          <w:lang w:val="en-US" w:eastAsia="zh-CN"/>
        </w:rPr>
        <w:t>18</w:t>
      </w:r>
      <w:r>
        <w:rPr>
          <w:rFonts w:hint="eastAsia" w:cs="仿宋_GB2312"/>
          <w:kern w:val="2"/>
          <w:sz w:val="32"/>
          <w:szCs w:val="32"/>
        </w:rPr>
        <w:t>万元。</w:t>
      </w:r>
    </w:p>
    <w:p w14:paraId="56033D09">
      <w:pPr>
        <w:pStyle w:val="10"/>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4A84C616">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方正仿宋_GBK">
    <w:panose1 w:val="03000509000000000000"/>
    <w:charset w:val="86"/>
    <w:family w:val="auto"/>
    <w:pitch w:val="default"/>
    <w:sig w:usb0="00000001" w:usb1="080E0000" w:usb2="00000000" w:usb3="00000000" w:csb0="00040000" w:csb1="00000000"/>
  </w:font>
  <w:font w:name="方正公文楷体">
    <w:altName w:val="楷体_GB2312"/>
    <w:panose1 w:val="02000000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Symbol">
    <w:panose1 w:val="05050102010706020507"/>
    <w:charset w:val="00"/>
    <w:family w:val="auto"/>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675AB">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4"/>
  </w:compat>
  <w:rsids>
    <w:rsidRoot w:val="00000000"/>
    <w:rsid w:val="023D293E"/>
    <w:rsid w:val="0754675F"/>
    <w:rsid w:val="0B537BAB"/>
    <w:rsid w:val="1C265593"/>
    <w:rsid w:val="1F4F19BE"/>
    <w:rsid w:val="1FFE5062"/>
    <w:rsid w:val="237D2742"/>
    <w:rsid w:val="2E076563"/>
    <w:rsid w:val="360729EB"/>
    <w:rsid w:val="39570A0B"/>
    <w:rsid w:val="3A255BB6"/>
    <w:rsid w:val="403326AF"/>
    <w:rsid w:val="411D7A24"/>
    <w:rsid w:val="46646AD6"/>
    <w:rsid w:val="47774467"/>
    <w:rsid w:val="4BF278C2"/>
    <w:rsid w:val="535B3F9E"/>
    <w:rsid w:val="54F63F7F"/>
    <w:rsid w:val="55D10548"/>
    <w:rsid w:val="5C494943"/>
    <w:rsid w:val="6B6D0B61"/>
    <w:rsid w:val="717C4B9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8">
    <w:name w:val="Default Paragraph Font"/>
    <w:uiPriority w:val="0"/>
  </w:style>
  <w:style w:type="table" w:default="1" w:styleId="7">
    <w:name w:val="Normal Table"/>
    <w:semiHidden/>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uiPriority w:val="0"/>
    <w:pPr>
      <w:ind w:firstLine="200" w:firstLineChars="200"/>
    </w:pPr>
  </w:style>
  <w:style w:type="paragraph" w:customStyle="1" w:styleId="10">
    <w:name w:val="正文文本1"/>
    <w:basedOn w:val="1"/>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11</Pages>
  <Words>3027</Words>
  <Characters>3142</Characters>
  <Lines>124</Lines>
  <Paragraphs>51</Paragraphs>
  <TotalTime>19</TotalTime>
  <ScaleCrop>false</ScaleCrop>
  <LinksUpToDate>false</LinksUpToDate>
  <CharactersWithSpaces>3184</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叶子</cp:lastModifiedBy>
  <cp:lastPrinted>2018-01-30T09:39:00Z</cp:lastPrinted>
  <dcterms:modified xsi:type="dcterms:W3CDTF">2026-01-27T06:32:48Z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eyJoZGlkIjoiOGEyYWE2MzEzYzdjNDFkN2M3NzViMDE2ZTA0NzNmMmEiLCJ1c2VySWQiOiI1OTE5MzM3OTgifQ==</vt:lpwstr>
  </property>
  <property fmtid="{D5CDD505-2E9C-101B-9397-08002B2CF9AE}" pid="4" name="ICV">
    <vt:lpwstr>6115CD4536CE4F159612C235EFB9B777_12</vt:lpwstr>
  </property>
</Properties>
</file>