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 xml:space="preserve"> 阿坝州成都离退休干部休养所(阿坝州驻成都老干部管理服务中心)</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napToGrid w:val="0"/>
        <w:spacing w:line="560" w:lineRule="exact"/>
        <w:ind w:firstLine="640" w:firstLineChars="200"/>
        <w:rPr>
          <w:rFonts w:ascii="仿宋_GB2312" w:eastAsia="仿宋_GB2312"/>
          <w:sz w:val="32"/>
          <w:szCs w:val="32"/>
        </w:rPr>
      </w:pPr>
      <w:r>
        <w:rPr>
          <w:rFonts w:hint="eastAsia" w:ascii="仿宋" w:hAnsi="仿宋" w:eastAsia="仿宋"/>
          <w:sz w:val="32"/>
          <w:szCs w:val="32"/>
        </w:rPr>
        <w:t>阿坝州成都离退体干部休养所(阿坝州驻成都老干部管理服务中心)（以下简称成都干休所）职能简介：认真贯彻执行党和国家有关老干部工作的方针、政策，贯彻执行州委老干部局对干休所工作的总体安排部署，为离退休老干部和老干部工作服务，引导老干部发挥自身特点和优势，围绕党和政府工作大局，为党和人民的事业增添正能量，积极稳妥推进离退休干部工作发展。</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一是强化思想政治引领，凝聚银发力量。</w:t>
      </w:r>
      <w:r>
        <w:rPr>
          <w:rFonts w:hint="eastAsia" w:ascii="仿宋_GB2312" w:hAnsi="仿宋_GB2312" w:eastAsia="仿宋_GB2312" w:cs="仿宋_GB2312"/>
          <w:sz w:val="32"/>
          <w:szCs w:val="32"/>
          <w:lang w:eastAsia="zh-CN"/>
        </w:rPr>
        <w:t>持续深化党的创新理论武装，组织老同志深入学习党的二十大及二十届四中全会精神。加强离退休干部党支部标准化规范化建设，建强银发人才库，搭建作用发挥平台，引导老同志为阿坝发展贡献智慧。</w:t>
      </w:r>
      <w:r>
        <w:rPr>
          <w:rFonts w:hint="eastAsia" w:ascii="仿宋_GB2312" w:hAnsi="仿宋_GB2312" w:eastAsia="仿宋_GB2312" w:cs="仿宋_GB2312"/>
          <w:b/>
          <w:bCs/>
          <w:sz w:val="32"/>
          <w:szCs w:val="32"/>
          <w:lang w:eastAsia="zh-CN"/>
        </w:rPr>
        <w:t>二是提升管理服务质效，增进晚年福祉。</w:t>
      </w:r>
      <w:r>
        <w:rPr>
          <w:rFonts w:hint="eastAsia" w:ascii="仿宋_GB2312" w:hAnsi="仿宋_GB2312" w:eastAsia="仿宋_GB2312" w:cs="仿宋_GB2312"/>
          <w:sz w:val="32"/>
          <w:szCs w:val="32"/>
          <w:lang w:eastAsia="zh-CN"/>
        </w:rPr>
        <w:t>深化拓展网格化管理和精准化服务，着力解决老同志“急难愁盼”问题。持续推进适老化改造，改善居住环境。深化与医疗机构合作，提升健康服务保障水平。</w:t>
      </w:r>
      <w:r>
        <w:rPr>
          <w:rFonts w:hint="eastAsia" w:ascii="仿宋_GB2312" w:hAnsi="仿宋_GB2312" w:eastAsia="仿宋_GB2312" w:cs="仿宋_GB2312"/>
          <w:b/>
          <w:bCs/>
          <w:sz w:val="32"/>
          <w:szCs w:val="32"/>
          <w:lang w:eastAsia="zh-CN"/>
        </w:rPr>
        <w:t>三是繁荣老年团体事业，丰富精神文化生活。</w:t>
      </w:r>
      <w:r>
        <w:rPr>
          <w:rFonts w:hint="eastAsia" w:ascii="仿宋_GB2312" w:hAnsi="仿宋_GB2312" w:eastAsia="仿宋_GB2312" w:cs="仿宋_GB2312"/>
          <w:sz w:val="32"/>
          <w:szCs w:val="32"/>
          <w:lang w:eastAsia="zh-CN"/>
        </w:rPr>
        <w:t>优化老干部大学课程设置和办学模式，提升教学质量。支持老年协会等团体开展特色文化活动，打造文艺精品。鼓励老同志参与文化传承，展现时代风采。</w:t>
      </w:r>
      <w:r>
        <w:rPr>
          <w:rFonts w:hint="eastAsia" w:ascii="仿宋_GB2312" w:hAnsi="仿宋_GB2312" w:eastAsia="仿宋_GB2312" w:cs="仿宋_GB2312"/>
          <w:b/>
          <w:bCs/>
          <w:sz w:val="32"/>
          <w:szCs w:val="32"/>
          <w:lang w:eastAsia="zh-CN"/>
        </w:rPr>
        <w:t>四是加强队伍能力建设，夯实工作基础。</w:t>
      </w:r>
      <w:r>
        <w:rPr>
          <w:rFonts w:hint="eastAsia" w:ascii="仿宋_GB2312" w:hAnsi="仿宋_GB2312" w:eastAsia="仿宋_GB2312" w:cs="仿宋_GB2312"/>
          <w:sz w:val="32"/>
          <w:szCs w:val="32"/>
          <w:lang w:eastAsia="zh-CN"/>
        </w:rPr>
        <w:t>加强干部职工政治能力和业务培训，提升专业素养。完善内部管理制度，提升工作规范化水平。巩固巡察整改成果，营造风清气正的政治生态。</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ascii="黑体" w:eastAsia="黑体"/>
          <w:sz w:val="32"/>
          <w:szCs w:val="32"/>
        </w:rPr>
      </w:pPr>
      <w:r>
        <w:rPr>
          <w:rFonts w:hint="eastAsia" w:ascii="仿宋" w:hAnsi="仿宋" w:eastAsia="仿宋"/>
          <w:sz w:val="32"/>
          <w:szCs w:val="32"/>
        </w:rPr>
        <w:t>成都干休所属</w:t>
      </w:r>
      <w:r>
        <w:rPr>
          <w:rFonts w:hint="eastAsia" w:ascii="仿宋" w:hAnsi="仿宋" w:eastAsia="仿宋"/>
          <w:sz w:val="32"/>
          <w:szCs w:val="32"/>
          <w:lang w:eastAsia="zh-CN"/>
        </w:rPr>
        <w:t>二</w:t>
      </w:r>
      <w:r>
        <w:rPr>
          <w:rFonts w:hint="eastAsia" w:ascii="仿宋" w:hAnsi="仿宋" w:eastAsia="仿宋"/>
          <w:sz w:val="32"/>
          <w:szCs w:val="32"/>
        </w:rPr>
        <w:t>级预算单位，属于参照公务员法管理的事业单位。直属于州委老干部局，处理阿坝州成都离退休干部休养所、阿坝州老干部管理服务中心、阿坝州老干部大学日常事务、联系阿坝州老年协会工作。</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adjustRightInd w:val="0"/>
        <w:snapToGrid w:val="0"/>
        <w:spacing w:line="560" w:lineRule="exact"/>
        <w:ind w:firstLine="640" w:firstLineChars="200"/>
        <w:rPr>
          <w:rFonts w:hint="eastAsia" w:ascii="楷体" w:eastAsia="楷体"/>
          <w:sz w:val="32"/>
          <w:szCs w:val="32"/>
        </w:rPr>
      </w:pPr>
      <w:r>
        <w:rPr>
          <w:rFonts w:hint="eastAsia" w:ascii="楷体" w:eastAsia="楷体"/>
          <w:sz w:val="32"/>
          <w:szCs w:val="32"/>
        </w:rPr>
        <w:t>（一）收入预算情况</w:t>
      </w:r>
    </w:p>
    <w:p>
      <w:pPr>
        <w:adjustRightInd w:val="0"/>
        <w:snapToGrid w:val="0"/>
        <w:spacing w:line="560" w:lineRule="exact"/>
        <w:ind w:firstLine="640" w:firstLineChars="200"/>
        <w:rPr>
          <w:rFonts w:ascii="楷体" w:eastAsia="楷体"/>
          <w:sz w:val="32"/>
          <w:szCs w:val="32"/>
        </w:rPr>
      </w:pPr>
      <w:r>
        <w:rPr>
          <w:rFonts w:hint="eastAsia" w:ascii="仿宋" w:hAnsi="仿宋" w:eastAsia="仿宋"/>
          <w:sz w:val="32"/>
          <w:szCs w:val="32"/>
        </w:rPr>
        <w:t>成都干休所202</w:t>
      </w:r>
      <w:r>
        <w:rPr>
          <w:rFonts w:hint="eastAsia" w:ascii="仿宋" w:hAnsi="仿宋" w:eastAsia="仿宋"/>
          <w:sz w:val="32"/>
          <w:szCs w:val="32"/>
          <w:lang w:val="en-US" w:eastAsia="zh-CN"/>
        </w:rPr>
        <w:t>6</w:t>
      </w:r>
      <w:r>
        <w:rPr>
          <w:rFonts w:hint="eastAsia" w:ascii="仿宋" w:hAnsi="仿宋" w:eastAsia="仿宋"/>
          <w:sz w:val="32"/>
          <w:szCs w:val="32"/>
        </w:rPr>
        <w:t>年收入预算</w:t>
      </w:r>
      <w:r>
        <w:rPr>
          <w:rFonts w:hint="eastAsia" w:ascii="仿宋" w:hAnsi="仿宋" w:eastAsia="仿宋"/>
          <w:sz w:val="32"/>
          <w:szCs w:val="32"/>
          <w:lang w:val="en-US" w:eastAsia="zh-CN"/>
        </w:rPr>
        <w:t>473.94</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458.07</w:t>
      </w:r>
      <w:r>
        <w:rPr>
          <w:rFonts w:hint="eastAsia" w:ascii="仿宋" w:hAnsi="仿宋" w:eastAsia="仿宋"/>
          <w:sz w:val="32"/>
          <w:szCs w:val="32"/>
        </w:rPr>
        <w:t>万元，占</w:t>
      </w:r>
      <w:r>
        <w:rPr>
          <w:rFonts w:hint="eastAsia" w:ascii="仿宋" w:hAnsi="仿宋" w:eastAsia="仿宋"/>
          <w:sz w:val="32"/>
          <w:szCs w:val="32"/>
          <w:lang w:val="en-US" w:eastAsia="zh-CN"/>
        </w:rPr>
        <w:t>97</w:t>
      </w:r>
      <w:r>
        <w:rPr>
          <w:rFonts w:hint="eastAsia" w:ascii="仿宋" w:hAnsi="仿宋" w:eastAsia="仿宋"/>
          <w:sz w:val="32"/>
          <w:szCs w:val="32"/>
        </w:rPr>
        <w:t>%</w:t>
      </w:r>
      <w:r>
        <w:rPr>
          <w:rFonts w:hint="eastAsia" w:ascii="仿宋" w:hAnsi="仿宋" w:eastAsia="仿宋"/>
          <w:sz w:val="32"/>
          <w:szCs w:val="32"/>
          <w:lang w:eastAsia="zh-CN"/>
        </w:rPr>
        <w:t>；其他收入</w:t>
      </w:r>
      <w:r>
        <w:rPr>
          <w:rFonts w:hint="eastAsia" w:ascii="仿宋" w:hAnsi="仿宋" w:eastAsia="仿宋"/>
          <w:sz w:val="32"/>
          <w:szCs w:val="32"/>
          <w:lang w:val="en-US" w:eastAsia="zh-CN"/>
        </w:rPr>
        <w:t>15.87万元（财政代管资金），占3%</w:t>
      </w:r>
      <w:r>
        <w:rPr>
          <w:rFonts w:hint="eastAsia" w:ascii="仿宋" w:hAnsi="仿宋" w:eastAsia="仿宋"/>
          <w:sz w:val="32"/>
          <w:szCs w:val="32"/>
        </w:rPr>
        <w:t>。</w:t>
      </w:r>
    </w:p>
    <w:p>
      <w:pPr>
        <w:adjustRightInd w:val="0"/>
        <w:snapToGrid w:val="0"/>
        <w:spacing w:line="560" w:lineRule="exact"/>
        <w:ind w:firstLine="640" w:firstLineChars="200"/>
        <w:rPr>
          <w:rFonts w:hint="eastAsia" w:ascii="楷体" w:eastAsia="楷体" w:cs="仿宋_GB2312"/>
          <w:sz w:val="32"/>
          <w:szCs w:val="32"/>
        </w:rPr>
      </w:pPr>
      <w:r>
        <w:rPr>
          <w:rFonts w:hint="eastAsia" w:ascii="楷体" w:eastAsia="楷体" w:cs="仿宋_GB2312"/>
          <w:sz w:val="32"/>
          <w:szCs w:val="32"/>
        </w:rPr>
        <w:t>（二）支出预算情况</w:t>
      </w:r>
    </w:p>
    <w:p>
      <w:pPr>
        <w:adjustRightInd w:val="0"/>
        <w:snapToGrid w:val="0"/>
        <w:spacing w:line="560" w:lineRule="exact"/>
        <w:ind w:firstLine="640" w:firstLineChars="200"/>
        <w:rPr>
          <w:rFonts w:ascii="楷体" w:eastAsia="楷体"/>
          <w:sz w:val="32"/>
          <w:szCs w:val="32"/>
        </w:rPr>
      </w:pPr>
      <w:r>
        <w:rPr>
          <w:rFonts w:hint="eastAsia" w:ascii="仿宋" w:hAnsi="仿宋" w:eastAsia="仿宋"/>
          <w:sz w:val="32"/>
          <w:szCs w:val="32"/>
        </w:rPr>
        <w:t>成都干休所202</w:t>
      </w:r>
      <w:r>
        <w:rPr>
          <w:rFonts w:hint="eastAsia" w:ascii="仿宋" w:hAnsi="仿宋" w:eastAsia="仿宋"/>
          <w:sz w:val="32"/>
          <w:szCs w:val="32"/>
          <w:lang w:val="en-US" w:eastAsia="zh-CN"/>
        </w:rPr>
        <w:t>6</w:t>
      </w:r>
      <w:r>
        <w:rPr>
          <w:rFonts w:hint="eastAsia" w:ascii="仿宋" w:hAnsi="仿宋" w:eastAsia="仿宋"/>
          <w:sz w:val="32"/>
          <w:szCs w:val="32"/>
        </w:rPr>
        <w:t>年支出预算</w:t>
      </w:r>
      <w:r>
        <w:rPr>
          <w:rFonts w:hint="eastAsia" w:ascii="仿宋" w:hAnsi="仿宋" w:eastAsia="仿宋"/>
          <w:sz w:val="32"/>
          <w:szCs w:val="32"/>
          <w:lang w:val="en-US" w:eastAsia="zh-CN"/>
        </w:rPr>
        <w:t>473.94</w:t>
      </w:r>
      <w:r>
        <w:rPr>
          <w:rFonts w:hint="eastAsia" w:ascii="仿宋" w:hAnsi="仿宋" w:eastAsia="仿宋"/>
          <w:sz w:val="32"/>
          <w:szCs w:val="32"/>
        </w:rPr>
        <w:t>万元，其中：</w:t>
      </w:r>
      <w:r>
        <w:rPr>
          <w:rFonts w:hint="eastAsia" w:ascii="仿宋" w:hAnsi="仿宋" w:eastAsia="仿宋"/>
          <w:sz w:val="32"/>
          <w:szCs w:val="32"/>
          <w:lang w:eastAsia="zh-CN"/>
        </w:rPr>
        <w:t>一般公服务支出</w:t>
      </w:r>
      <w:r>
        <w:rPr>
          <w:rFonts w:hint="eastAsia" w:ascii="仿宋" w:hAnsi="仿宋" w:eastAsia="仿宋"/>
          <w:sz w:val="32"/>
          <w:szCs w:val="32"/>
          <w:lang w:val="en-US" w:eastAsia="zh-CN"/>
        </w:rPr>
        <w:t>395.89</w:t>
      </w:r>
      <w:r>
        <w:rPr>
          <w:rFonts w:hint="eastAsia" w:ascii="仿宋" w:hAnsi="仿宋" w:eastAsia="仿宋"/>
          <w:sz w:val="32"/>
          <w:szCs w:val="32"/>
        </w:rPr>
        <w:t>万元，占</w:t>
      </w:r>
      <w:r>
        <w:rPr>
          <w:rFonts w:hint="eastAsia" w:ascii="仿宋" w:hAnsi="仿宋" w:eastAsia="仿宋"/>
          <w:sz w:val="32"/>
          <w:szCs w:val="32"/>
          <w:lang w:val="en-US" w:eastAsia="zh-CN"/>
        </w:rPr>
        <w:t>84</w:t>
      </w:r>
      <w:r>
        <w:rPr>
          <w:rFonts w:hint="eastAsia" w:ascii="仿宋" w:hAnsi="仿宋" w:eastAsia="仿宋"/>
          <w:sz w:val="32"/>
          <w:szCs w:val="32"/>
        </w:rPr>
        <w:t>%；</w:t>
      </w:r>
      <w:r>
        <w:rPr>
          <w:rFonts w:hint="eastAsia" w:ascii="仿宋" w:hAnsi="仿宋" w:eastAsia="仿宋"/>
          <w:sz w:val="32"/>
          <w:szCs w:val="32"/>
          <w:lang w:eastAsia="zh-CN"/>
        </w:rPr>
        <w:t>社会保障和就业支出</w:t>
      </w:r>
      <w:r>
        <w:rPr>
          <w:rFonts w:hint="eastAsia" w:ascii="仿宋" w:hAnsi="仿宋" w:eastAsia="仿宋"/>
          <w:sz w:val="32"/>
          <w:szCs w:val="32"/>
          <w:lang w:val="en-US" w:eastAsia="zh-CN"/>
        </w:rPr>
        <w:t>32.79万元，占7%；卫生健康支出13.46万元，占3%;住房保障支出15.93万元,占3%;其他支出15.87万元,占3%</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部门（单位）2026年财政拨款收支总预算</w:t>
      </w:r>
      <w:r>
        <w:rPr>
          <w:rFonts w:hint="eastAsia" w:ascii="仿宋" w:hAnsi="仿宋" w:eastAsia="仿宋"/>
          <w:sz w:val="32"/>
          <w:szCs w:val="32"/>
          <w:lang w:val="en-US" w:eastAsia="zh-CN"/>
        </w:rPr>
        <w:t>458.07</w:t>
      </w:r>
      <w:r>
        <w:rPr>
          <w:rFonts w:hint="eastAsia" w:ascii="仿宋" w:hAnsi="仿宋" w:eastAsia="仿宋"/>
          <w:sz w:val="32"/>
          <w:szCs w:val="32"/>
        </w:rPr>
        <w:t>万元,比2025年财政拨款收支总预算</w:t>
      </w:r>
      <w:r>
        <w:rPr>
          <w:rFonts w:hint="eastAsia" w:ascii="仿宋" w:hAnsi="仿宋" w:eastAsia="仿宋"/>
          <w:sz w:val="32"/>
          <w:szCs w:val="32"/>
          <w:lang w:eastAsia="zh-CN"/>
        </w:rPr>
        <w:t>增加</w:t>
      </w:r>
      <w:r>
        <w:rPr>
          <w:rFonts w:hint="eastAsia" w:ascii="仿宋" w:hAnsi="仿宋" w:eastAsia="仿宋"/>
          <w:sz w:val="32"/>
          <w:szCs w:val="32"/>
          <w:lang w:val="en-US" w:eastAsia="zh-CN"/>
        </w:rPr>
        <w:t>4.11</w:t>
      </w:r>
      <w:r>
        <w:rPr>
          <w:rFonts w:hint="eastAsia" w:ascii="仿宋" w:hAnsi="仿宋" w:eastAsia="仿宋"/>
          <w:sz w:val="32"/>
          <w:szCs w:val="32"/>
        </w:rPr>
        <w:t>万元，主要原因:</w:t>
      </w:r>
      <w:r>
        <w:rPr>
          <w:rFonts w:hint="eastAsia" w:ascii="仿宋" w:hAnsi="仿宋" w:eastAsia="仿宋"/>
          <w:sz w:val="32"/>
          <w:szCs w:val="32"/>
          <w:lang w:eastAsia="zh-CN"/>
        </w:rPr>
        <w:t>人员变动及项目调整。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 w:cs="仿宋_GB2312"/>
          <w:sz w:val="32"/>
          <w:szCs w:val="32"/>
          <w:lang w:eastAsia="zh-CN"/>
        </w:rPr>
      </w:pPr>
      <w:r>
        <w:rPr>
          <w:rFonts w:hint="eastAsia" w:ascii="仿宋_GB2312" w:eastAsia="仿宋_GB2312" w:cs="仿宋_GB2312"/>
          <w:sz w:val="32"/>
          <w:szCs w:val="32"/>
        </w:rPr>
        <w:t>收入包括：</w:t>
      </w:r>
      <w:r>
        <w:rPr>
          <w:rFonts w:hint="eastAsia" w:ascii="仿宋" w:hAnsi="仿宋" w:eastAsia="仿宋"/>
          <w:sz w:val="32"/>
          <w:szCs w:val="32"/>
        </w:rPr>
        <w:t>一般公共预算拨款收入</w:t>
      </w:r>
      <w:r>
        <w:rPr>
          <w:rFonts w:hint="eastAsia" w:ascii="仿宋" w:hAnsi="仿宋" w:eastAsia="仿宋"/>
          <w:sz w:val="32"/>
          <w:szCs w:val="32"/>
          <w:lang w:val="en-US" w:eastAsia="zh-CN"/>
        </w:rPr>
        <w:t>458.07</w:t>
      </w:r>
      <w:r>
        <w:rPr>
          <w:rFonts w:hint="eastAsia" w:ascii="仿宋" w:hAnsi="仿宋" w:eastAsia="仿宋"/>
          <w:sz w:val="32"/>
          <w:szCs w:val="32"/>
        </w:rPr>
        <w:t>万元</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支出包括：</w:t>
      </w:r>
      <w:r>
        <w:rPr>
          <w:rFonts w:hint="eastAsia" w:ascii="仿宋" w:hAnsi="仿宋" w:eastAsia="仿宋"/>
          <w:sz w:val="32"/>
          <w:szCs w:val="32"/>
          <w:lang w:eastAsia="zh-CN"/>
        </w:rPr>
        <w:t>一般公服务支出</w:t>
      </w:r>
      <w:r>
        <w:rPr>
          <w:rFonts w:hint="eastAsia" w:ascii="仿宋" w:hAnsi="仿宋" w:eastAsia="仿宋"/>
          <w:sz w:val="32"/>
          <w:szCs w:val="32"/>
          <w:lang w:val="en-US" w:eastAsia="zh-CN"/>
        </w:rPr>
        <w:t>395.89</w:t>
      </w:r>
      <w:r>
        <w:rPr>
          <w:rFonts w:hint="eastAsia" w:ascii="仿宋" w:hAnsi="仿宋" w:eastAsia="仿宋"/>
          <w:sz w:val="32"/>
          <w:szCs w:val="32"/>
        </w:rPr>
        <w:t>万元</w:t>
      </w:r>
      <w:r>
        <w:rPr>
          <w:rFonts w:hint="eastAsia" w:ascii="仿宋" w:hAnsi="仿宋" w:eastAsia="仿宋"/>
          <w:sz w:val="32"/>
          <w:szCs w:val="32"/>
          <w:lang w:eastAsia="zh-CN"/>
        </w:rPr>
        <w:t>，社会保障和就业支出</w:t>
      </w:r>
      <w:r>
        <w:rPr>
          <w:rFonts w:hint="eastAsia" w:ascii="仿宋" w:hAnsi="仿宋" w:eastAsia="仿宋"/>
          <w:sz w:val="32"/>
          <w:szCs w:val="32"/>
          <w:lang w:val="en-US" w:eastAsia="zh-CN"/>
        </w:rPr>
        <w:t>32.79万元，卫生健康支出13.46万元，住房保障支出15.93万元。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660"/>
        <w:rPr>
          <w:rFonts w:cs="仿宋_GB2312"/>
          <w:kern w:val="2"/>
          <w:sz w:val="32"/>
          <w:szCs w:val="32"/>
        </w:rPr>
      </w:pPr>
      <w:r>
        <w:rPr>
          <w:rFonts w:hint="eastAsia" w:cs="仿宋_GB2312"/>
          <w:kern w:val="2"/>
          <w:sz w:val="32"/>
          <w:szCs w:val="32"/>
          <w:lang w:eastAsia="zh-CN"/>
        </w:rPr>
        <w:t>成都干休所</w:t>
      </w:r>
      <w:r>
        <w:rPr>
          <w:rFonts w:hint="eastAsia" w:cs="宋体"/>
          <w:sz w:val="32"/>
          <w:szCs w:val="32"/>
        </w:rPr>
        <w:t>2026年一般公共预算当年拨款</w:t>
      </w:r>
      <w:r>
        <w:rPr>
          <w:rFonts w:hint="eastAsia" w:ascii="仿宋" w:hAnsi="仿宋" w:eastAsia="仿宋"/>
          <w:sz w:val="32"/>
          <w:szCs w:val="32"/>
          <w:lang w:val="en-US" w:eastAsia="zh-CN"/>
        </w:rPr>
        <w:t>458.07</w:t>
      </w:r>
      <w:r>
        <w:rPr>
          <w:rFonts w:hint="eastAsia" w:cs="宋体"/>
          <w:sz w:val="32"/>
          <w:szCs w:val="32"/>
        </w:rPr>
        <w:t>万元，比2025年预算数</w:t>
      </w:r>
      <w:r>
        <w:rPr>
          <w:rFonts w:hint="eastAsia"/>
          <w:sz w:val="32"/>
          <w:szCs w:val="32"/>
          <w:lang w:eastAsia="zh-CN"/>
        </w:rPr>
        <w:t>增加</w:t>
      </w:r>
      <w:r>
        <w:rPr>
          <w:rFonts w:hint="eastAsia" w:cs="宋体"/>
          <w:sz w:val="32"/>
          <w:szCs w:val="32"/>
          <w:lang w:val="en-US" w:eastAsia="zh-CN"/>
        </w:rPr>
        <w:t>4.11</w:t>
      </w:r>
      <w:r>
        <w:rPr>
          <w:rFonts w:hint="eastAsia" w:cs="宋体"/>
          <w:sz w:val="32"/>
          <w:szCs w:val="32"/>
        </w:rPr>
        <w:t>万元，主要原因:</w:t>
      </w:r>
      <w:r>
        <w:rPr>
          <w:rFonts w:hint="eastAsia" w:ascii="仿宋" w:hAnsi="仿宋" w:eastAsia="仿宋"/>
          <w:sz w:val="32"/>
          <w:szCs w:val="32"/>
          <w:lang w:eastAsia="zh-CN"/>
        </w:rPr>
        <w:t>人员变动及项目调整。</w:t>
      </w:r>
      <w:r>
        <w:rPr>
          <w:rFonts w:hint="eastAsia" w:cs="仿宋_GB2312"/>
          <w:kern w:val="2"/>
          <w:sz w:val="32"/>
          <w:szCs w:val="32"/>
        </w:rPr>
        <w:t>　</w:t>
      </w:r>
    </w:p>
    <w:p>
      <w:pPr>
        <w:pStyle w:val="10"/>
        <w:keepNext w:val="0"/>
        <w:keepLines w:val="0"/>
        <w:pageBreakBefore w:val="0"/>
        <w:widowControl w:val="0"/>
        <w:numPr>
          <w:ilvl w:val="0"/>
          <w:numId w:val="2"/>
        </w:numPr>
        <w:kinsoku/>
        <w:wordWrap/>
        <w:overflowPunct/>
        <w:topLinePunct w:val="0"/>
        <w:autoSpaceDE/>
        <w:autoSpaceDN/>
        <w:bidi w:val="0"/>
        <w:adjustRightInd w:val="0"/>
        <w:snapToGrid w:val="0"/>
        <w:spacing w:before="0" w:line="560" w:lineRule="exact"/>
        <w:ind w:firstLine="640" w:firstLineChars="200"/>
        <w:textAlignment w:val="auto"/>
        <w:rPr>
          <w:rFonts w:hint="eastAsia" w:ascii="楷体" w:eastAsia="楷体" w:cs="仿宋_GB2312"/>
          <w:kern w:val="2"/>
          <w:sz w:val="32"/>
          <w:szCs w:val="32"/>
        </w:rPr>
      </w:pPr>
      <w:r>
        <w:rPr>
          <w:rFonts w:hint="eastAsia" w:ascii="楷体" w:eastAsia="楷体" w:cs="仿宋_GB2312"/>
          <w:kern w:val="2"/>
          <w:sz w:val="32"/>
          <w:szCs w:val="32"/>
        </w:rPr>
        <w:t>一般公共预算当年拨款结构情况</w:t>
      </w:r>
    </w:p>
    <w:p>
      <w:pPr>
        <w:pStyle w:val="10"/>
        <w:keepNext w:val="0"/>
        <w:keepLines w:val="0"/>
        <w:pageBreakBefore w:val="0"/>
        <w:widowControl w:val="0"/>
        <w:numPr>
          <w:numId w:val="0"/>
        </w:numPr>
        <w:kinsoku/>
        <w:wordWrap/>
        <w:overflowPunct/>
        <w:topLinePunct w:val="0"/>
        <w:autoSpaceDE/>
        <w:autoSpaceDN/>
        <w:bidi w:val="0"/>
        <w:adjustRightInd w:val="0"/>
        <w:snapToGrid w:val="0"/>
        <w:spacing w:before="0" w:line="560" w:lineRule="exact"/>
        <w:ind w:firstLine="900" w:firstLineChars="300"/>
        <w:textAlignment w:val="auto"/>
        <w:rPr>
          <w:rFonts w:hint="eastAsia"/>
          <w:lang w:eastAsia="zh-CN"/>
        </w:rPr>
      </w:pPr>
      <w:r>
        <w:rPr>
          <w:rFonts w:hint="eastAsia"/>
          <w:lang w:eastAsia="zh-CN"/>
        </w:rPr>
        <w:t>一般公共服务支出</w:t>
      </w:r>
      <w:r>
        <w:rPr>
          <w:rFonts w:hint="eastAsia"/>
          <w:lang w:val="en-US" w:eastAsia="zh-CN"/>
        </w:rPr>
        <w:t>395.89</w:t>
      </w:r>
      <w:r>
        <w:rPr>
          <w:rFonts w:hint="eastAsia"/>
          <w:lang w:eastAsia="zh-CN"/>
        </w:rPr>
        <w:t>万元，占</w:t>
      </w:r>
      <w:r>
        <w:rPr>
          <w:rFonts w:hint="eastAsia"/>
          <w:lang w:val="en-US" w:eastAsia="zh-CN"/>
        </w:rPr>
        <w:t>86</w:t>
      </w:r>
      <w:r>
        <w:rPr>
          <w:rFonts w:hint="eastAsia"/>
          <w:lang w:eastAsia="zh-CN"/>
        </w:rPr>
        <w:t>%；社会保障和就业支出</w:t>
      </w:r>
      <w:r>
        <w:rPr>
          <w:rFonts w:hint="eastAsia"/>
          <w:lang w:val="en-US" w:eastAsia="zh-CN"/>
        </w:rPr>
        <w:t>32.79万元，占7%</w:t>
      </w:r>
      <w:r>
        <w:rPr>
          <w:rFonts w:hint="eastAsia"/>
          <w:lang w:eastAsia="zh-CN"/>
        </w:rPr>
        <w:t>；</w:t>
      </w:r>
      <w:r>
        <w:rPr>
          <w:rFonts w:hint="eastAsia"/>
          <w:lang w:val="en-US" w:eastAsia="zh-CN"/>
        </w:rPr>
        <w:t>卫生健康支出13.46万元，</w:t>
      </w:r>
      <w:r>
        <w:rPr>
          <w:rFonts w:hint="eastAsia"/>
          <w:lang w:eastAsia="zh-CN"/>
        </w:rPr>
        <w:t>占</w:t>
      </w:r>
      <w:r>
        <w:rPr>
          <w:rFonts w:hint="eastAsia"/>
          <w:lang w:val="en-US" w:eastAsia="zh-CN"/>
        </w:rPr>
        <w:t>3</w:t>
      </w:r>
      <w:r>
        <w:rPr>
          <w:rFonts w:hint="eastAsia"/>
          <w:lang w:eastAsia="zh-CN"/>
        </w:rPr>
        <w:t>%；住房保障支出</w:t>
      </w:r>
      <w:r>
        <w:rPr>
          <w:rFonts w:hint="eastAsia"/>
          <w:lang w:val="en-US" w:eastAsia="zh-CN"/>
        </w:rPr>
        <w:t>15.93</w:t>
      </w:r>
      <w:r>
        <w:rPr>
          <w:rFonts w:hint="eastAsia"/>
          <w:lang w:eastAsia="zh-CN"/>
        </w:rPr>
        <w:t>万元，占</w:t>
      </w:r>
      <w:r>
        <w:rPr>
          <w:rFonts w:hint="eastAsia"/>
          <w:lang w:val="en-US" w:eastAsia="zh-CN"/>
        </w:rPr>
        <w:t>4</w:t>
      </w:r>
      <w:r>
        <w:rPr>
          <w:rFonts w:hint="eastAsia"/>
          <w:lang w:eastAsia="zh-CN"/>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1.一般公共服务支出（201）其他共产党事务支出（36）2025年预算数为</w:t>
      </w:r>
      <w:r>
        <w:rPr>
          <w:rFonts w:hint="eastAsia" w:ascii="仿宋" w:hAnsi="仿宋" w:eastAsia="仿宋"/>
          <w:sz w:val="32"/>
          <w:szCs w:val="32"/>
          <w:lang w:val="en-US" w:eastAsia="zh-CN"/>
        </w:rPr>
        <w:t>395.89</w:t>
      </w:r>
      <w:r>
        <w:rPr>
          <w:rFonts w:hint="eastAsia" w:ascii="仿宋" w:hAnsi="仿宋" w:eastAsia="仿宋"/>
          <w:sz w:val="32"/>
          <w:szCs w:val="32"/>
        </w:rPr>
        <w:t>万元；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2.社会保险就业支出（208）机关事业单位基本养老保险缴费（0505）2025年预算数为</w:t>
      </w:r>
      <w:r>
        <w:rPr>
          <w:rFonts w:hint="eastAsia" w:ascii="仿宋" w:hAnsi="仿宋" w:eastAsia="仿宋"/>
          <w:sz w:val="32"/>
          <w:szCs w:val="32"/>
          <w:lang w:val="en-US" w:eastAsia="zh-CN"/>
        </w:rPr>
        <w:t>21.86</w:t>
      </w:r>
      <w:r>
        <w:rPr>
          <w:rFonts w:hint="eastAsia" w:ascii="仿宋" w:hAnsi="仿宋" w:eastAsia="仿宋"/>
          <w:sz w:val="32"/>
          <w:szCs w:val="32"/>
        </w:rPr>
        <w:t>万元，机关事业单位职业年金缴费（0506）2025年预算数为</w:t>
      </w:r>
      <w:r>
        <w:rPr>
          <w:rFonts w:hint="eastAsia" w:ascii="仿宋" w:hAnsi="仿宋" w:eastAsia="仿宋"/>
          <w:sz w:val="32"/>
          <w:szCs w:val="32"/>
          <w:lang w:val="en-US" w:eastAsia="zh-CN"/>
        </w:rPr>
        <w:t>10.93</w:t>
      </w:r>
      <w:r>
        <w:rPr>
          <w:rFonts w:hint="eastAsia" w:ascii="仿宋" w:hAnsi="仿宋" w:eastAsia="仿宋"/>
          <w:sz w:val="32"/>
          <w:szCs w:val="32"/>
        </w:rPr>
        <w:t>万元；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3.卫生健康支出（210）行政事业单位医疗（11） 行政单位医疗（01）2025年预算数为</w:t>
      </w:r>
      <w:r>
        <w:rPr>
          <w:rFonts w:hint="eastAsia" w:ascii="仿宋" w:hAnsi="仿宋" w:eastAsia="仿宋"/>
          <w:sz w:val="32"/>
          <w:szCs w:val="32"/>
          <w:lang w:val="en-US" w:eastAsia="zh-CN"/>
        </w:rPr>
        <w:t>9.57</w:t>
      </w:r>
      <w:r>
        <w:rPr>
          <w:rFonts w:hint="eastAsia" w:ascii="仿宋" w:hAnsi="仿宋" w:eastAsia="仿宋"/>
          <w:sz w:val="32"/>
          <w:szCs w:val="32"/>
        </w:rPr>
        <w:t>万元，公务员医疗补助（03）2025年预算数为3.89万元。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4.住房保障支出（221）住房改革支出（02）住房公积金（01）2025年预算数为15.</w:t>
      </w:r>
      <w:r>
        <w:rPr>
          <w:rFonts w:hint="eastAsia" w:ascii="仿宋" w:hAnsi="仿宋" w:eastAsia="仿宋"/>
          <w:sz w:val="32"/>
          <w:szCs w:val="32"/>
          <w:lang w:val="en-US" w:eastAsia="zh-CN"/>
        </w:rPr>
        <w:t>93</w:t>
      </w:r>
      <w:r>
        <w:rPr>
          <w:rFonts w:hint="eastAsia" w:ascii="仿宋" w:hAnsi="仿宋" w:eastAsia="仿宋"/>
          <w:sz w:val="32"/>
          <w:szCs w:val="32"/>
        </w:rPr>
        <w:t>万元。</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成都干休所</w:t>
      </w:r>
      <w:r>
        <w:rPr>
          <w:rFonts w:hint="eastAsia" w:cs="仿宋_GB2312"/>
          <w:kern w:val="2"/>
          <w:sz w:val="32"/>
          <w:szCs w:val="32"/>
        </w:rPr>
        <w:t>2026年一般公共预算基本支出</w:t>
      </w:r>
      <w:r>
        <w:rPr>
          <w:rFonts w:hint="eastAsia" w:cs="仿宋_GB2312"/>
          <w:kern w:val="2"/>
          <w:sz w:val="32"/>
          <w:szCs w:val="32"/>
          <w:lang w:val="en-US" w:eastAsia="zh-CN"/>
        </w:rPr>
        <w:t>329.49</w:t>
      </w:r>
      <w:r>
        <w:rPr>
          <w:rFonts w:hint="eastAsia" w:cs="仿宋_GB2312"/>
          <w:kern w:val="2"/>
          <w:sz w:val="32"/>
          <w:szCs w:val="32"/>
        </w:rPr>
        <w:t>万元，其中：人员经费</w:t>
      </w:r>
      <w:r>
        <w:rPr>
          <w:rFonts w:hint="eastAsia" w:cs="仿宋_GB2312"/>
          <w:kern w:val="2"/>
          <w:sz w:val="32"/>
          <w:szCs w:val="32"/>
          <w:lang w:val="en-US" w:eastAsia="zh-CN"/>
        </w:rPr>
        <w:t>229.61</w:t>
      </w:r>
      <w:r>
        <w:rPr>
          <w:rFonts w:hint="eastAsia" w:cs="仿宋_GB2312"/>
          <w:kern w:val="2"/>
          <w:sz w:val="32"/>
          <w:szCs w:val="32"/>
        </w:rPr>
        <w:t>万元，主要包括：基本工资</w:t>
      </w:r>
      <w:r>
        <w:rPr>
          <w:rFonts w:hint="eastAsia" w:cs="仿宋_GB2312"/>
          <w:kern w:val="2"/>
          <w:sz w:val="32"/>
          <w:szCs w:val="32"/>
          <w:lang w:val="en-US" w:eastAsia="zh-CN"/>
        </w:rPr>
        <w:t>50.43万元</w:t>
      </w:r>
      <w:r>
        <w:rPr>
          <w:rFonts w:hint="eastAsia" w:cs="仿宋_GB2312"/>
          <w:kern w:val="2"/>
          <w:sz w:val="32"/>
          <w:szCs w:val="32"/>
        </w:rPr>
        <w:t>、津贴补贴</w:t>
      </w:r>
      <w:r>
        <w:rPr>
          <w:rFonts w:hint="eastAsia" w:cs="仿宋_GB2312"/>
          <w:kern w:val="2"/>
          <w:sz w:val="32"/>
          <w:szCs w:val="32"/>
          <w:lang w:val="en-US" w:eastAsia="zh-CN"/>
        </w:rPr>
        <w:t>37.82万元</w:t>
      </w:r>
      <w:r>
        <w:rPr>
          <w:rFonts w:hint="eastAsia" w:cs="仿宋_GB2312"/>
          <w:kern w:val="2"/>
          <w:sz w:val="32"/>
          <w:szCs w:val="32"/>
        </w:rPr>
        <w:t>、奖金</w:t>
      </w:r>
      <w:r>
        <w:rPr>
          <w:rFonts w:hint="eastAsia" w:cs="仿宋_GB2312"/>
          <w:kern w:val="2"/>
          <w:sz w:val="32"/>
          <w:szCs w:val="32"/>
          <w:lang w:val="en-US" w:eastAsia="zh-CN"/>
        </w:rPr>
        <w:t>49.2万元</w:t>
      </w:r>
      <w:r>
        <w:rPr>
          <w:rFonts w:hint="eastAsia" w:cs="仿宋_GB2312"/>
          <w:kern w:val="2"/>
          <w:sz w:val="32"/>
          <w:szCs w:val="32"/>
        </w:rPr>
        <w:t>、其他社会保障缴费</w:t>
      </w:r>
      <w:r>
        <w:rPr>
          <w:rFonts w:hint="eastAsia" w:cs="仿宋_GB2312"/>
          <w:kern w:val="2"/>
          <w:sz w:val="32"/>
          <w:szCs w:val="32"/>
          <w:lang w:val="en-US" w:eastAsia="zh-CN"/>
        </w:rPr>
        <w:t>1.09万元</w:t>
      </w:r>
      <w:r>
        <w:rPr>
          <w:rFonts w:hint="eastAsia" w:cs="仿宋_GB2312"/>
          <w:kern w:val="2"/>
          <w:sz w:val="32"/>
          <w:szCs w:val="32"/>
        </w:rPr>
        <w:t>、绩效工资、机关事业单位基本养老保险缴费</w:t>
      </w:r>
      <w:r>
        <w:rPr>
          <w:rFonts w:hint="eastAsia" w:cs="仿宋_GB2312"/>
          <w:kern w:val="2"/>
          <w:sz w:val="32"/>
          <w:szCs w:val="32"/>
          <w:lang w:val="en-US" w:eastAsia="zh-CN"/>
        </w:rPr>
        <w:t>21.86万元</w:t>
      </w:r>
      <w:r>
        <w:rPr>
          <w:rFonts w:hint="eastAsia" w:cs="仿宋_GB2312"/>
          <w:kern w:val="2"/>
          <w:sz w:val="32"/>
          <w:szCs w:val="32"/>
        </w:rPr>
        <w:t>、职业年金缴费</w:t>
      </w:r>
      <w:r>
        <w:rPr>
          <w:rFonts w:hint="eastAsia" w:cs="仿宋_GB2312"/>
          <w:kern w:val="2"/>
          <w:sz w:val="32"/>
          <w:szCs w:val="32"/>
          <w:lang w:val="en-US" w:eastAsia="zh-CN"/>
        </w:rPr>
        <w:t>10.93万元</w:t>
      </w:r>
      <w:r>
        <w:rPr>
          <w:rFonts w:hint="eastAsia" w:cs="仿宋_GB2312"/>
          <w:kern w:val="2"/>
          <w:sz w:val="32"/>
          <w:szCs w:val="32"/>
        </w:rPr>
        <w:t>、其他工资福利支出</w:t>
      </w:r>
      <w:r>
        <w:rPr>
          <w:rFonts w:hint="eastAsia" w:cs="仿宋_GB2312"/>
          <w:kern w:val="2"/>
          <w:sz w:val="32"/>
          <w:szCs w:val="32"/>
          <w:lang w:val="en-US" w:eastAsia="zh-CN"/>
        </w:rPr>
        <w:t>9.79万元</w:t>
      </w:r>
      <w:r>
        <w:rPr>
          <w:rFonts w:hint="eastAsia" w:cs="仿宋_GB2312"/>
          <w:kern w:val="2"/>
          <w:sz w:val="32"/>
          <w:szCs w:val="32"/>
        </w:rPr>
        <w:t>、离休费、奖励金、住房公积金</w:t>
      </w:r>
      <w:r>
        <w:rPr>
          <w:rFonts w:hint="eastAsia" w:cs="仿宋_GB2312"/>
          <w:kern w:val="2"/>
          <w:sz w:val="32"/>
          <w:szCs w:val="32"/>
          <w:lang w:val="en-US" w:eastAsia="zh-CN"/>
        </w:rPr>
        <w:t>15.93万元</w:t>
      </w:r>
      <w:r>
        <w:rPr>
          <w:rFonts w:hint="eastAsia" w:cs="仿宋_GB2312"/>
          <w:kern w:val="2"/>
          <w:sz w:val="32"/>
          <w:szCs w:val="32"/>
        </w:rPr>
        <w:t>、</w:t>
      </w:r>
      <w:r>
        <w:rPr>
          <w:rFonts w:hint="eastAsia" w:cs="仿宋_GB2312"/>
          <w:kern w:val="2"/>
          <w:sz w:val="32"/>
          <w:szCs w:val="32"/>
          <w:lang w:eastAsia="zh-CN"/>
        </w:rPr>
        <w:t>基本医疗保险缴费</w:t>
      </w:r>
      <w:r>
        <w:rPr>
          <w:rFonts w:hint="eastAsia" w:cs="仿宋_GB2312"/>
          <w:kern w:val="2"/>
          <w:sz w:val="32"/>
          <w:szCs w:val="32"/>
          <w:lang w:val="en-US" w:eastAsia="zh-CN"/>
        </w:rPr>
        <w:t>9.57万元、公务员医疗缴费3.89万元、</w:t>
      </w:r>
      <w:r>
        <w:rPr>
          <w:rFonts w:hint="eastAsia" w:cs="仿宋_GB2312"/>
          <w:kern w:val="2"/>
          <w:sz w:val="32"/>
          <w:szCs w:val="32"/>
        </w:rPr>
        <w:t>其他对个人和家庭的补助支出</w:t>
      </w:r>
      <w:r>
        <w:rPr>
          <w:rFonts w:hint="eastAsia" w:cs="仿宋_GB2312"/>
          <w:kern w:val="2"/>
          <w:sz w:val="32"/>
          <w:szCs w:val="32"/>
          <w:lang w:val="en-US" w:eastAsia="zh-CN"/>
        </w:rPr>
        <w:t>19.1万元</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99.88</w:t>
      </w:r>
      <w:r>
        <w:rPr>
          <w:rFonts w:hint="eastAsia" w:cs="仿宋_GB2312"/>
          <w:kern w:val="2"/>
          <w:sz w:val="32"/>
          <w:szCs w:val="32"/>
        </w:rPr>
        <w:t>万元，主要包括：办公费</w:t>
      </w:r>
      <w:r>
        <w:rPr>
          <w:rFonts w:hint="eastAsia" w:cs="仿宋_GB2312"/>
          <w:kern w:val="2"/>
          <w:sz w:val="32"/>
          <w:szCs w:val="32"/>
          <w:lang w:val="en-US" w:eastAsia="zh-CN"/>
        </w:rPr>
        <w:t>2.16万元</w:t>
      </w:r>
      <w:r>
        <w:rPr>
          <w:rFonts w:hint="eastAsia" w:cs="仿宋_GB2312"/>
          <w:kern w:val="2"/>
          <w:sz w:val="32"/>
          <w:szCs w:val="32"/>
        </w:rPr>
        <w:t>、印刷费、手续费、水费</w:t>
      </w:r>
      <w:r>
        <w:rPr>
          <w:rFonts w:hint="eastAsia" w:cs="仿宋_GB2312"/>
          <w:kern w:val="2"/>
          <w:sz w:val="32"/>
          <w:szCs w:val="32"/>
          <w:lang w:val="en-US" w:eastAsia="zh-CN"/>
        </w:rPr>
        <w:t>0.32万元</w:t>
      </w:r>
      <w:r>
        <w:rPr>
          <w:rFonts w:hint="eastAsia" w:cs="仿宋_GB2312"/>
          <w:kern w:val="2"/>
          <w:sz w:val="32"/>
          <w:szCs w:val="32"/>
        </w:rPr>
        <w:t>、电费、邮电费</w:t>
      </w:r>
      <w:r>
        <w:rPr>
          <w:rFonts w:hint="eastAsia" w:cs="仿宋_GB2312"/>
          <w:kern w:val="2"/>
          <w:sz w:val="32"/>
          <w:szCs w:val="32"/>
          <w:lang w:val="en-US" w:eastAsia="zh-CN"/>
        </w:rPr>
        <w:t>2.33万元</w:t>
      </w:r>
      <w:r>
        <w:rPr>
          <w:rFonts w:hint="eastAsia" w:cs="仿宋_GB2312"/>
          <w:kern w:val="2"/>
          <w:sz w:val="32"/>
          <w:szCs w:val="32"/>
        </w:rPr>
        <w:t>、差旅费</w:t>
      </w:r>
      <w:r>
        <w:rPr>
          <w:rFonts w:hint="eastAsia" w:cs="仿宋_GB2312"/>
          <w:kern w:val="2"/>
          <w:sz w:val="32"/>
          <w:szCs w:val="32"/>
          <w:lang w:val="en-US" w:eastAsia="zh-CN"/>
        </w:rPr>
        <w:t>19.16万元</w:t>
      </w:r>
      <w:r>
        <w:rPr>
          <w:rFonts w:hint="eastAsia" w:cs="仿宋_GB2312"/>
          <w:kern w:val="2"/>
          <w:sz w:val="32"/>
          <w:szCs w:val="32"/>
        </w:rPr>
        <w:t>、维修（护）费</w:t>
      </w:r>
      <w:r>
        <w:rPr>
          <w:rFonts w:hint="eastAsia" w:cs="仿宋_GB2312"/>
          <w:kern w:val="2"/>
          <w:sz w:val="32"/>
          <w:szCs w:val="32"/>
          <w:lang w:val="en-US" w:eastAsia="zh-CN"/>
        </w:rPr>
        <w:t>1.42万元</w:t>
      </w:r>
      <w:r>
        <w:rPr>
          <w:rFonts w:hint="eastAsia" w:cs="仿宋_GB2312"/>
          <w:kern w:val="2"/>
          <w:sz w:val="32"/>
          <w:szCs w:val="32"/>
        </w:rPr>
        <w:t>、租赁费、会议费、培训费</w:t>
      </w:r>
      <w:r>
        <w:rPr>
          <w:rFonts w:hint="eastAsia" w:cs="仿宋_GB2312"/>
          <w:kern w:val="2"/>
          <w:sz w:val="32"/>
          <w:szCs w:val="32"/>
          <w:lang w:val="en-US" w:eastAsia="zh-CN"/>
        </w:rPr>
        <w:t>1.67万元</w:t>
      </w:r>
      <w:r>
        <w:rPr>
          <w:rFonts w:hint="eastAsia" w:cs="仿宋_GB2312"/>
          <w:kern w:val="2"/>
          <w:sz w:val="32"/>
          <w:szCs w:val="32"/>
        </w:rPr>
        <w:t>、劳务费、工会经费、福利费、其他交通工具运行维护费、</w:t>
      </w:r>
      <w:r>
        <w:rPr>
          <w:rFonts w:hint="eastAsia" w:cs="仿宋_GB2312"/>
          <w:kern w:val="2"/>
          <w:sz w:val="32"/>
          <w:szCs w:val="32"/>
          <w:lang w:eastAsia="zh-CN"/>
        </w:rPr>
        <w:t>取暖费</w:t>
      </w:r>
      <w:r>
        <w:rPr>
          <w:rFonts w:hint="eastAsia" w:cs="仿宋_GB2312"/>
          <w:kern w:val="2"/>
          <w:sz w:val="32"/>
          <w:szCs w:val="32"/>
          <w:lang w:val="en-US" w:eastAsia="zh-CN"/>
        </w:rPr>
        <w:t>0.43万元、公务接待费2.05万元、公车运行维护费57.6万元、</w:t>
      </w:r>
      <w:r>
        <w:rPr>
          <w:rFonts w:hint="eastAsia" w:cs="仿宋_GB2312"/>
          <w:kern w:val="2"/>
          <w:sz w:val="32"/>
          <w:szCs w:val="32"/>
        </w:rPr>
        <w:t>其他商品和服务支出</w:t>
      </w:r>
      <w:r>
        <w:rPr>
          <w:rFonts w:hint="eastAsia" w:cs="仿宋_GB2312"/>
          <w:kern w:val="2"/>
          <w:sz w:val="32"/>
          <w:szCs w:val="32"/>
          <w:lang w:val="en-US" w:eastAsia="zh-CN"/>
        </w:rPr>
        <w:t>12.74万元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部门（单位）2026年“三公”经费财政拨款预算数</w:t>
      </w:r>
      <w:r>
        <w:rPr>
          <w:rFonts w:hint="eastAsia" w:cs="仿宋_GB2312"/>
          <w:kern w:val="2"/>
          <w:sz w:val="32"/>
          <w:szCs w:val="32"/>
          <w:lang w:val="en-US" w:eastAsia="zh-CN"/>
        </w:rPr>
        <w:t>59.65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2.05</w:t>
      </w:r>
      <w:r>
        <w:rPr>
          <w:rFonts w:hint="eastAsia" w:cs="仿宋_GB2312"/>
          <w:kern w:val="2"/>
          <w:sz w:val="32"/>
          <w:szCs w:val="32"/>
        </w:rPr>
        <w:t>万元，公务用车购置及运行维护费</w:t>
      </w:r>
      <w:r>
        <w:rPr>
          <w:rFonts w:hint="eastAsia" w:cs="仿宋_GB2312"/>
          <w:kern w:val="2"/>
          <w:sz w:val="32"/>
          <w:szCs w:val="32"/>
          <w:lang w:val="en-US" w:eastAsia="zh-CN"/>
        </w:rPr>
        <w:t>57.6</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eastAsia="仿宋"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color w:val="000000"/>
          <w:kern w:val="2"/>
          <w:sz w:val="32"/>
          <w:szCs w:val="32"/>
          <w:lang w:val="en-US" w:eastAsia="zh-CN"/>
        </w:rPr>
        <w:t>2.05</w:t>
      </w:r>
      <w:r>
        <w:rPr>
          <w:rFonts w:hint="eastAsia" w:cs="仿宋_GB2312"/>
          <w:color w:val="000000"/>
          <w:kern w:val="2"/>
          <w:sz w:val="32"/>
          <w:szCs w:val="32"/>
        </w:rPr>
        <w:t>万元。较2025年预算经费减少</w:t>
      </w:r>
      <w:r>
        <w:rPr>
          <w:rFonts w:hint="eastAsia" w:cs="仿宋_GB2312"/>
          <w:color w:val="000000"/>
          <w:kern w:val="2"/>
          <w:sz w:val="32"/>
          <w:szCs w:val="32"/>
          <w:lang w:val="en-US" w:eastAsia="zh-CN"/>
        </w:rPr>
        <w:t>0.02</w:t>
      </w:r>
      <w:r>
        <w:rPr>
          <w:rFonts w:hint="eastAsia" w:cs="仿宋_GB2312"/>
          <w:color w:val="000000"/>
          <w:kern w:val="2"/>
          <w:sz w:val="32"/>
          <w:szCs w:val="32"/>
        </w:rPr>
        <w:t>万元，</w:t>
      </w:r>
      <w:r>
        <w:rPr>
          <w:rFonts w:hint="eastAsia" w:cs="宋体"/>
          <w:sz w:val="32"/>
          <w:szCs w:val="32"/>
          <w:lang w:eastAsia="zh-CN"/>
        </w:rPr>
        <w:t>减少</w:t>
      </w:r>
      <w:r>
        <w:rPr>
          <w:rFonts w:hint="eastAsia" w:cs="仿宋_GB2312"/>
          <w:color w:val="000000"/>
          <w:kern w:val="2"/>
          <w:sz w:val="32"/>
          <w:szCs w:val="32"/>
          <w:lang w:val="en-US" w:eastAsia="zh-CN"/>
        </w:rPr>
        <w:t>1</w:t>
      </w:r>
      <w:r>
        <w:rPr>
          <w:rFonts w:hint="eastAsia" w:cs="仿宋_GB2312"/>
          <w:color w:val="000000"/>
          <w:kern w:val="2"/>
          <w:sz w:val="32"/>
          <w:szCs w:val="32"/>
        </w:rPr>
        <w:t>%，</w:t>
      </w:r>
      <w:r>
        <w:rPr>
          <w:rFonts w:hint="eastAsia" w:ascii="仿宋" w:hAnsi="仿宋" w:eastAsia="仿宋" w:cs="仿宋_GB2312"/>
          <w:color w:val="000000"/>
          <w:kern w:val="2"/>
          <w:sz w:val="32"/>
          <w:szCs w:val="32"/>
        </w:rPr>
        <w:t>主要原因财政压减</w:t>
      </w:r>
      <w:r>
        <w:rPr>
          <w:rFonts w:hint="eastAsia" w:ascii="仿宋" w:hAnsi="仿宋" w:eastAsia="仿宋" w:cs="仿宋_GB2312"/>
          <w:color w:val="000000"/>
          <w:kern w:val="2"/>
          <w:sz w:val="32"/>
          <w:szCs w:val="32"/>
          <w:lang w:eastAsia="zh-CN"/>
        </w:rPr>
        <w:t>。</w:t>
      </w:r>
    </w:p>
    <w:p>
      <w:pPr>
        <w:pStyle w:val="10"/>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57.6</w:t>
      </w:r>
      <w:r>
        <w:rPr>
          <w:rFonts w:hint="eastAsia" w:cs="仿宋_GB2312"/>
          <w:color w:val="000000"/>
          <w:kern w:val="2"/>
          <w:sz w:val="32"/>
          <w:szCs w:val="32"/>
        </w:rPr>
        <w:t>万元。较2025年预算经费</w:t>
      </w:r>
      <w:r>
        <w:rPr>
          <w:rFonts w:hint="eastAsia" w:cs="仿宋_GB2312"/>
          <w:color w:val="000000"/>
          <w:kern w:val="2"/>
          <w:sz w:val="32"/>
          <w:szCs w:val="32"/>
          <w:lang w:eastAsia="zh-CN"/>
        </w:rPr>
        <w:t>无变化。</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仿宋_GB2312"/>
          <w:kern w:val="2"/>
          <w:sz w:val="32"/>
          <w:szCs w:val="32"/>
          <w:lang w:eastAsia="zh-CN"/>
        </w:rPr>
        <w:t>无变化</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w:t>
      </w:r>
      <w:r>
        <w:rPr>
          <w:rFonts w:hint="eastAsia" w:cs="仿宋_GB2312"/>
          <w:kern w:val="2"/>
          <w:sz w:val="32"/>
          <w:szCs w:val="32"/>
          <w:lang w:val="en-US" w:eastAsia="zh-CN"/>
        </w:rPr>
        <w:t>99.88</w:t>
      </w:r>
      <w:r>
        <w:rPr>
          <w:rFonts w:hint="eastAsia" w:cs="仿宋_GB2312"/>
          <w:kern w:val="2"/>
          <w:sz w:val="32"/>
          <w:szCs w:val="32"/>
        </w:rPr>
        <w:t>万元，比2025年预算</w:t>
      </w:r>
      <w:r>
        <w:rPr>
          <w:rFonts w:hint="eastAsia" w:cs="仿宋_GB2312"/>
          <w:color w:val="000000"/>
          <w:kern w:val="2"/>
          <w:sz w:val="32"/>
          <w:szCs w:val="32"/>
        </w:rPr>
        <w:t>减少</w:t>
      </w:r>
      <w:r>
        <w:rPr>
          <w:rFonts w:hint="eastAsia" w:cs="仿宋_GB2312"/>
          <w:color w:val="000000"/>
          <w:kern w:val="2"/>
          <w:sz w:val="32"/>
          <w:szCs w:val="32"/>
          <w:lang w:val="en-US" w:eastAsia="zh-CN"/>
        </w:rPr>
        <w:t>1.31</w:t>
      </w:r>
      <w:r>
        <w:rPr>
          <w:rFonts w:hint="eastAsia" w:cs="仿宋_GB2312"/>
          <w:color w:val="000000"/>
          <w:kern w:val="2"/>
          <w:sz w:val="32"/>
          <w:szCs w:val="32"/>
        </w:rPr>
        <w:t>万元，减少</w:t>
      </w:r>
      <w:r>
        <w:rPr>
          <w:rFonts w:hint="eastAsia" w:cs="仿宋_GB2312"/>
          <w:color w:val="000000"/>
          <w:kern w:val="2"/>
          <w:sz w:val="32"/>
          <w:szCs w:val="32"/>
          <w:lang w:val="en-US" w:eastAsia="zh-CN"/>
        </w:rPr>
        <w:t>1.3</w:t>
      </w:r>
      <w:r>
        <w:rPr>
          <w:rFonts w:hint="eastAsia" w:cs="仿宋_GB2312"/>
          <w:color w:val="000000"/>
          <w:kern w:val="2"/>
          <w:sz w:val="32"/>
          <w:szCs w:val="32"/>
        </w:rPr>
        <w:t xml:space="preserve">%。 </w:t>
      </w:r>
    </w:p>
    <w:p>
      <w:pPr>
        <w:pStyle w:val="10"/>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1606</w:t>
      </w:r>
      <w:bookmarkStart w:id="0" w:name="_GoBack"/>
      <w:bookmarkEnd w:id="0"/>
      <w:r>
        <w:rPr>
          <w:rFonts w:hint="eastAsia" w:cs="仿宋_GB2312"/>
          <w:kern w:val="2"/>
          <w:sz w:val="32"/>
          <w:szCs w:val="32"/>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2026年部门</w:t>
      </w:r>
      <w:r>
        <w:rPr>
          <w:rFonts w:hint="eastAsia" w:cs="仿宋_GB2312"/>
          <w:kern w:val="2"/>
          <w:sz w:val="32"/>
          <w:szCs w:val="32"/>
          <w:lang w:eastAsia="zh-CN"/>
        </w:rPr>
        <w:t>成都干休所</w:t>
      </w:r>
      <w:r>
        <w:rPr>
          <w:rFonts w:hint="eastAsia" w:cs="仿宋_GB2312"/>
          <w:kern w:val="2"/>
          <w:sz w:val="32"/>
          <w:szCs w:val="32"/>
        </w:rPr>
        <w:t>通用项目和专用项目均按要求实行绩效目标管理，涉及一般公共预算当年拨款</w:t>
      </w:r>
      <w:r>
        <w:rPr>
          <w:rFonts w:hint="eastAsia" w:ascii="仿宋" w:hAnsi="仿宋" w:eastAsia="仿宋"/>
          <w:sz w:val="32"/>
          <w:szCs w:val="32"/>
          <w:lang w:val="en-US" w:eastAsia="zh-CN"/>
        </w:rPr>
        <w:t>458.07</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9956F"/>
    <w:multiLevelType w:val="singleLevel"/>
    <w:tmpl w:val="0BF9956F"/>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99232CE"/>
    <w:rsid w:val="0ECC068B"/>
    <w:rsid w:val="236048FC"/>
    <w:rsid w:val="2A8B24B2"/>
    <w:rsid w:val="3AF62369"/>
    <w:rsid w:val="51152C83"/>
    <w:rsid w:val="51FF7A32"/>
    <w:rsid w:val="72191BEA"/>
    <w:rsid w:val="733E3E4C"/>
    <w:rsid w:val="76F027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7">
    <w:name w:val="Default Paragraph Font"/>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8</TotalTime>
  <ScaleCrop>false</ScaleCrop>
  <LinksUpToDate>false</LinksUpToDate>
  <CharactersWithSpaces>1800</CharactersWithSpaces>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Administration</cp:lastModifiedBy>
  <cp:lastPrinted>2018-01-30T09:39:00Z</cp:lastPrinted>
  <dcterms:modified xsi:type="dcterms:W3CDTF">2026-02-09T02:38:41Z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