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ACB1E"/>
    <w:p w14:paraId="447F4273"/>
    <w:p w14:paraId="2CF6696C"/>
    <w:p w14:paraId="50D21E4C">
      <w:pPr>
        <w:jc w:val="center"/>
        <w:rPr>
          <w:rFonts w:hint="default" w:ascii="Times New Roman" w:hAnsi="Times New Roman" w:eastAsia="黑体" w:cs="Times New Roman"/>
          <w:sz w:val="44"/>
          <w:szCs w:val="44"/>
          <w:lang w:val="en-US" w:eastAsia="zh-CN"/>
        </w:rPr>
      </w:pPr>
    </w:p>
    <w:p w14:paraId="5138F8D3">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lang w:val="en-US" w:eastAsia="zh-CN"/>
        </w:rPr>
        <w:t>阿坝州州级机关退休干部驻都江堰市休养所</w:t>
      </w:r>
      <w:r>
        <w:rPr>
          <w:rFonts w:hint="default" w:ascii="Times New Roman" w:hAnsi="Times New Roman" w:eastAsia="黑体" w:cs="Times New Roman"/>
          <w:sz w:val="44"/>
          <w:szCs w:val="44"/>
        </w:rPr>
        <w:t>2026年部门预算</w:t>
      </w:r>
    </w:p>
    <w:p w14:paraId="7ED2A5C6">
      <w:pPr>
        <w:ind w:firstLine="1760" w:firstLineChars="400"/>
        <w:rPr>
          <w:rFonts w:hint="default" w:ascii="Times New Roman" w:hAnsi="Times New Roman" w:eastAsia="黑体" w:cs="Times New Roman"/>
          <w:sz w:val="44"/>
          <w:szCs w:val="44"/>
        </w:rPr>
      </w:pPr>
    </w:p>
    <w:p w14:paraId="538AC7E3">
      <w:pPr>
        <w:ind w:firstLine="1760" w:firstLineChars="400"/>
        <w:rPr>
          <w:rFonts w:hint="default" w:ascii="Times New Roman" w:hAnsi="Times New Roman" w:eastAsia="黑体" w:cs="Times New Roman"/>
          <w:sz w:val="44"/>
          <w:szCs w:val="44"/>
        </w:rPr>
      </w:pPr>
    </w:p>
    <w:p w14:paraId="0D313CF7">
      <w:pPr>
        <w:ind w:firstLine="1760" w:firstLineChars="400"/>
        <w:rPr>
          <w:rFonts w:hint="default" w:ascii="Times New Roman" w:hAnsi="Times New Roman" w:eastAsia="黑体" w:cs="Times New Roman"/>
          <w:sz w:val="44"/>
          <w:szCs w:val="44"/>
        </w:rPr>
      </w:pPr>
    </w:p>
    <w:p w14:paraId="741AFCD0">
      <w:pPr>
        <w:ind w:firstLine="1760" w:firstLineChars="400"/>
        <w:rPr>
          <w:rFonts w:hint="default" w:ascii="Times New Roman" w:hAnsi="Times New Roman" w:eastAsia="黑体" w:cs="Times New Roman"/>
          <w:sz w:val="44"/>
          <w:szCs w:val="44"/>
        </w:rPr>
      </w:pPr>
    </w:p>
    <w:p w14:paraId="7A459A72">
      <w:pPr>
        <w:ind w:firstLine="1760" w:firstLineChars="400"/>
        <w:rPr>
          <w:rFonts w:hint="default" w:ascii="Times New Roman" w:hAnsi="Times New Roman" w:eastAsia="黑体" w:cs="Times New Roman"/>
          <w:sz w:val="44"/>
          <w:szCs w:val="44"/>
        </w:rPr>
      </w:pPr>
    </w:p>
    <w:p w14:paraId="12C361B1">
      <w:pPr>
        <w:ind w:firstLine="1760" w:firstLineChars="400"/>
        <w:rPr>
          <w:rFonts w:hint="default" w:ascii="Times New Roman" w:hAnsi="Times New Roman" w:eastAsia="黑体" w:cs="Times New Roman"/>
          <w:sz w:val="44"/>
          <w:szCs w:val="44"/>
        </w:rPr>
      </w:pPr>
    </w:p>
    <w:p w14:paraId="0FA9BF73">
      <w:pPr>
        <w:ind w:firstLine="1760" w:firstLineChars="400"/>
        <w:rPr>
          <w:rFonts w:hint="default" w:ascii="Times New Roman" w:hAnsi="Times New Roman" w:eastAsia="黑体" w:cs="Times New Roman"/>
          <w:sz w:val="44"/>
          <w:szCs w:val="44"/>
        </w:rPr>
      </w:pPr>
    </w:p>
    <w:p w14:paraId="104679B3">
      <w:pPr>
        <w:ind w:firstLine="1760" w:firstLineChars="400"/>
        <w:rPr>
          <w:rFonts w:hint="default" w:ascii="Times New Roman" w:hAnsi="Times New Roman" w:eastAsia="黑体" w:cs="Times New Roman"/>
          <w:sz w:val="44"/>
          <w:szCs w:val="44"/>
        </w:rPr>
      </w:pPr>
    </w:p>
    <w:p w14:paraId="53B831F7">
      <w:pPr>
        <w:ind w:firstLine="1760" w:firstLineChars="400"/>
        <w:rPr>
          <w:rFonts w:hint="default" w:ascii="Times New Roman" w:hAnsi="Times New Roman" w:eastAsia="黑体" w:cs="Times New Roman"/>
          <w:sz w:val="44"/>
          <w:szCs w:val="44"/>
        </w:rPr>
      </w:pPr>
    </w:p>
    <w:p w14:paraId="74EF1AC4">
      <w:pPr>
        <w:ind w:firstLine="1760" w:firstLineChars="400"/>
        <w:rPr>
          <w:rFonts w:hint="default" w:ascii="Times New Roman" w:hAnsi="Times New Roman" w:eastAsia="黑体" w:cs="Times New Roman"/>
          <w:sz w:val="44"/>
          <w:szCs w:val="44"/>
        </w:rPr>
      </w:pPr>
    </w:p>
    <w:p w14:paraId="0D99A374">
      <w:pPr>
        <w:ind w:firstLine="1760" w:firstLineChars="400"/>
        <w:rPr>
          <w:rFonts w:hint="default" w:ascii="Times New Roman" w:hAnsi="Times New Roman" w:eastAsia="黑体" w:cs="Times New Roman"/>
          <w:sz w:val="44"/>
          <w:szCs w:val="44"/>
        </w:rPr>
      </w:pPr>
    </w:p>
    <w:p w14:paraId="05FD4B7F">
      <w:pPr>
        <w:ind w:firstLine="1760" w:firstLineChars="400"/>
        <w:rPr>
          <w:rFonts w:hint="default" w:ascii="Times New Roman" w:hAnsi="Times New Roman" w:eastAsia="黑体" w:cs="Times New Roman"/>
          <w:sz w:val="44"/>
          <w:szCs w:val="44"/>
        </w:rPr>
      </w:pPr>
    </w:p>
    <w:p w14:paraId="48A029EC">
      <w:pPr>
        <w:ind w:firstLine="1760" w:firstLineChars="400"/>
        <w:rPr>
          <w:rFonts w:hint="default" w:ascii="Times New Roman" w:hAnsi="Times New Roman" w:eastAsia="黑体" w:cs="Times New Roman"/>
          <w:sz w:val="44"/>
          <w:szCs w:val="44"/>
        </w:rPr>
      </w:pPr>
    </w:p>
    <w:p w14:paraId="59612800">
      <w:pPr>
        <w:ind w:firstLine="1760" w:firstLineChars="400"/>
        <w:rPr>
          <w:rFonts w:hint="default" w:ascii="Times New Roman" w:hAnsi="Times New Roman" w:eastAsia="黑体" w:cs="Times New Roman"/>
          <w:sz w:val="44"/>
          <w:szCs w:val="44"/>
        </w:rPr>
      </w:pPr>
    </w:p>
    <w:p w14:paraId="7646B3B4">
      <w:pPr>
        <w:rPr>
          <w:rFonts w:hint="default" w:ascii="Times New Roman" w:hAnsi="Times New Roman" w:eastAsia="黑体" w:cs="Times New Roman"/>
          <w:sz w:val="44"/>
          <w:szCs w:val="44"/>
        </w:rPr>
      </w:pPr>
    </w:p>
    <w:p w14:paraId="6E99D703">
      <w:pPr>
        <w:ind w:firstLine="3080" w:firstLineChars="700"/>
        <w:rPr>
          <w:rFonts w:hint="default" w:ascii="Times New Roman" w:hAnsi="Times New Roman" w:eastAsia="黑体" w:cs="Times New Roman"/>
          <w:sz w:val="44"/>
          <w:szCs w:val="44"/>
        </w:rPr>
      </w:pPr>
    </w:p>
    <w:sdt>
      <w:sdtPr>
        <w:rPr>
          <w:rFonts w:ascii="宋体" w:hAnsi="宋体" w:eastAsia="宋体" w:cs="Times New Roman"/>
          <w:kern w:val="2"/>
          <w:sz w:val="21"/>
          <w:szCs w:val="22"/>
          <w:lang w:val="en-US" w:eastAsia="zh-CN" w:bidi="ar-SA"/>
        </w:rPr>
        <w:id w:val="147462927"/>
        <w15:color w:val="DBDBDB"/>
        <w:docPartObj>
          <w:docPartGallery w:val="Table of Contents"/>
          <w:docPartUnique/>
        </w:docPartObj>
      </w:sdtPr>
      <w:sdtEndPr>
        <w:rPr>
          <w:rFonts w:hint="default" w:ascii="Times New Roman" w:hAnsi="Times New Roman" w:eastAsia="仿宋" w:cs="Times New Roman"/>
          <w:kern w:val="2"/>
          <w:sz w:val="21"/>
          <w:szCs w:val="32"/>
          <w:lang w:val="en-US" w:eastAsia="zh-CN" w:bidi="ar-SA"/>
        </w:rPr>
      </w:sdtEndPr>
      <w:sdtContent>
        <w:p w14:paraId="1870BF6A">
          <w:pPr>
            <w:spacing w:before="0" w:beforeLines="0" w:after="0" w:afterLines="0" w:line="240" w:lineRule="auto"/>
            <w:ind w:left="0" w:leftChars="0" w:right="0" w:rightChars="0" w:firstLine="0" w:firstLineChars="0"/>
            <w:jc w:val="center"/>
            <w:rPr>
              <w:rFonts w:hint="eastAsia" w:ascii="仿宋" w:hAnsi="仿宋" w:eastAsia="仿宋" w:cs="仿宋"/>
              <w:sz w:val="52"/>
              <w:szCs w:val="52"/>
            </w:rPr>
          </w:pPr>
          <w:r>
            <w:rPr>
              <w:rFonts w:hint="eastAsia" w:ascii="仿宋" w:hAnsi="仿宋" w:eastAsia="仿宋" w:cs="仿宋"/>
              <w:sz w:val="52"/>
              <w:szCs w:val="52"/>
            </w:rPr>
            <w:t>目录</w:t>
          </w:r>
        </w:p>
        <w:p w14:paraId="7B0208F6">
          <w:pPr>
            <w:pStyle w:val="8"/>
            <w:tabs>
              <w:tab w:val="right" w:leader="dot" w:pos="8845"/>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TOC \o "1-3" \h \u </w:instrText>
          </w:r>
          <w:r>
            <w:rPr>
              <w:rFonts w:hint="eastAsia" w:ascii="仿宋" w:hAnsi="仿宋" w:eastAsia="仿宋" w:cs="仿宋"/>
              <w:sz w:val="32"/>
              <w:szCs w:val="32"/>
            </w:rPr>
            <w:fldChar w:fldCharType="separate"/>
          </w:r>
        </w:p>
        <w:p w14:paraId="54E9D478">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_Toc32015 </w:instrText>
          </w:r>
          <w:r>
            <w:rPr>
              <w:rFonts w:hint="eastAsia" w:ascii="仿宋" w:hAnsi="仿宋" w:eastAsia="仿宋" w:cs="仿宋"/>
              <w:sz w:val="30"/>
              <w:szCs w:val="30"/>
            </w:rPr>
            <w:fldChar w:fldCharType="separate"/>
          </w:r>
          <w:r>
            <w:rPr>
              <w:rFonts w:hint="eastAsia" w:ascii="仿宋" w:hAnsi="仿宋" w:eastAsia="仿宋" w:cs="仿宋"/>
              <w:sz w:val="30"/>
              <w:szCs w:val="30"/>
            </w:rPr>
            <w:t>一、基本职能及主要工作</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_Toc32015 \h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418B8A27">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_Toc28828 </w:instrText>
          </w:r>
          <w:r>
            <w:rPr>
              <w:rFonts w:hint="eastAsia" w:ascii="仿宋" w:hAnsi="仿宋" w:eastAsia="仿宋" w:cs="仿宋"/>
              <w:sz w:val="30"/>
              <w:szCs w:val="30"/>
            </w:rPr>
            <w:fldChar w:fldCharType="separate"/>
          </w:r>
          <w:r>
            <w:rPr>
              <w:rFonts w:hint="eastAsia" w:ascii="仿宋" w:hAnsi="仿宋" w:eastAsia="仿宋" w:cs="仿宋"/>
              <w:sz w:val="30"/>
              <w:szCs w:val="30"/>
            </w:rPr>
            <w:t>（一）部门职能简介</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_Toc28828 \h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9F92576">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_Toc315 </w:instrText>
          </w:r>
          <w:r>
            <w:rPr>
              <w:rFonts w:hint="eastAsia" w:ascii="仿宋" w:hAnsi="仿宋" w:eastAsia="仿宋" w:cs="仿宋"/>
              <w:sz w:val="30"/>
              <w:szCs w:val="30"/>
            </w:rPr>
            <w:fldChar w:fldCharType="separate"/>
          </w:r>
          <w:r>
            <w:rPr>
              <w:rFonts w:hint="eastAsia" w:ascii="仿宋" w:hAnsi="仿宋" w:eastAsia="仿宋" w:cs="仿宋"/>
              <w:sz w:val="30"/>
              <w:szCs w:val="30"/>
            </w:rPr>
            <w:t>（二）2026 年重点工作</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_Toc315 \h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A1292E2">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_Toc19000 </w:instrText>
          </w:r>
          <w:r>
            <w:rPr>
              <w:rFonts w:hint="eastAsia" w:ascii="仿宋" w:hAnsi="仿宋" w:eastAsia="仿宋" w:cs="仿宋"/>
              <w:sz w:val="30"/>
              <w:szCs w:val="30"/>
            </w:rPr>
            <w:fldChar w:fldCharType="separate"/>
          </w:r>
          <w:r>
            <w:rPr>
              <w:rFonts w:hint="eastAsia" w:ascii="仿宋" w:hAnsi="仿宋" w:eastAsia="仿宋" w:cs="仿宋"/>
              <w:sz w:val="30"/>
              <w:szCs w:val="30"/>
            </w:rPr>
            <w:t>二、部门预算单位构成</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_Toc19000 \h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730A5A69">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_Toc2213 </w:instrText>
          </w:r>
          <w:r>
            <w:rPr>
              <w:rFonts w:hint="eastAsia" w:ascii="仿宋" w:hAnsi="仿宋" w:eastAsia="仿宋" w:cs="仿宋"/>
              <w:sz w:val="30"/>
              <w:szCs w:val="30"/>
            </w:rPr>
            <w:fldChar w:fldCharType="separate"/>
          </w:r>
          <w:r>
            <w:rPr>
              <w:rFonts w:hint="eastAsia" w:ascii="仿宋" w:hAnsi="仿宋" w:eastAsia="仿宋" w:cs="仿宋"/>
              <w:sz w:val="30"/>
              <w:szCs w:val="30"/>
            </w:rPr>
            <w:t>三、收支预算情况说明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_Toc2213 \h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02E69016">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_Toc9061 </w:instrText>
          </w:r>
          <w:r>
            <w:rPr>
              <w:rFonts w:hint="eastAsia" w:ascii="仿宋" w:hAnsi="仿宋" w:eastAsia="仿宋" w:cs="仿宋"/>
              <w:sz w:val="30"/>
              <w:szCs w:val="30"/>
            </w:rPr>
            <w:fldChar w:fldCharType="separate"/>
          </w:r>
          <w:r>
            <w:rPr>
              <w:rFonts w:hint="eastAsia" w:ascii="仿宋" w:hAnsi="仿宋" w:eastAsia="仿宋" w:cs="仿宋"/>
              <w:sz w:val="30"/>
              <w:szCs w:val="30"/>
            </w:rPr>
            <w:t>（一）收入预算情况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_Toc9061 \h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7D611311">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_Toc10879 </w:instrText>
          </w:r>
          <w:r>
            <w:rPr>
              <w:rFonts w:hint="eastAsia" w:ascii="仿宋" w:hAnsi="仿宋" w:eastAsia="仿宋" w:cs="仿宋"/>
              <w:sz w:val="30"/>
              <w:szCs w:val="30"/>
            </w:rPr>
            <w:fldChar w:fldCharType="separate"/>
          </w:r>
          <w:r>
            <w:rPr>
              <w:rFonts w:hint="eastAsia" w:ascii="仿宋" w:hAnsi="仿宋" w:eastAsia="仿宋" w:cs="仿宋"/>
              <w:sz w:val="30"/>
              <w:szCs w:val="30"/>
            </w:rPr>
            <w:t>（二）支出预算情况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_Toc10879 \h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26856328">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_Toc17110 </w:instrText>
          </w:r>
          <w:r>
            <w:rPr>
              <w:rFonts w:hint="eastAsia" w:ascii="仿宋" w:hAnsi="仿宋" w:eastAsia="仿宋" w:cs="仿宋"/>
              <w:sz w:val="30"/>
              <w:szCs w:val="30"/>
            </w:rPr>
            <w:fldChar w:fldCharType="separate"/>
          </w:r>
          <w:r>
            <w:rPr>
              <w:rFonts w:hint="eastAsia" w:ascii="仿宋" w:hAnsi="仿宋" w:eastAsia="仿宋" w:cs="仿宋"/>
              <w:sz w:val="30"/>
              <w:szCs w:val="30"/>
            </w:rPr>
            <w:t>四、财政拨款收支预算情况说明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5</w:t>
          </w:r>
          <w:r>
            <w:rPr>
              <w:rFonts w:hint="eastAsia" w:ascii="仿宋" w:hAnsi="仿宋" w:eastAsia="仿宋" w:cs="仿宋"/>
              <w:sz w:val="30"/>
              <w:szCs w:val="30"/>
            </w:rPr>
            <w:fldChar w:fldCharType="end"/>
          </w:r>
        </w:p>
        <w:p w14:paraId="031C9009">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_Toc5587 </w:instrText>
          </w:r>
          <w:r>
            <w:rPr>
              <w:rFonts w:hint="eastAsia" w:ascii="仿宋" w:hAnsi="仿宋" w:eastAsia="仿宋" w:cs="仿宋"/>
              <w:sz w:val="30"/>
              <w:szCs w:val="30"/>
            </w:rPr>
            <w:fldChar w:fldCharType="separate"/>
          </w:r>
          <w:r>
            <w:rPr>
              <w:rFonts w:hint="eastAsia" w:ascii="仿宋" w:hAnsi="仿宋" w:eastAsia="仿宋" w:cs="仿宋"/>
              <w:sz w:val="30"/>
              <w:szCs w:val="30"/>
            </w:rPr>
            <w:t>五、一般公共预算当年拨款情况说明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_Toc5587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5E07D4F">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_Toc6660 </w:instrText>
          </w:r>
          <w:r>
            <w:rPr>
              <w:rFonts w:hint="eastAsia" w:ascii="仿宋" w:hAnsi="仿宋" w:eastAsia="仿宋" w:cs="仿宋"/>
              <w:sz w:val="30"/>
              <w:szCs w:val="30"/>
            </w:rPr>
            <w:fldChar w:fldCharType="separate"/>
          </w:r>
          <w:r>
            <w:rPr>
              <w:rFonts w:hint="eastAsia" w:ascii="仿宋" w:hAnsi="仿宋" w:eastAsia="仿宋" w:cs="仿宋"/>
              <w:sz w:val="30"/>
              <w:szCs w:val="30"/>
            </w:rPr>
            <w:t>（一）一般公共预算当年拨款规模变化情况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_Toc6660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6F8452BD">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_Toc25191 </w:instrText>
          </w:r>
          <w:r>
            <w:rPr>
              <w:rFonts w:hint="eastAsia" w:ascii="仿宋" w:hAnsi="仿宋" w:eastAsia="仿宋" w:cs="仿宋"/>
              <w:sz w:val="30"/>
              <w:szCs w:val="30"/>
            </w:rPr>
            <w:fldChar w:fldCharType="separate"/>
          </w:r>
          <w:r>
            <w:rPr>
              <w:rFonts w:hint="eastAsia" w:ascii="仿宋" w:hAnsi="仿宋" w:eastAsia="仿宋" w:cs="仿宋"/>
              <w:sz w:val="30"/>
              <w:szCs w:val="30"/>
            </w:rPr>
            <w:t>（二）一般公共预算当年拨款结构情况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_Toc25191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214B1A92">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_Toc25864 </w:instrText>
          </w:r>
          <w:r>
            <w:rPr>
              <w:rFonts w:hint="eastAsia" w:ascii="仿宋" w:hAnsi="仿宋" w:eastAsia="仿宋" w:cs="仿宋"/>
              <w:sz w:val="30"/>
              <w:szCs w:val="30"/>
            </w:rPr>
            <w:fldChar w:fldCharType="separate"/>
          </w:r>
          <w:r>
            <w:rPr>
              <w:rFonts w:hint="eastAsia" w:ascii="仿宋" w:hAnsi="仿宋" w:eastAsia="仿宋" w:cs="仿宋"/>
              <w:sz w:val="30"/>
              <w:szCs w:val="30"/>
            </w:rPr>
            <w:t>（三）一般公共预算当年拨款具体使用情况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_Toc25864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69CF36A9">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_Toc31157 </w:instrText>
          </w:r>
          <w:r>
            <w:rPr>
              <w:rFonts w:hint="eastAsia" w:ascii="仿宋" w:hAnsi="仿宋" w:eastAsia="仿宋" w:cs="仿宋"/>
              <w:sz w:val="30"/>
              <w:szCs w:val="30"/>
            </w:rPr>
            <w:fldChar w:fldCharType="separate"/>
          </w:r>
          <w:r>
            <w:rPr>
              <w:rFonts w:hint="eastAsia" w:ascii="仿宋" w:hAnsi="仿宋" w:eastAsia="仿宋" w:cs="仿宋"/>
              <w:sz w:val="30"/>
              <w:szCs w:val="30"/>
            </w:rPr>
            <w:t>六、一般公共预算基本支出情况说明</w:t>
          </w:r>
          <w:r>
            <w:rPr>
              <w:rFonts w:hint="eastAsia" w:ascii="仿宋" w:hAnsi="仿宋" w:eastAsia="仿宋" w:cs="仿宋"/>
              <w:sz w:val="30"/>
              <w:szCs w:val="30"/>
            </w:rPr>
            <w:tab/>
          </w:r>
          <w:r>
            <w:rPr>
              <w:rFonts w:hint="eastAsia" w:ascii="仿宋" w:hAnsi="仿宋" w:eastAsia="仿宋" w:cs="仿宋"/>
              <w:sz w:val="30"/>
              <w:szCs w:val="30"/>
              <w:lang w:val="en-US" w:eastAsia="zh-CN"/>
            </w:rPr>
            <w:t>6</w:t>
          </w:r>
          <w:r>
            <w:rPr>
              <w:rFonts w:hint="eastAsia" w:ascii="仿宋" w:hAnsi="仿宋" w:eastAsia="仿宋" w:cs="仿宋"/>
              <w:sz w:val="30"/>
              <w:szCs w:val="30"/>
            </w:rPr>
            <w:fldChar w:fldCharType="end"/>
          </w:r>
        </w:p>
        <w:p w14:paraId="285F7727">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_Toc5682 </w:instrText>
          </w:r>
          <w:r>
            <w:rPr>
              <w:rFonts w:hint="eastAsia" w:ascii="仿宋" w:hAnsi="仿宋" w:eastAsia="仿宋" w:cs="仿宋"/>
              <w:sz w:val="30"/>
              <w:szCs w:val="30"/>
            </w:rPr>
            <w:fldChar w:fldCharType="separate"/>
          </w:r>
          <w:r>
            <w:rPr>
              <w:rFonts w:hint="eastAsia" w:ascii="仿宋" w:hAnsi="仿宋" w:eastAsia="仿宋" w:cs="仿宋"/>
              <w:sz w:val="30"/>
              <w:szCs w:val="30"/>
            </w:rPr>
            <w:t>七、“三公” 经费财政拨款预算安排情况说明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_Toc5682 \h </w:instrText>
          </w:r>
          <w:r>
            <w:rPr>
              <w:rFonts w:hint="eastAsia" w:ascii="仿宋" w:hAnsi="仿宋" w:eastAsia="仿宋" w:cs="仿宋"/>
              <w:sz w:val="30"/>
              <w:szCs w:val="30"/>
            </w:rPr>
            <w:fldChar w:fldCharType="separate"/>
          </w:r>
          <w:r>
            <w:rPr>
              <w:rFonts w:hint="eastAsia" w:ascii="仿宋" w:hAnsi="仿宋" w:eastAsia="仿宋" w:cs="仿宋"/>
              <w:sz w:val="30"/>
              <w:szCs w:val="30"/>
            </w:rPr>
            <w:t>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21137869">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_Toc24731 </w:instrText>
          </w:r>
          <w:r>
            <w:rPr>
              <w:rFonts w:hint="eastAsia" w:ascii="仿宋" w:hAnsi="仿宋" w:eastAsia="仿宋" w:cs="仿宋"/>
              <w:sz w:val="30"/>
              <w:szCs w:val="30"/>
            </w:rPr>
            <w:fldChar w:fldCharType="separate"/>
          </w:r>
          <w:r>
            <w:rPr>
              <w:rFonts w:hint="eastAsia" w:ascii="仿宋" w:hAnsi="仿宋" w:eastAsia="仿宋" w:cs="仿宋"/>
              <w:sz w:val="30"/>
              <w:szCs w:val="30"/>
            </w:rPr>
            <w:t>八、政府性基金预算支出情况说明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_Toc24731 \h </w:instrText>
          </w:r>
          <w:r>
            <w:rPr>
              <w:rFonts w:hint="eastAsia" w:ascii="仿宋" w:hAnsi="仿宋" w:eastAsia="仿宋" w:cs="仿宋"/>
              <w:sz w:val="30"/>
              <w:szCs w:val="30"/>
            </w:rPr>
            <w:fldChar w:fldCharType="separate"/>
          </w:r>
          <w:r>
            <w:rPr>
              <w:rFonts w:hint="eastAsia" w:ascii="仿宋" w:hAnsi="仿宋" w:eastAsia="仿宋" w:cs="仿宋"/>
              <w:sz w:val="30"/>
              <w:szCs w:val="30"/>
            </w:rPr>
            <w:t>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64BD33CA">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_Toc21359 </w:instrText>
          </w:r>
          <w:r>
            <w:rPr>
              <w:rFonts w:hint="eastAsia" w:ascii="仿宋" w:hAnsi="仿宋" w:eastAsia="仿宋" w:cs="仿宋"/>
              <w:sz w:val="30"/>
              <w:szCs w:val="30"/>
            </w:rPr>
            <w:fldChar w:fldCharType="separate"/>
          </w:r>
          <w:r>
            <w:rPr>
              <w:rFonts w:hint="eastAsia" w:ascii="仿宋" w:hAnsi="仿宋" w:eastAsia="仿宋" w:cs="仿宋"/>
              <w:sz w:val="30"/>
              <w:szCs w:val="30"/>
            </w:rPr>
            <w:t>九、其他重要事项的情况说明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_Toc21359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44B1D73B">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_Toc12218 </w:instrText>
          </w:r>
          <w:r>
            <w:rPr>
              <w:rFonts w:hint="eastAsia" w:ascii="仿宋" w:hAnsi="仿宋" w:eastAsia="仿宋" w:cs="仿宋"/>
              <w:sz w:val="30"/>
              <w:szCs w:val="30"/>
            </w:rPr>
            <w:fldChar w:fldCharType="separate"/>
          </w:r>
          <w:r>
            <w:rPr>
              <w:rFonts w:hint="eastAsia" w:ascii="仿宋" w:hAnsi="仿宋" w:eastAsia="仿宋" w:cs="仿宋"/>
              <w:sz w:val="30"/>
              <w:szCs w:val="30"/>
            </w:rPr>
            <w:t>（一）机关运行经费</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_Toc12218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30E6BA08">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_Toc15286 </w:instrText>
          </w:r>
          <w:r>
            <w:rPr>
              <w:rFonts w:hint="eastAsia" w:ascii="仿宋" w:hAnsi="仿宋" w:eastAsia="仿宋" w:cs="仿宋"/>
              <w:sz w:val="30"/>
              <w:szCs w:val="30"/>
            </w:rPr>
            <w:fldChar w:fldCharType="separate"/>
          </w:r>
          <w:r>
            <w:rPr>
              <w:rFonts w:hint="eastAsia" w:ascii="仿宋" w:hAnsi="仿宋" w:eastAsia="仿宋" w:cs="仿宋"/>
              <w:sz w:val="30"/>
              <w:szCs w:val="30"/>
            </w:rPr>
            <w:t>（二）政府采购情况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_Toc15286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42047B3E">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_Toc14234 </w:instrText>
          </w:r>
          <w:r>
            <w:rPr>
              <w:rFonts w:hint="eastAsia" w:ascii="仿宋" w:hAnsi="仿宋" w:eastAsia="仿宋" w:cs="仿宋"/>
              <w:sz w:val="30"/>
              <w:szCs w:val="30"/>
            </w:rPr>
            <w:fldChar w:fldCharType="separate"/>
          </w:r>
          <w:r>
            <w:rPr>
              <w:rFonts w:hint="eastAsia" w:ascii="仿宋" w:hAnsi="仿宋" w:eastAsia="仿宋" w:cs="仿宋"/>
              <w:sz w:val="30"/>
              <w:szCs w:val="30"/>
            </w:rPr>
            <w:t>（三）国有资产占有使用情况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_Toc14234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261A901D">
          <w:pPr>
            <w:pStyle w:val="5"/>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_Toc7449 </w:instrText>
          </w:r>
          <w:r>
            <w:rPr>
              <w:rFonts w:hint="eastAsia" w:ascii="仿宋" w:hAnsi="仿宋" w:eastAsia="仿宋" w:cs="仿宋"/>
              <w:sz w:val="30"/>
              <w:szCs w:val="30"/>
            </w:rPr>
            <w:fldChar w:fldCharType="separate"/>
          </w:r>
          <w:r>
            <w:rPr>
              <w:rFonts w:hint="eastAsia" w:ascii="仿宋" w:hAnsi="仿宋" w:eastAsia="仿宋" w:cs="仿宋"/>
              <w:sz w:val="30"/>
              <w:szCs w:val="30"/>
            </w:rPr>
            <w:t>（四）绩效目标设置情况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_Toc7449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41D5D97C">
          <w:pPr>
            <w:pStyle w:val="9"/>
            <w:keepNext w:val="0"/>
            <w:keepLines w:val="0"/>
            <w:pageBreakBefore w:val="0"/>
            <w:widowControl w:val="0"/>
            <w:tabs>
              <w:tab w:val="right" w:leader="dot" w:pos="8845"/>
            </w:tabs>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_Toc30470 </w:instrText>
          </w:r>
          <w:r>
            <w:rPr>
              <w:rFonts w:hint="eastAsia" w:ascii="仿宋" w:hAnsi="仿宋" w:eastAsia="仿宋" w:cs="仿宋"/>
              <w:sz w:val="30"/>
              <w:szCs w:val="30"/>
            </w:rPr>
            <w:fldChar w:fldCharType="separate"/>
          </w:r>
          <w:r>
            <w:rPr>
              <w:rFonts w:hint="eastAsia" w:ascii="仿宋" w:hAnsi="仿宋" w:eastAsia="仿宋" w:cs="仿宋"/>
              <w:sz w:val="30"/>
              <w:szCs w:val="30"/>
            </w:rPr>
            <w:t>十、名称解释</w:t>
          </w:r>
          <w:r>
            <w:rPr>
              <w:rFonts w:hint="eastAsia" w:ascii="仿宋" w:hAnsi="仿宋" w:eastAsia="仿宋" w:cs="仿宋"/>
              <w:sz w:val="30"/>
              <w:szCs w:val="30"/>
            </w:rPr>
            <w:tab/>
          </w:r>
          <w:r>
            <w:rPr>
              <w:rFonts w:hint="eastAsia" w:ascii="仿宋" w:hAnsi="仿宋" w:eastAsia="仿宋" w:cs="仿宋"/>
              <w:sz w:val="30"/>
              <w:szCs w:val="30"/>
              <w:lang w:val="en-US" w:eastAsia="zh-CN"/>
            </w:rPr>
            <w:t>8</w:t>
          </w:r>
          <w:r>
            <w:rPr>
              <w:rFonts w:hint="eastAsia" w:ascii="仿宋" w:hAnsi="仿宋" w:eastAsia="仿宋" w:cs="仿宋"/>
              <w:sz w:val="30"/>
              <w:szCs w:val="30"/>
            </w:rPr>
            <w:fldChar w:fldCharType="end"/>
          </w:r>
        </w:p>
        <w:p w14:paraId="6B899AD0">
          <w:pPr>
            <w:rPr>
              <w:rFonts w:hint="default" w:ascii="Times New Roman" w:hAnsi="Times New Roman" w:eastAsia="仿宋" w:cs="Times New Roman"/>
              <w:kern w:val="2"/>
              <w:sz w:val="21"/>
              <w:szCs w:val="32"/>
              <w:lang w:val="en-US" w:eastAsia="zh-CN" w:bidi="ar-SA"/>
            </w:rPr>
          </w:pPr>
          <w:r>
            <w:rPr>
              <w:rFonts w:hint="eastAsia" w:ascii="仿宋" w:hAnsi="仿宋" w:eastAsia="仿宋" w:cs="仿宋"/>
              <w:sz w:val="32"/>
              <w:szCs w:val="32"/>
            </w:rPr>
            <w:fldChar w:fldCharType="end"/>
          </w:r>
        </w:p>
      </w:sdtContent>
    </w:sdt>
    <w:p w14:paraId="4ACEAFF0">
      <w:pPr>
        <w:rPr>
          <w:rFonts w:hint="default" w:ascii="Times New Roman" w:hAnsi="Times New Roman" w:eastAsia="仿宋" w:cs="Times New Roman"/>
          <w:kern w:val="2"/>
          <w:sz w:val="21"/>
          <w:szCs w:val="32"/>
          <w:lang w:val="en-US" w:eastAsia="zh-CN" w:bidi="ar-SA"/>
        </w:rPr>
      </w:pPr>
    </w:p>
    <w:p w14:paraId="40670F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_GBK" w:hAnsi="方正小标宋_GBK" w:eastAsia="方正小标宋_GBK" w:cs="方正小标宋_GBK"/>
          <w:b w:val="0"/>
          <w:bCs w:val="0"/>
          <w:color w:val="000000"/>
          <w:sz w:val="44"/>
          <w:szCs w:val="44"/>
        </w:rPr>
      </w:pPr>
      <w:bookmarkStart w:id="0" w:name="_Toc24263"/>
      <w:r>
        <w:rPr>
          <w:rFonts w:hint="eastAsia" w:ascii="方正小标宋_GBK" w:hAnsi="方正小标宋_GBK" w:eastAsia="方正小标宋_GBK" w:cs="方正小标宋_GBK"/>
          <w:b w:val="0"/>
          <w:bCs w:val="0"/>
          <w:color w:val="000000"/>
          <w:sz w:val="44"/>
          <w:szCs w:val="44"/>
          <w:bdr w:val="none" w:color="auto" w:sz="0" w:space="0"/>
        </w:rPr>
        <w:t xml:space="preserve">阿坝州州级机关退休干部驻都江堰市休养所 </w:t>
      </w:r>
      <w:r>
        <w:rPr>
          <w:rFonts w:hint="eastAsia" w:ascii="方正小标宋_GBK" w:hAnsi="方正小标宋_GBK" w:eastAsia="方正小标宋_GBK" w:cs="方正小标宋_GBK"/>
          <w:b w:val="0"/>
          <w:bCs w:val="0"/>
          <w:color w:val="000000"/>
          <w:sz w:val="44"/>
          <w:szCs w:val="44"/>
          <w:bdr w:val="none" w:color="auto" w:sz="0" w:space="0"/>
          <w:lang w:val="en-US" w:eastAsia="zh-CN"/>
        </w:rPr>
        <w:t>2026</w:t>
      </w:r>
      <w:r>
        <w:rPr>
          <w:rFonts w:hint="eastAsia" w:ascii="方正小标宋_GBK" w:hAnsi="方正小标宋_GBK" w:eastAsia="方正小标宋_GBK" w:cs="方正小标宋_GBK"/>
          <w:b w:val="0"/>
          <w:bCs w:val="0"/>
          <w:color w:val="000000"/>
          <w:sz w:val="44"/>
          <w:szCs w:val="44"/>
          <w:bdr w:val="none" w:color="auto" w:sz="0" w:space="0"/>
        </w:rPr>
        <w:t>年部门预算公开说明</w:t>
      </w:r>
      <w:bookmarkEnd w:id="0"/>
    </w:p>
    <w:p w14:paraId="55864E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 w:hAnsi="仿宋" w:eastAsia="仿宋" w:cs="仿宋"/>
          <w:color w:val="000000"/>
          <w:sz w:val="32"/>
          <w:szCs w:val="32"/>
          <w:bdr w:val="none" w:color="auto" w:sz="0" w:space="0"/>
        </w:rPr>
      </w:pPr>
    </w:p>
    <w:p w14:paraId="293859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根据《中华人民共和国预算法》《中华人民共和国预算法实施条例》及州级预算管理相关规定，现将阿坝州州级机关退休干部驻都江堰市休养所2026年部门预算公开如下：</w:t>
      </w:r>
    </w:p>
    <w:p w14:paraId="1BFA15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 w:name="_Toc32015"/>
      <w:r>
        <w:rPr>
          <w:rFonts w:hint="eastAsia" w:ascii="黑体" w:hAnsi="黑体" w:eastAsia="黑体" w:cs="黑体"/>
          <w:sz w:val="32"/>
          <w:szCs w:val="32"/>
        </w:rPr>
        <w:t>一、基本职能及主要工作</w:t>
      </w:r>
      <w:bookmarkEnd w:id="1"/>
    </w:p>
    <w:p w14:paraId="2A2411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2" w:name="_Toc28828"/>
      <w:r>
        <w:rPr>
          <w:rFonts w:hint="eastAsia" w:ascii="楷体" w:hAnsi="楷体" w:eastAsia="楷体" w:cs="楷体"/>
          <w:sz w:val="32"/>
          <w:szCs w:val="32"/>
        </w:rPr>
        <w:t>（一）部门职能简介</w:t>
      </w:r>
      <w:bookmarkEnd w:id="2"/>
    </w:p>
    <w:p w14:paraId="634E74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根据阿编发〔1997〕3号文件规定，本单位主要职责为：组织退休职工学习时事政治、通报相关情况，助力其知晓党的路线方针政策及国内外大事；组织开展有益活动，丰富退休职工晚年生活；协助配合相关单位解决退休职工实际问题，引导其老有所为、发挥余热；负责干休所日常管理，提供全方位管理服务。</w:t>
      </w:r>
    </w:p>
    <w:p w14:paraId="097BAB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3" w:name="_Toc315"/>
      <w:r>
        <w:rPr>
          <w:rFonts w:hint="eastAsia" w:ascii="楷体" w:hAnsi="楷体" w:eastAsia="楷体" w:cs="楷体"/>
          <w:sz w:val="32"/>
          <w:szCs w:val="32"/>
        </w:rPr>
        <w:t>（二）2026年重点工作</w:t>
      </w:r>
      <w:bookmarkEnd w:id="3"/>
    </w:p>
    <w:p w14:paraId="2E8108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2026年，本单位以“政治上坚定、业务上精通、作风上过硬、老干部信得过”为标准，深化老干部服务管理工作，重点推进以下任务：</w:t>
      </w:r>
    </w:p>
    <w:p w14:paraId="7C1B00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强化思想引领与队伍建设。持续以习近平新时代中国特色社会主义思想为指导，加强政治理论学习与业务培训，提升工作人员问题处置能力，以精细化、精准化服务满足老干部需求。</w:t>
      </w:r>
    </w:p>
    <w:p w14:paraId="2F76BA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深化党建联建与服务创新。以党支部为核心，加强与社区、退休干部党支部共建合作，推进党建规范化制度化建设；聚焦老干部精神文化需求，全年组织不少于 8 次适老节庆活动，覆盖 130 余名老同志，搭建交流平台，引导其为阿坝州建设建言献策。</w:t>
      </w:r>
    </w:p>
    <w:p w14:paraId="78EA4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筑牢安全防线与后勤保障。坚守 “安全工作无小事” 理念，常态化开展老年防诈宣传、院落安全排查及环境卫生整治，提升防灾减灾综合能力；优化物业管理服务，保障干休所 4200 平方米区域正常运转，确保维修申报、服务响应及时率不低于 80%。</w:t>
      </w:r>
    </w:p>
    <w:p w14:paraId="130FFA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4" w:name="_Toc19000"/>
      <w:r>
        <w:rPr>
          <w:rFonts w:hint="eastAsia" w:ascii="黑体" w:hAnsi="黑体" w:eastAsia="黑体" w:cs="黑体"/>
          <w:sz w:val="32"/>
          <w:szCs w:val="32"/>
        </w:rPr>
        <w:t>二、部门预算单位构成</w:t>
      </w:r>
      <w:bookmarkEnd w:id="4"/>
    </w:p>
    <w:p w14:paraId="1DD7CB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机构属性：隶属于中共阿坝州委老干部局，为二级预算单位。</w:t>
      </w:r>
    </w:p>
    <w:p w14:paraId="6EAD82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人员情况：总编制 7 名，现有工作人员 7 名（参照公务员法管理事业人员 6 名、工勤人员 1 名）；退休人员 2 名。</w:t>
      </w:r>
    </w:p>
    <w:p w14:paraId="037C09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5" w:name="_Toc2213"/>
      <w:r>
        <w:rPr>
          <w:rFonts w:hint="eastAsia" w:ascii="黑体" w:hAnsi="黑体" w:eastAsia="黑体" w:cs="黑体"/>
          <w:sz w:val="32"/>
          <w:szCs w:val="32"/>
        </w:rPr>
        <w:t>三、收支预算情况说明</w:t>
      </w:r>
      <w:bookmarkEnd w:id="5"/>
    </w:p>
    <w:p w14:paraId="2FD037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6" w:name="_Toc9061"/>
      <w:r>
        <w:rPr>
          <w:rFonts w:hint="eastAsia" w:ascii="楷体" w:hAnsi="楷体" w:eastAsia="楷体" w:cs="楷体"/>
          <w:sz w:val="32"/>
          <w:szCs w:val="32"/>
        </w:rPr>
        <w:t>（一）收入预算情况</w:t>
      </w:r>
      <w:bookmarkEnd w:id="6"/>
    </w:p>
    <w:p w14:paraId="2A9382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2026年部门预算收入总额189.08万元，较 2025 年（178.89 万元）增加10.19万元，增长5.69%。收入全部来源于一般公共预算拨款，无政府性基金预算拨款、国有资本经营预算拨款、事业收入、其他收入及上年结转资金。</w:t>
      </w:r>
    </w:p>
    <w:p w14:paraId="0FF4D1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7" w:name="_Toc10879"/>
      <w:r>
        <w:rPr>
          <w:rFonts w:hint="eastAsia" w:ascii="楷体" w:hAnsi="楷体" w:eastAsia="楷体" w:cs="楷体"/>
          <w:sz w:val="32"/>
          <w:szCs w:val="32"/>
        </w:rPr>
        <w:t>（二）支出预算情况</w:t>
      </w:r>
      <w:bookmarkEnd w:id="7"/>
    </w:p>
    <w:p w14:paraId="2A863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2026年部门支出预算189.08万元，较2025年（178.89万元）增加10.19万元，增长5.69%，收支平衡。其中：</w:t>
      </w:r>
    </w:p>
    <w:p w14:paraId="330E98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基本支出169.38万元，较2025年（160.19万元）增加 9.19 万元，主要因人员工资福利、社会保障缴费等常规调整；</w:t>
      </w:r>
    </w:p>
    <w:p w14:paraId="2CD344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项目支出19.70万元，较2025年（18.70万元）增加1.00 万元，主要因老干部活动保障、物业管理服务等项目经费按需优化。</w:t>
      </w:r>
    </w:p>
    <w:p w14:paraId="041521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8" w:name="_Toc17110"/>
      <w:r>
        <w:rPr>
          <w:rFonts w:hint="eastAsia" w:ascii="黑体" w:hAnsi="黑体" w:eastAsia="黑体" w:cs="黑体"/>
          <w:sz w:val="32"/>
          <w:szCs w:val="32"/>
        </w:rPr>
        <w:t>四、财政拨款收支预算情况说明</w:t>
      </w:r>
      <w:bookmarkEnd w:id="8"/>
    </w:p>
    <w:p w14:paraId="627607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2026年财政拨款收支总预算189.08万元，较2025年（178.89 万元）增加10.19万元，主要因人员经费和项目经费按实际工作需求合理调整。</w:t>
      </w:r>
    </w:p>
    <w:p w14:paraId="428633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收入：本年一般公共预算拨款收入189.08万元，无其他财政拨款收入；</w:t>
      </w:r>
    </w:p>
    <w:p w14:paraId="085371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支出：本年财政拨款支出189.08万元，全部为一般公共服务支出，无其他领域支出安排。</w:t>
      </w:r>
    </w:p>
    <w:p w14:paraId="33DCEF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9" w:name="_Toc5587"/>
      <w:r>
        <w:rPr>
          <w:rFonts w:hint="eastAsia" w:ascii="黑体" w:hAnsi="黑体" w:eastAsia="黑体" w:cs="黑体"/>
          <w:sz w:val="32"/>
          <w:szCs w:val="32"/>
        </w:rPr>
        <w:t>五、一般公共预算当年拨款情况说明</w:t>
      </w:r>
      <w:bookmarkEnd w:id="9"/>
    </w:p>
    <w:p w14:paraId="09FD02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10" w:name="_Toc6660"/>
      <w:r>
        <w:rPr>
          <w:rFonts w:hint="eastAsia" w:ascii="楷体" w:hAnsi="楷体" w:eastAsia="楷体" w:cs="楷体"/>
          <w:sz w:val="32"/>
          <w:szCs w:val="32"/>
        </w:rPr>
        <w:t>（一）一般公共预算当年拨款规模变化情况</w:t>
      </w:r>
      <w:bookmarkEnd w:id="10"/>
    </w:p>
    <w:p w14:paraId="65377C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 年一般公共预算当年拨款189.08万元，较2025年（178.89万元）增加10.19万元，增长5.69%，主要因人员工资福利调整及老干部服务、物业管理等项目经费优化。</w:t>
      </w:r>
    </w:p>
    <w:p w14:paraId="2C57F1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11" w:name="_Toc25191"/>
      <w:r>
        <w:rPr>
          <w:rFonts w:hint="eastAsia" w:ascii="楷体" w:hAnsi="楷体" w:eastAsia="楷体" w:cs="楷体"/>
          <w:sz w:val="32"/>
          <w:szCs w:val="32"/>
        </w:rPr>
        <w:t>（二）一般公共预算当年拨款结构情况</w:t>
      </w:r>
      <w:bookmarkEnd w:id="11"/>
    </w:p>
    <w:p w14:paraId="20C2CA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一般公共服务支出189.08万元，占当年一般公共预算拨款总额的100%。</w:t>
      </w:r>
    </w:p>
    <w:p w14:paraId="2ABF0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12" w:name="_Toc25864"/>
      <w:r>
        <w:rPr>
          <w:rFonts w:hint="eastAsia" w:ascii="楷体" w:hAnsi="楷体" w:eastAsia="楷体" w:cs="楷体"/>
          <w:sz w:val="32"/>
          <w:szCs w:val="32"/>
        </w:rPr>
        <w:t>（三）一般公共预算当年拨款具体使用情况</w:t>
      </w:r>
      <w:bookmarkEnd w:id="12"/>
    </w:p>
    <w:p w14:paraId="3BA68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一般公共服务支出（类）其他共产党事务支出（款）行政运行（项）：预算169.38万元，用于人员工资福利、机关日常运转等基本支出；</w:t>
      </w:r>
    </w:p>
    <w:p w14:paraId="1D2EEE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一般公共服务支出（类）其他共产党事务支出（款）一般行政管理事务（项）：预算19.70万元，用于金财网费用0.50万元、组织老干部活动经费7.00万元、干休所物业管理费12.20万元。</w:t>
      </w:r>
    </w:p>
    <w:p w14:paraId="2B600C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3" w:name="_Toc31157"/>
      <w:r>
        <w:rPr>
          <w:rFonts w:hint="eastAsia" w:ascii="黑体" w:hAnsi="黑体" w:eastAsia="黑体" w:cs="黑体"/>
          <w:sz w:val="32"/>
          <w:szCs w:val="32"/>
        </w:rPr>
        <w:t>六、一般公共预算基本支出情况说明</w:t>
      </w:r>
      <w:bookmarkEnd w:id="13"/>
    </w:p>
    <w:p w14:paraId="669E16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2026年一般公共预算基本支出169.38万元，其中：</w:t>
      </w:r>
    </w:p>
    <w:p w14:paraId="1148D6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人员经费147.94万元，包括基本工资35.65万元、津贴补贴25.40万元、奖金32.27万元、机关事业单位基本养老保险缴费14.86万元、职业年金缴费7.43万元、职工基本医疗保险缴费6.50万元、公务员医疗补助缴费1.95万元、其他社会保障缴费0.74万元、住房公积金10.80万元、其他工资福利支出6.65 万元、对个人和家庭的补助5.60万元；</w:t>
      </w:r>
    </w:p>
    <w:p w14:paraId="086E1E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公用经费21.44万元，包括办公费 0.60万元、水费 0.23万元、邮电费 1.85万元、取暖费 0.30万元、差旅费 3.33万元、维修（护）费 0.71万元、培训费 1.13万元、公务接待费 0.32 万元、公务用车运行维护费 5.04万元、其他商品和服务支出 7.92万元。</w:t>
      </w:r>
    </w:p>
    <w:p w14:paraId="7D5CCA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4" w:name="_Toc5682"/>
      <w:r>
        <w:rPr>
          <w:rFonts w:hint="eastAsia" w:ascii="黑体" w:hAnsi="黑体" w:eastAsia="黑体" w:cs="黑体"/>
          <w:sz w:val="32"/>
          <w:szCs w:val="32"/>
        </w:rPr>
        <w:t>七、“三公” 经费财政拨款预算安排情况说明</w:t>
      </w:r>
      <w:bookmarkEnd w:id="14"/>
    </w:p>
    <w:p w14:paraId="4CAE5D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 “三公” 经费财政拨款预算5.36万元，较2025年（5.86万元）减少0.50万元，下降8.53%，主要因严格控制公务用车运行成本。具体构成：</w:t>
      </w:r>
    </w:p>
    <w:p w14:paraId="15FFA4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因公出国（境）经费 0 万元，与2025年一致；</w:t>
      </w:r>
    </w:p>
    <w:p w14:paraId="485953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公务接待费0.32万元，与2025年持平，用于老干部接待及工作交流；</w:t>
      </w:r>
    </w:p>
    <w:p w14:paraId="008360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公务用车购置及运行维护费5.04万元，较2025年（5.54 万元）减少0.50万元，无公务用车购置费，仅安排运行维护费，保障公务出行及老干部服务用车。</w:t>
      </w:r>
    </w:p>
    <w:p w14:paraId="45F5F7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5" w:name="_Toc24731"/>
      <w:r>
        <w:rPr>
          <w:rFonts w:hint="eastAsia" w:ascii="黑体" w:hAnsi="黑体" w:eastAsia="黑体" w:cs="黑体"/>
          <w:sz w:val="32"/>
          <w:szCs w:val="32"/>
        </w:rPr>
        <w:t>八、政府性基金预算支出情况说明</w:t>
      </w:r>
      <w:bookmarkEnd w:id="15"/>
    </w:p>
    <w:p w14:paraId="52E9C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2026年政府性基金预算拨款安排支出 0万元，与2025年一致，本单位不涉及相关业务。</w:t>
      </w:r>
    </w:p>
    <w:p w14:paraId="7A4B61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16" w:name="_Toc21359"/>
      <w:r>
        <w:rPr>
          <w:rFonts w:hint="eastAsia" w:ascii="黑体" w:hAnsi="黑体" w:eastAsia="黑体" w:cs="黑体"/>
          <w:sz w:val="32"/>
          <w:szCs w:val="32"/>
        </w:rPr>
        <w:t>九、其他重要事项的情况说明</w:t>
      </w:r>
      <w:bookmarkEnd w:id="16"/>
    </w:p>
    <w:p w14:paraId="239F6A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17" w:name="_Toc12218"/>
      <w:r>
        <w:rPr>
          <w:rFonts w:hint="eastAsia" w:ascii="楷体" w:hAnsi="楷体" w:eastAsia="楷体" w:cs="楷体"/>
          <w:sz w:val="32"/>
          <w:szCs w:val="32"/>
        </w:rPr>
        <w:t>（一）机关运行经费</w:t>
      </w:r>
      <w:bookmarkEnd w:id="17"/>
    </w:p>
    <w:p w14:paraId="78C104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2026年机关运行经费财政拨款预算21.44万元，较2025年（21.85万元）减少0.41万元，下降1.88%，主要因厉行节约、优化公用经费使用效率。</w:t>
      </w:r>
    </w:p>
    <w:p w14:paraId="7F27C6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18" w:name="_Toc15286"/>
      <w:r>
        <w:rPr>
          <w:rFonts w:hint="eastAsia" w:ascii="楷体" w:hAnsi="楷体" w:eastAsia="楷体" w:cs="楷体"/>
          <w:sz w:val="32"/>
          <w:szCs w:val="32"/>
        </w:rPr>
        <w:t>（二）政府采购情况</w:t>
      </w:r>
      <w:bookmarkEnd w:id="18"/>
    </w:p>
    <w:p w14:paraId="03689F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2026年安排政府采购预算 0万元，与2025年一致。</w:t>
      </w:r>
    </w:p>
    <w:p w14:paraId="257E14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19" w:name="_Toc14234"/>
      <w:r>
        <w:rPr>
          <w:rFonts w:hint="eastAsia" w:ascii="楷体" w:hAnsi="楷体" w:eastAsia="楷体" w:cs="楷体"/>
          <w:sz w:val="32"/>
          <w:szCs w:val="32"/>
        </w:rPr>
        <w:t>（三）国有资产占有使用情况</w:t>
      </w:r>
      <w:bookmarkEnd w:id="19"/>
    </w:p>
    <w:p w14:paraId="5AF32E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截至2025年12月31日，单位固定资产791.06万元。2026 年无新增大型国有资产购置计划，将规范日常管理。</w:t>
      </w:r>
    </w:p>
    <w:p w14:paraId="01E2CF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20" w:name="_Toc7449"/>
      <w:r>
        <w:rPr>
          <w:rFonts w:hint="eastAsia" w:ascii="楷体" w:hAnsi="楷体" w:eastAsia="楷体" w:cs="楷体"/>
          <w:sz w:val="32"/>
          <w:szCs w:val="32"/>
        </w:rPr>
        <w:t>（四）绩效目标设置情况</w:t>
      </w:r>
      <w:bookmarkEnd w:id="20"/>
    </w:p>
    <w:p w14:paraId="6EC4E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2026年通用项目和专用项目均实行绩效目标管理，涉及一般公共预算当年拨款189.08万元。核心目标：单位日常运转率 100%，预算编制准确率不低于95%，“三公” 经费控制率不超过 100%；老干部活动满意度、物业管理服务满意度均不低于80%，网络正常使用月数12个月，网络利用率不低于90%。</w:t>
      </w:r>
    </w:p>
    <w:p w14:paraId="3517DD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21" w:name="_Toc30470"/>
      <w:r>
        <w:rPr>
          <w:rFonts w:hint="eastAsia" w:ascii="黑体" w:hAnsi="黑体" w:eastAsia="黑体" w:cs="黑体"/>
          <w:sz w:val="32"/>
          <w:szCs w:val="32"/>
        </w:rPr>
        <w:t>十、名称解释</w:t>
      </w:r>
      <w:bookmarkEnd w:id="21"/>
    </w:p>
    <w:p w14:paraId="72EFA8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（一）财政拨款收入：</w:t>
      </w:r>
      <w:r>
        <w:rPr>
          <w:rFonts w:hint="eastAsia" w:ascii="仿宋" w:hAnsi="仿宋" w:eastAsia="仿宋" w:cs="仿宋"/>
          <w:sz w:val="32"/>
          <w:szCs w:val="32"/>
          <w:lang w:val="en-US" w:eastAsia="zh-CN"/>
        </w:rPr>
        <w:t>指财政拨款形成的部门收入，含一般公共预算拨款和政府性基金预算拨款。</w:t>
      </w:r>
    </w:p>
    <w:p w14:paraId="5C21CD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（二）事业收入：</w:t>
      </w:r>
      <w:r>
        <w:rPr>
          <w:rFonts w:hint="eastAsia" w:ascii="仿宋" w:hAnsi="仿宋" w:eastAsia="仿宋" w:cs="仿宋"/>
          <w:sz w:val="32"/>
          <w:szCs w:val="32"/>
          <w:lang w:val="en-US" w:eastAsia="zh-CN"/>
        </w:rPr>
        <w:t>指所属事业单位开展专业业务活动及辅助活动取得的收入。</w:t>
      </w:r>
    </w:p>
    <w:p w14:paraId="7E245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（三）事业单位经营收入：</w:t>
      </w:r>
      <w:r>
        <w:rPr>
          <w:rFonts w:hint="eastAsia" w:ascii="仿宋" w:hAnsi="仿宋" w:eastAsia="仿宋" w:cs="仿宋"/>
          <w:sz w:val="32"/>
          <w:szCs w:val="32"/>
          <w:lang w:val="en-US" w:eastAsia="zh-CN"/>
        </w:rPr>
        <w:t>指所属事业单位在专业业务活动及辅助活动之外开展非独立核算经营活动取得的收入。</w:t>
      </w:r>
    </w:p>
    <w:p w14:paraId="60D1D1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（四）其他收入：</w:t>
      </w:r>
      <w:r>
        <w:rPr>
          <w:rFonts w:hint="eastAsia" w:ascii="仿宋" w:hAnsi="仿宋" w:eastAsia="仿宋" w:cs="仿宋"/>
          <w:sz w:val="32"/>
          <w:szCs w:val="32"/>
          <w:lang w:val="en-US" w:eastAsia="zh-CN"/>
        </w:rPr>
        <w:t>指除上述收入外的款项，主要包括售房收入、存款利息收入等。</w:t>
      </w:r>
    </w:p>
    <w:p w14:paraId="3096E9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（五）用事业基金弥补收支差额：</w:t>
      </w:r>
      <w:r>
        <w:rPr>
          <w:rFonts w:hint="eastAsia" w:ascii="仿宋" w:hAnsi="仿宋" w:eastAsia="仿宋" w:cs="仿宋"/>
          <w:sz w:val="32"/>
          <w:szCs w:val="32"/>
          <w:lang w:val="en-US" w:eastAsia="zh-CN"/>
        </w:rPr>
        <w:t>指所属事业单位当年收入不足以安排支出时，使用以前年度积累的事业基金弥补缺口的资金。</w:t>
      </w:r>
    </w:p>
    <w:p w14:paraId="00DD2D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楷体" w:hAnsi="楷体" w:eastAsia="楷体" w:cs="楷体"/>
          <w:sz w:val="32"/>
          <w:szCs w:val="32"/>
          <w:lang w:val="en-US" w:eastAsia="zh-CN"/>
        </w:rPr>
        <w:t>（六）上年结转：</w:t>
      </w:r>
      <w:r>
        <w:rPr>
          <w:rFonts w:hint="eastAsia" w:ascii="仿宋" w:hAnsi="仿宋" w:eastAsia="仿宋" w:cs="仿宋"/>
          <w:sz w:val="32"/>
          <w:szCs w:val="32"/>
          <w:lang w:val="en-US" w:eastAsia="zh-CN"/>
        </w:rPr>
        <w:t>指以前年度未完成、结转至本年按原用途继续使用的资金，及已完成项目剩余资金经批准用于新用途的资金。</w:t>
      </w:r>
    </w:p>
    <w:p w14:paraId="6CCE19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28B56A74">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阿坝州州级机关退休干部驻都江堰市休养所</w:t>
      </w:r>
    </w:p>
    <w:p w14:paraId="5222274A">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 年 1 月 29 日</w:t>
      </w:r>
      <w:bookmarkStart w:id="22" w:name="_GoBack"/>
      <w:bookmarkEnd w:id="22"/>
    </w:p>
    <w:sectPr>
      <w:head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646B8">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CC660C7"/>
    <w:rsid w:val="11DE1F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toc 3"/>
    <w:basedOn w:val="1"/>
    <w:next w:val="1"/>
    <w:uiPriority w:val="0"/>
    <w:pPr>
      <w:ind w:left="840" w:leftChars="40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iPriority w:val="0"/>
  </w:style>
  <w:style w:type="paragraph" w:styleId="9">
    <w:name w:val="toc 2"/>
    <w:basedOn w:val="1"/>
    <w:next w:val="1"/>
    <w:uiPriority w:val="0"/>
    <w:pPr>
      <w:ind w:left="420" w:leftChars="200"/>
    </w:pPr>
  </w:style>
  <w:style w:type="paragraph" w:styleId="12">
    <w:name w:val="List Paragraph"/>
    <w:basedOn w:val="1"/>
    <w:qFormat/>
    <w:uiPriority w:val="0"/>
    <w:pPr>
      <w:ind w:firstLine="200" w:firstLineChars="200"/>
    </w:pPr>
  </w:style>
  <w:style w:type="paragraph" w:customStyle="1" w:styleId="13">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1633</Words>
  <Characters>1737</Characters>
  <Lines>124</Lines>
  <Paragraphs>51</Paragraphs>
  <TotalTime>50</TotalTime>
  <ScaleCrop>false</ScaleCrop>
  <LinksUpToDate>false</LinksUpToDate>
  <CharactersWithSpaces>1778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桃之妖妖</cp:lastModifiedBy>
  <cp:lastPrinted>2018-01-30T09:39:00Z</cp:lastPrinted>
  <dcterms:modified xsi:type="dcterms:W3CDTF">2026-02-04T10:11:18Z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F36688C4BF54472D81E373848B87BC8E_13</vt:lpwstr>
  </property>
  <property fmtid="{D5CDD505-2E9C-101B-9397-08002B2CF9AE}" pid="4" name="KSOTemplateDocerSaveRecord">
    <vt:lpwstr>eyJoZGlkIjoiYTI5NDFmODE0NTY0NzJjOTFlYmM5YTJkMGYyNTM5NzkiLCJ1c2VySWQiOiIzMDQ2NTc1MjcifQ==</vt:lpwstr>
  </property>
</Properties>
</file>