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5DB3B"/>
    <w:p w14:paraId="6C4C1E1F"/>
    <w:p w14:paraId="2F604C29"/>
    <w:p w14:paraId="13ADAAA7">
      <w:pPr>
        <w:ind w:firstLine="1050" w:firstLineChars="500"/>
      </w:pPr>
    </w:p>
    <w:p w14:paraId="7B3EAC2C">
      <w:pPr>
        <w:ind w:firstLine="1050" w:firstLineChars="500"/>
      </w:pPr>
    </w:p>
    <w:p w14:paraId="78F0EA4B">
      <w:pPr>
        <w:ind w:firstLine="1760" w:firstLineChars="400"/>
        <w:rPr>
          <w:rFonts w:ascii="黑体" w:eastAsia="黑体"/>
          <w:sz w:val="44"/>
          <w:szCs w:val="44"/>
        </w:rPr>
      </w:pPr>
    </w:p>
    <w:p w14:paraId="78C9E2C0">
      <w:pPr>
        <w:ind w:firstLine="1760" w:firstLineChars="400"/>
        <w:rPr>
          <w:rFonts w:ascii="黑体" w:eastAsia="黑体"/>
          <w:sz w:val="44"/>
          <w:szCs w:val="44"/>
        </w:rPr>
      </w:pPr>
    </w:p>
    <w:p w14:paraId="4EB3D1CC">
      <w:pPr>
        <w:jc w:val="center"/>
        <w:rPr>
          <w:rFonts w:ascii="黑体" w:eastAsia="黑体"/>
          <w:sz w:val="44"/>
          <w:szCs w:val="44"/>
        </w:rPr>
      </w:pPr>
      <w:r>
        <w:rPr>
          <w:rFonts w:hint="eastAsia" w:ascii="黑体" w:eastAsia="黑体"/>
          <w:color w:val="auto"/>
          <w:sz w:val="44"/>
          <w:szCs w:val="44"/>
          <w:lang w:val="en-US" w:eastAsia="zh-CN"/>
        </w:rPr>
        <w:t>阿坝州州级机关退休干部驻马尔康休养所</w:t>
      </w:r>
    </w:p>
    <w:p w14:paraId="3C45FE8E">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39F5C7CB">
      <w:pPr>
        <w:ind w:firstLine="1760" w:firstLineChars="400"/>
        <w:rPr>
          <w:rFonts w:ascii="黑体" w:eastAsia="黑体"/>
          <w:sz w:val="44"/>
          <w:szCs w:val="44"/>
        </w:rPr>
      </w:pPr>
    </w:p>
    <w:p w14:paraId="3485EF00">
      <w:pPr>
        <w:ind w:firstLine="1760" w:firstLineChars="400"/>
        <w:rPr>
          <w:rFonts w:ascii="黑体" w:eastAsia="黑体"/>
          <w:sz w:val="44"/>
          <w:szCs w:val="44"/>
        </w:rPr>
      </w:pPr>
    </w:p>
    <w:p w14:paraId="6F75106F">
      <w:pPr>
        <w:ind w:firstLine="1760" w:firstLineChars="400"/>
        <w:rPr>
          <w:rFonts w:ascii="黑体" w:eastAsia="黑体"/>
          <w:sz w:val="44"/>
          <w:szCs w:val="44"/>
        </w:rPr>
      </w:pPr>
    </w:p>
    <w:p w14:paraId="7BA3AD94">
      <w:pPr>
        <w:ind w:firstLine="1760" w:firstLineChars="400"/>
        <w:rPr>
          <w:rFonts w:ascii="黑体" w:eastAsia="黑体"/>
          <w:sz w:val="44"/>
          <w:szCs w:val="44"/>
        </w:rPr>
      </w:pPr>
    </w:p>
    <w:p w14:paraId="7D1AAF5C">
      <w:pPr>
        <w:ind w:firstLine="1760" w:firstLineChars="400"/>
        <w:rPr>
          <w:rFonts w:ascii="黑体" w:eastAsia="黑体"/>
          <w:sz w:val="44"/>
          <w:szCs w:val="44"/>
        </w:rPr>
      </w:pPr>
    </w:p>
    <w:p w14:paraId="2EADD652">
      <w:pPr>
        <w:ind w:firstLine="1760" w:firstLineChars="400"/>
        <w:rPr>
          <w:rFonts w:ascii="黑体" w:eastAsia="黑体"/>
          <w:sz w:val="44"/>
          <w:szCs w:val="44"/>
        </w:rPr>
      </w:pPr>
    </w:p>
    <w:p w14:paraId="23CF1CF0">
      <w:pPr>
        <w:ind w:firstLine="1760" w:firstLineChars="400"/>
        <w:rPr>
          <w:rFonts w:ascii="黑体" w:eastAsia="黑体"/>
          <w:sz w:val="44"/>
          <w:szCs w:val="44"/>
        </w:rPr>
      </w:pPr>
    </w:p>
    <w:p w14:paraId="337620FC">
      <w:pPr>
        <w:ind w:firstLine="1760" w:firstLineChars="400"/>
        <w:rPr>
          <w:rFonts w:ascii="黑体" w:eastAsia="黑体"/>
          <w:sz w:val="44"/>
          <w:szCs w:val="44"/>
        </w:rPr>
      </w:pPr>
    </w:p>
    <w:p w14:paraId="6D7F2D69">
      <w:pPr>
        <w:ind w:firstLine="1760" w:firstLineChars="400"/>
        <w:rPr>
          <w:rFonts w:ascii="黑体" w:eastAsia="黑体"/>
          <w:sz w:val="44"/>
          <w:szCs w:val="44"/>
        </w:rPr>
      </w:pPr>
    </w:p>
    <w:p w14:paraId="4EA3AC02">
      <w:pPr>
        <w:ind w:firstLine="1760" w:firstLineChars="400"/>
        <w:rPr>
          <w:rFonts w:ascii="黑体" w:eastAsia="黑体"/>
          <w:sz w:val="44"/>
          <w:szCs w:val="44"/>
        </w:rPr>
      </w:pPr>
    </w:p>
    <w:p w14:paraId="2CEC5731">
      <w:pPr>
        <w:ind w:firstLine="1760" w:firstLineChars="400"/>
        <w:rPr>
          <w:rFonts w:ascii="黑体" w:eastAsia="黑体"/>
          <w:sz w:val="44"/>
          <w:szCs w:val="44"/>
        </w:rPr>
      </w:pPr>
    </w:p>
    <w:p w14:paraId="48E09ACA">
      <w:pPr>
        <w:ind w:firstLine="1760" w:firstLineChars="400"/>
        <w:rPr>
          <w:rFonts w:ascii="黑体" w:eastAsia="黑体"/>
          <w:sz w:val="44"/>
          <w:szCs w:val="44"/>
        </w:rPr>
      </w:pPr>
    </w:p>
    <w:p w14:paraId="3AAE7334">
      <w:pPr>
        <w:ind w:firstLine="1760" w:firstLineChars="400"/>
        <w:rPr>
          <w:rFonts w:ascii="黑体" w:eastAsia="黑体"/>
          <w:sz w:val="44"/>
          <w:szCs w:val="44"/>
        </w:rPr>
      </w:pPr>
    </w:p>
    <w:p w14:paraId="60C77680">
      <w:pPr>
        <w:ind w:firstLine="1760" w:firstLineChars="400"/>
        <w:rPr>
          <w:rFonts w:ascii="黑体" w:eastAsia="黑体"/>
          <w:sz w:val="44"/>
          <w:szCs w:val="44"/>
        </w:rPr>
      </w:pPr>
    </w:p>
    <w:p w14:paraId="270BB8AF">
      <w:pPr>
        <w:rPr>
          <w:rFonts w:ascii="黑体" w:eastAsia="黑体"/>
          <w:sz w:val="44"/>
          <w:szCs w:val="44"/>
        </w:rPr>
      </w:pPr>
    </w:p>
    <w:p w14:paraId="25A0369F">
      <w:pPr>
        <w:ind w:firstLine="3120" w:firstLineChars="600"/>
        <w:rPr>
          <w:rFonts w:ascii="黑体" w:eastAsia="黑体"/>
          <w:sz w:val="52"/>
          <w:szCs w:val="52"/>
        </w:rPr>
      </w:pPr>
      <w:r>
        <w:rPr>
          <w:rFonts w:hint="eastAsia" w:ascii="黑体" w:eastAsia="黑体"/>
          <w:sz w:val="52"/>
          <w:szCs w:val="52"/>
        </w:rPr>
        <w:t>目录</w:t>
      </w:r>
    </w:p>
    <w:p w14:paraId="1D9ED091">
      <w:pPr>
        <w:ind w:firstLine="3080" w:firstLineChars="700"/>
        <w:rPr>
          <w:rFonts w:ascii="黑体" w:eastAsia="黑体"/>
          <w:sz w:val="44"/>
          <w:szCs w:val="44"/>
        </w:rPr>
      </w:pPr>
    </w:p>
    <w:p w14:paraId="31EF2702">
      <w:pPr>
        <w:pStyle w:val="10"/>
        <w:ind w:firstLine="0" w:firstLineChars="0"/>
        <w:rPr>
          <w:rFonts w:ascii="黑体" w:eastAsia="黑体"/>
          <w:sz w:val="32"/>
          <w:szCs w:val="32"/>
        </w:rPr>
      </w:pPr>
      <w:r>
        <w:rPr>
          <w:rFonts w:hint="eastAsia" w:ascii="黑体" w:eastAsia="黑体"/>
          <w:sz w:val="32"/>
          <w:szCs w:val="32"/>
        </w:rPr>
        <w:t>一、基本职能及主要工作</w:t>
      </w:r>
    </w:p>
    <w:p w14:paraId="12D9EB73">
      <w:pPr>
        <w:rPr>
          <w:rFonts w:ascii="楷体" w:eastAsia="楷体"/>
          <w:sz w:val="32"/>
          <w:szCs w:val="32"/>
        </w:rPr>
      </w:pPr>
      <w:r>
        <w:rPr>
          <w:rFonts w:hint="eastAsia" w:ascii="楷体" w:eastAsia="楷体"/>
          <w:sz w:val="32"/>
          <w:szCs w:val="32"/>
        </w:rPr>
        <w:t>（一）部门职能简介</w:t>
      </w:r>
    </w:p>
    <w:p w14:paraId="3FD848C6">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3E3A165E">
      <w:pPr>
        <w:rPr>
          <w:rFonts w:ascii="黑体" w:eastAsia="黑体"/>
          <w:sz w:val="32"/>
          <w:szCs w:val="32"/>
        </w:rPr>
      </w:pPr>
      <w:r>
        <w:rPr>
          <w:rFonts w:hint="eastAsia" w:ascii="黑体" w:eastAsia="黑体"/>
          <w:sz w:val="32"/>
          <w:szCs w:val="32"/>
        </w:rPr>
        <w:t>二、部门预算单位构成</w:t>
      </w:r>
    </w:p>
    <w:p w14:paraId="39D457DB">
      <w:pPr>
        <w:rPr>
          <w:rFonts w:ascii="黑体" w:eastAsia="黑体"/>
          <w:sz w:val="32"/>
          <w:szCs w:val="32"/>
        </w:rPr>
      </w:pPr>
      <w:r>
        <w:rPr>
          <w:rFonts w:hint="eastAsia" w:ascii="黑体" w:eastAsia="黑体"/>
          <w:sz w:val="32"/>
          <w:szCs w:val="32"/>
        </w:rPr>
        <w:t>三、收支预算情况说明</w:t>
      </w:r>
    </w:p>
    <w:p w14:paraId="2DE3CFF5">
      <w:pPr>
        <w:rPr>
          <w:rFonts w:ascii="楷体" w:eastAsia="楷体"/>
          <w:sz w:val="32"/>
          <w:szCs w:val="32"/>
        </w:rPr>
      </w:pPr>
      <w:r>
        <w:rPr>
          <w:rFonts w:hint="eastAsia" w:ascii="楷体" w:eastAsia="楷体"/>
          <w:sz w:val="32"/>
          <w:szCs w:val="32"/>
        </w:rPr>
        <w:t>（一）收入预算情况</w:t>
      </w:r>
    </w:p>
    <w:p w14:paraId="73949418">
      <w:pPr>
        <w:rPr>
          <w:rFonts w:ascii="楷体" w:eastAsia="楷体"/>
          <w:sz w:val="32"/>
          <w:szCs w:val="32"/>
        </w:rPr>
      </w:pPr>
      <w:r>
        <w:rPr>
          <w:rFonts w:hint="eastAsia" w:ascii="楷体" w:eastAsia="楷体"/>
          <w:sz w:val="32"/>
          <w:szCs w:val="32"/>
        </w:rPr>
        <w:t>（二）支出预算情况</w:t>
      </w:r>
    </w:p>
    <w:p w14:paraId="1D821EF2">
      <w:pPr>
        <w:rPr>
          <w:rFonts w:ascii="黑体" w:eastAsia="黑体"/>
          <w:sz w:val="32"/>
          <w:szCs w:val="32"/>
        </w:rPr>
      </w:pPr>
      <w:r>
        <w:rPr>
          <w:rFonts w:hint="eastAsia" w:ascii="黑体" w:eastAsia="黑体"/>
          <w:sz w:val="32"/>
          <w:szCs w:val="32"/>
        </w:rPr>
        <w:t>四、财政拨款收支预算情况说明</w:t>
      </w:r>
    </w:p>
    <w:p w14:paraId="30D03C9F">
      <w:pPr>
        <w:rPr>
          <w:rFonts w:ascii="黑体" w:eastAsia="黑体"/>
          <w:sz w:val="32"/>
          <w:szCs w:val="32"/>
        </w:rPr>
      </w:pPr>
      <w:r>
        <w:rPr>
          <w:rFonts w:hint="eastAsia" w:ascii="黑体" w:eastAsia="黑体"/>
          <w:sz w:val="32"/>
          <w:szCs w:val="32"/>
        </w:rPr>
        <w:t>五、一般公共预算当年拨款情况说明</w:t>
      </w:r>
    </w:p>
    <w:p w14:paraId="595D1F56">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D9AE50F">
      <w:pPr>
        <w:rPr>
          <w:rFonts w:ascii="黑体" w:eastAsia="黑体"/>
          <w:sz w:val="32"/>
          <w:szCs w:val="32"/>
        </w:rPr>
      </w:pPr>
    </w:p>
    <w:p w14:paraId="4E26FB0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5A2EDF7">
      <w:pPr>
        <w:pStyle w:val="10"/>
        <w:rPr>
          <w:rFonts w:ascii="黑体" w:eastAsia="黑体"/>
          <w:sz w:val="32"/>
          <w:szCs w:val="32"/>
        </w:rPr>
      </w:pPr>
      <w:r>
        <w:rPr>
          <w:rFonts w:hint="eastAsia" w:ascii="黑体" w:eastAsia="黑体"/>
          <w:sz w:val="32"/>
          <w:szCs w:val="32"/>
        </w:rPr>
        <w:t>一、基本职能及主要工作</w:t>
      </w:r>
    </w:p>
    <w:p w14:paraId="3550FEA6">
      <w:pPr>
        <w:ind w:firstLine="640" w:firstLineChars="200"/>
        <w:rPr>
          <w:rFonts w:ascii="楷体" w:eastAsia="楷体"/>
          <w:sz w:val="32"/>
          <w:szCs w:val="32"/>
        </w:rPr>
      </w:pPr>
      <w:r>
        <w:rPr>
          <w:rFonts w:hint="eastAsia" w:ascii="楷体" w:eastAsia="楷体"/>
          <w:sz w:val="32"/>
          <w:szCs w:val="32"/>
        </w:rPr>
        <w:t>（一）部门职能简介</w:t>
      </w:r>
    </w:p>
    <w:p w14:paraId="0239FC65">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仿宋" w:eastAsia="仿宋_GB2312"/>
          <w:sz w:val="32"/>
          <w:szCs w:val="32"/>
        </w:rPr>
        <w:t>主要职能。</w:t>
      </w:r>
      <w:r>
        <w:rPr>
          <w:rFonts w:hint="eastAsia" w:ascii="仿宋_GB2312" w:hAnsi="Calibri" w:eastAsia="仿宋_GB2312" w:cs="仿宋_GB2312"/>
          <w:kern w:val="2"/>
          <w:sz w:val="32"/>
          <w:szCs w:val="32"/>
          <w:lang w:val="en-US" w:eastAsia="zh-CN" w:bidi="ar-SA"/>
        </w:rPr>
        <w:t>根据根据阿编发［1997］3号文件规定，按照中办发（2016）3号文件要求，阿坝州州级退休干部驻马尔康修养所主要职责是负责居住在马尔康干休所退休干部及马尔康地区的州级机关离退休党员的管理服务工作；对居住在阿坝州内的离休干部、副厅级退休干部宏观管理；管理好马尔康地区老干部活动中心；贯彻落实宣传好党和国家关于老干部工作的政策。让老干部感到老有所管，老有所学，老有所医，老有所乐；让管辖范围内老同志满意，营造很好的社会敬老氛围。</w:t>
      </w:r>
    </w:p>
    <w:p w14:paraId="54732E54">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30FDF3BB">
      <w:pPr>
        <w:spacing w:line="560" w:lineRule="exact"/>
        <w:ind w:left="0" w:firstLine="640" w:firstLineChars="200"/>
        <w:rPr>
          <w:rFonts w:hint="eastAsia" w:ascii="黑体" w:eastAsia="黑体" w:cs="仿宋"/>
          <w:b/>
          <w:bCs/>
          <w:snapToGrid w:val="0"/>
          <w:sz w:val="32"/>
        </w:rPr>
      </w:pPr>
      <w:r>
        <w:rPr>
          <w:rFonts w:ascii="黑体" w:eastAsia="黑体" w:cs="仿宋"/>
          <w:snapToGrid w:val="0"/>
          <w:sz w:val="32"/>
        </w:rPr>
        <w:t>1.</w:t>
      </w:r>
      <w:r>
        <w:rPr>
          <w:rFonts w:hint="eastAsia" w:ascii="仿宋" w:eastAsia="仿宋" w:cs="仿宋"/>
          <w:bCs/>
          <w:sz w:val="32"/>
          <w:szCs w:val="32"/>
        </w:rPr>
        <w:t>加强老干部工作队伍建设。继续深化理论学习和业务知识学习，强化服务意识，促进团队协作意识，提高队伍综合素养。</w:t>
      </w:r>
    </w:p>
    <w:p w14:paraId="35FCAFED">
      <w:pPr>
        <w:autoSpaceDN w:val="0"/>
        <w:spacing w:line="560" w:lineRule="exact"/>
        <w:ind w:firstLine="640" w:firstLineChars="200"/>
        <w:rPr>
          <w:rFonts w:hint="eastAsia" w:ascii="仿宋" w:eastAsia="仿宋" w:cs="仿宋"/>
          <w:sz w:val="32"/>
          <w:szCs w:val="32"/>
        </w:rPr>
      </w:pPr>
      <w:r>
        <w:rPr>
          <w:rFonts w:hint="eastAsia" w:ascii="仿宋" w:eastAsia="仿宋" w:cs="仿宋"/>
          <w:bCs/>
          <w:sz w:val="32"/>
          <w:szCs w:val="32"/>
        </w:rPr>
        <w:t>2.</w:t>
      </w:r>
      <w:r>
        <w:rPr>
          <w:rFonts w:ascii="仿宋" w:eastAsia="仿宋" w:cs="仿宋"/>
          <w:bCs/>
          <w:sz w:val="32"/>
          <w:szCs w:val="32"/>
        </w:rPr>
        <w:t>基层党委开始实体化运行，继续</w:t>
      </w:r>
      <w:r>
        <w:rPr>
          <w:rFonts w:hint="eastAsia" w:ascii="仿宋" w:eastAsia="仿宋" w:cs="仿宋"/>
          <w:bCs/>
          <w:sz w:val="32"/>
          <w:szCs w:val="32"/>
        </w:rPr>
        <w:t>打造退休党员的精神家园。对标“六好”支部要求，</w:t>
      </w:r>
      <w:r>
        <w:rPr>
          <w:rFonts w:hint="eastAsia" w:ascii="仿宋" w:eastAsia="仿宋" w:cs="仿宋"/>
          <w:sz w:val="32"/>
          <w:szCs w:val="32"/>
        </w:rPr>
        <w:t>认真落实三会一课制度，</w:t>
      </w:r>
      <w:r>
        <w:rPr>
          <w:rFonts w:hint="eastAsia" w:ascii="仿宋" w:eastAsia="仿宋" w:cs="仿宋"/>
          <w:bCs/>
          <w:sz w:val="32"/>
          <w:szCs w:val="32"/>
        </w:rPr>
        <w:t>丰富党建品牌创建内容，提高退休党员的教育管理和关心关爱。</w:t>
      </w:r>
    </w:p>
    <w:p w14:paraId="0F92063E">
      <w:pPr>
        <w:spacing w:line="560" w:lineRule="exact"/>
        <w:ind w:firstLine="640" w:firstLineChars="200"/>
        <w:rPr>
          <w:rFonts w:hint="eastAsia" w:ascii="仿宋" w:eastAsia="仿宋" w:cs="仿宋"/>
          <w:bCs/>
          <w:sz w:val="32"/>
          <w:szCs w:val="32"/>
        </w:rPr>
      </w:pPr>
      <w:r>
        <w:rPr>
          <w:rFonts w:hint="eastAsia" w:ascii="仿宋" w:eastAsia="仿宋" w:cs="仿宋"/>
          <w:bCs/>
          <w:sz w:val="32"/>
          <w:szCs w:val="32"/>
        </w:rPr>
        <w:t>3.管理服务精准施策，勇于开拓创新。继续深化网格化管理服务，结合实际，探索新时期老干部管理服务路径，积极做到让组织放心，老同志满意。</w:t>
      </w:r>
    </w:p>
    <w:p w14:paraId="7E830016">
      <w:pPr>
        <w:spacing w:line="560" w:lineRule="exact"/>
        <w:ind w:firstLine="640" w:firstLineChars="200"/>
        <w:rPr>
          <w:rFonts w:ascii="仿宋" w:eastAsia="仿宋" w:cs="仿宋"/>
          <w:bCs/>
          <w:sz w:val="32"/>
          <w:szCs w:val="32"/>
        </w:rPr>
      </w:pPr>
      <w:r>
        <w:rPr>
          <w:rFonts w:hint="eastAsia" w:ascii="仿宋" w:eastAsia="仿宋" w:cs="仿宋"/>
          <w:bCs/>
          <w:sz w:val="32"/>
          <w:szCs w:val="32"/>
        </w:rPr>
        <w:t>4.加强阵地建设。合理处置利用好现有资源，建设更适合管理服务对象的活动场所。</w:t>
      </w:r>
    </w:p>
    <w:p w14:paraId="67B29DCC">
      <w:pPr>
        <w:spacing w:line="560" w:lineRule="exact"/>
        <w:ind w:firstLine="640" w:firstLineChars="200"/>
        <w:rPr>
          <w:rFonts w:ascii="仿宋" w:eastAsia="仿宋" w:cs="仿宋"/>
          <w:bCs/>
          <w:sz w:val="32"/>
          <w:szCs w:val="32"/>
        </w:rPr>
      </w:pPr>
      <w:r>
        <w:rPr>
          <w:rFonts w:ascii="仿宋" w:eastAsia="仿宋" w:cs="仿宋"/>
          <w:bCs/>
          <w:sz w:val="32"/>
          <w:szCs w:val="32"/>
        </w:rPr>
        <w:t>5.引导老同志老有所为，继续为党和人民事业增添正能量。</w:t>
      </w:r>
    </w:p>
    <w:p w14:paraId="02EEFA0E">
      <w:pPr>
        <w:spacing w:line="560" w:lineRule="exact"/>
        <w:ind w:firstLine="640" w:firstLineChars="200"/>
        <w:rPr>
          <w:rFonts w:hint="eastAsia" w:ascii="仿宋" w:eastAsia="仿宋" w:cs="仿宋"/>
          <w:bCs/>
          <w:sz w:val="32"/>
          <w:szCs w:val="32"/>
        </w:rPr>
      </w:pPr>
      <w:r>
        <w:rPr>
          <w:rFonts w:ascii="仿宋" w:eastAsia="仿宋" w:cs="仿宋"/>
          <w:bCs/>
          <w:sz w:val="32"/>
          <w:szCs w:val="32"/>
        </w:rPr>
        <w:t>6</w:t>
      </w:r>
      <w:r>
        <w:rPr>
          <w:rFonts w:hint="eastAsia" w:ascii="仿宋" w:eastAsia="仿宋" w:cs="仿宋"/>
          <w:bCs/>
          <w:sz w:val="32"/>
          <w:szCs w:val="32"/>
        </w:rPr>
        <w:t>.完成州委老干部局交办的其他工作。</w:t>
      </w:r>
    </w:p>
    <w:p w14:paraId="5EE79760">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18B332BF">
      <w:pPr>
        <w:pStyle w:val="10"/>
        <w:rPr>
          <w:rFonts w:hint="eastAsia" w:ascii="仿宋_GB2312" w:hAnsi="仿宋_GB2312" w:eastAsia="仿宋_GB2312" w:cs="仿宋_GB2312"/>
          <w:color w:val="auto"/>
          <w:sz w:val="32"/>
          <w:szCs w:val="32"/>
          <w:lang w:eastAsia="zh-CN"/>
        </w:rPr>
      </w:pPr>
      <w:r>
        <w:rPr>
          <w:rFonts w:hint="eastAsia" w:ascii="仿宋_GB2312" w:hAnsi="Calibri" w:eastAsia="仿宋_GB2312" w:cs="仿宋_GB2312"/>
          <w:kern w:val="2"/>
          <w:sz w:val="32"/>
          <w:szCs w:val="32"/>
          <w:lang w:val="en-US" w:eastAsia="zh-CN" w:bidi="ar-SA"/>
        </w:rPr>
        <w:t>马尔康干休所属州本级一级预算</w:t>
      </w:r>
      <w:r>
        <w:rPr>
          <w:rFonts w:hint="eastAsia" w:ascii="仿宋_GB2312" w:hAnsi="仿宋_GB2312" w:eastAsia="仿宋_GB2312" w:cs="仿宋_GB2312"/>
          <w:color w:val="auto"/>
          <w:sz w:val="32"/>
          <w:szCs w:val="32"/>
        </w:rPr>
        <w:t>参照公务员法管理的事业</w:t>
      </w:r>
      <w:r>
        <w:rPr>
          <w:rFonts w:hint="eastAsia" w:ascii="仿宋_GB2312" w:hAnsi="Calibri" w:eastAsia="仿宋_GB2312" w:cs="仿宋_GB2312"/>
          <w:kern w:val="2"/>
          <w:sz w:val="32"/>
          <w:szCs w:val="32"/>
          <w:lang w:val="en-US" w:eastAsia="zh-CN" w:bidi="ar-SA"/>
        </w:rPr>
        <w:t>单位，执行行政财会制度，阿坝州委老干部局是上级主管单位，无下属二级预算单。</w:t>
      </w:r>
      <w:r>
        <w:rPr>
          <w:rFonts w:hint="eastAsia" w:ascii="仿宋_GB2312" w:eastAsia="仿宋_GB2312" w:cs="仿宋_GB2312"/>
          <w:kern w:val="2"/>
          <w:sz w:val="32"/>
          <w:szCs w:val="32"/>
          <w:lang w:val="en-US" w:eastAsia="zh-CN" w:bidi="ar-SA"/>
        </w:rPr>
        <w:t>2025年初</w:t>
      </w:r>
      <w:r>
        <w:rPr>
          <w:rFonts w:hint="eastAsia" w:ascii="仿宋_GB2312" w:hAnsi="仿宋_GB2312" w:eastAsia="仿宋_GB2312" w:cs="仿宋_GB2312"/>
          <w:color w:val="auto"/>
          <w:sz w:val="32"/>
          <w:szCs w:val="32"/>
        </w:rPr>
        <w:t>参照公务员法管理的事业单位</w:t>
      </w:r>
      <w:r>
        <w:rPr>
          <w:rFonts w:hint="eastAsia" w:ascii="仿宋_GB2312" w:hAnsi="仿宋_GB2312" w:eastAsia="仿宋_GB2312" w:cs="仿宋_GB2312"/>
          <w:color w:val="auto"/>
          <w:sz w:val="32"/>
          <w:szCs w:val="32"/>
          <w:lang w:val="en-US" w:eastAsia="zh-CN"/>
        </w:rPr>
        <w:t>人员合计7名，离休人员1名，退休5人</w:t>
      </w:r>
      <w:r>
        <w:rPr>
          <w:rFonts w:hint="eastAsia" w:ascii="仿宋_GB2312" w:hAnsi="仿宋_GB2312" w:eastAsia="仿宋_GB2312" w:cs="仿宋_GB2312"/>
          <w:color w:val="auto"/>
          <w:sz w:val="32"/>
          <w:szCs w:val="32"/>
          <w:lang w:eastAsia="zh-CN"/>
        </w:rPr>
        <w:t>。</w:t>
      </w:r>
    </w:p>
    <w:p w14:paraId="2DB8FC76">
      <w:pPr>
        <w:pStyle w:val="10"/>
        <w:rPr>
          <w:rFonts w:ascii="黑体" w:eastAsia="黑体"/>
          <w:sz w:val="32"/>
          <w:szCs w:val="32"/>
        </w:rPr>
      </w:pPr>
      <w:r>
        <w:rPr>
          <w:rFonts w:hint="eastAsia" w:ascii="黑体" w:eastAsia="黑体"/>
          <w:sz w:val="32"/>
          <w:szCs w:val="32"/>
        </w:rPr>
        <w:t>三、收支预算情况说明</w:t>
      </w:r>
    </w:p>
    <w:p w14:paraId="4A930F76">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ascii="仿宋_GB2312" w:eastAsia="仿宋_GB2312"/>
          <w:color w:val="auto"/>
          <w:sz w:val="32"/>
          <w:szCs w:val="32"/>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仿宋_GB2312" w:hAnsi="仿宋_GB2312" w:eastAsia="仿宋_GB2312" w:cs="仿宋_GB2312"/>
          <w:color w:val="auto"/>
          <w:sz w:val="32"/>
          <w:szCs w:val="32"/>
          <w:lang w:eastAsia="zh-CN"/>
        </w:rPr>
        <w:drawing>
          <wp:anchor distT="0" distB="0" distL="114300" distR="114300" simplePos="0" relativeHeight="251659264" behindDoc="0" locked="0" layoutInCell="1" allowOverlap="1">
            <wp:simplePos x="0" y="0"/>
            <wp:positionH relativeFrom="column">
              <wp:posOffset>1410970</wp:posOffset>
            </wp:positionH>
            <wp:positionV relativeFrom="paragraph">
              <wp:posOffset>581660</wp:posOffset>
            </wp:positionV>
            <wp:extent cx="3830955" cy="2340610"/>
            <wp:effectExtent l="4445" t="4445" r="12700" b="1714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度财政拨款预算收入合计为240.89</w:t>
      </w:r>
      <w:r>
        <w:rPr>
          <w:rFonts w:hint="eastAsia" w:ascii="仿宋_GB2312" w:hAnsi="仿宋_GB2312" w:eastAsia="仿宋_GB2312" w:cs="仿宋_GB2312"/>
          <w:color w:val="auto"/>
          <w:sz w:val="32"/>
          <w:szCs w:val="32"/>
        </w:rPr>
        <w:t>万元，一般公共预算拨款收入</w:t>
      </w:r>
      <w:r>
        <w:rPr>
          <w:rFonts w:hint="eastAsia" w:ascii="仿宋_GB2312" w:hAnsi="仿宋_GB2312" w:eastAsia="仿宋_GB2312" w:cs="仿宋_GB2312"/>
          <w:color w:val="auto"/>
          <w:sz w:val="32"/>
          <w:szCs w:val="32"/>
          <w:lang w:val="en-US" w:eastAsia="zh-CN"/>
        </w:rPr>
        <w:t>240.89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%；事业收入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%；其他收入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14:paraId="0AF27A10">
      <w:pPr>
        <w:numPr>
          <w:ilvl w:val="0"/>
          <w:numId w:val="0"/>
        </w:numPr>
        <w:ind w:firstLine="320" w:firstLineChars="100"/>
        <w:jc w:val="left"/>
        <w:rPr>
          <w:rFonts w:hint="eastAsia" w:ascii="仿宋_GB2312" w:hAnsi="仿宋_GB2312" w:eastAsia="仿宋_GB2312" w:cs="仿宋_GB2312"/>
          <w:color w:val="auto"/>
          <w:sz w:val="32"/>
          <w:szCs w:val="32"/>
          <w:lang w:eastAsia="zh-CN"/>
        </w:rPr>
      </w:pPr>
      <w:r>
        <w:rPr>
          <w:rFonts w:hint="eastAsia" w:ascii="楷体" w:eastAsia="楷体" w:cs="仿宋_GB2312"/>
          <w:sz w:val="32"/>
          <w:szCs w:val="32"/>
        </w:rPr>
        <w:t>（二）支出预算情况</w:t>
      </w:r>
      <w:r>
        <w:rPr>
          <w:rFonts w:hint="eastAsia" w:ascii="楷体" w:eastAsia="楷体" w:cs="仿宋_GB2312"/>
          <w:sz w:val="32"/>
          <w:szCs w:val="32"/>
          <w:lang w:eastAsia="zh-CN"/>
        </w:rPr>
        <w:t>。</w:t>
      </w: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度财政拨款预算收入合计为240.89万元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其中：基本支出</w:t>
      </w:r>
      <w:r>
        <w:rPr>
          <w:rFonts w:hint="eastAsia" w:ascii="仿宋_GB2312" w:hAnsi="仿宋_GB2312" w:eastAsia="仿宋_GB2312" w:cs="仿宋_GB2312"/>
          <w:color w:val="auto"/>
          <w:sz w:val="32"/>
          <w:szCs w:val="32"/>
          <w:lang w:val="en-US" w:eastAsia="zh-CN"/>
        </w:rPr>
        <w:t>218.49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占总支出90.71</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22.4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占总支出9.29%</w:t>
      </w:r>
      <w:r>
        <w:rPr>
          <w:rFonts w:hint="eastAsia" w:ascii="仿宋_GB2312" w:hAnsi="仿宋_GB2312" w:eastAsia="仿宋_GB2312" w:cs="仿宋_GB2312"/>
          <w:color w:val="auto"/>
          <w:sz w:val="32"/>
          <w:szCs w:val="32"/>
        </w:rPr>
        <w:t>。</w:t>
      </w:r>
    </w:p>
    <w:p w14:paraId="2FF56570">
      <w:pPr>
        <w:jc w:val="left"/>
        <w:rPr>
          <w:rFonts w:hint="eastAsia" w:ascii="楷体" w:eastAsia="楷体"/>
          <w:sz w:val="32"/>
          <w:szCs w:val="32"/>
          <w:lang w:eastAsia="zh-CN"/>
        </w:rPr>
      </w:pPr>
      <w:r>
        <w:rPr>
          <w:rFonts w:hint="eastAsia" w:ascii="仿宋_GB2312" w:hAnsi="仿宋_GB2312" w:eastAsia="仿宋_GB2312" w:cs="仿宋_GB2312"/>
          <w:color w:val="auto"/>
          <w:sz w:val="32"/>
          <w:szCs w:val="32"/>
          <w:lang w:eastAsia="zh-CN"/>
        </w:rPr>
        <w:drawing>
          <wp:inline distT="0" distB="0" distL="114300" distR="114300">
            <wp:extent cx="5233035" cy="2922270"/>
            <wp:effectExtent l="4445" t="4445" r="20320" b="698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E89F1E2">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ascii="仿宋_GB2312" w:eastAsia="仿宋_GB2312"/>
          <w:sz w:val="32"/>
          <w:szCs w:val="32"/>
          <w:lang w:val="en-US" w:eastAsia="zh-CN"/>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eastAsia="仿宋_GB2312" w:cs="仿宋_GB2312"/>
          <w:sz w:val="32"/>
          <w:szCs w:val="32"/>
        </w:rPr>
        <w:t>部门（单位）</w:t>
      </w:r>
      <w:r>
        <w:rPr>
          <w:rFonts w:hint="eastAsia" w:ascii="仿宋_GB2312" w:eastAsia="仿宋_GB2312"/>
          <w:sz w:val="32"/>
          <w:szCs w:val="32"/>
        </w:rPr>
        <w:t>2025年财政拨款收支总预算</w:t>
      </w:r>
      <w:r>
        <w:rPr>
          <w:rFonts w:hint="eastAsia" w:ascii="仿宋_GB2312" w:hAnsi="仿宋_GB2312" w:eastAsia="仿宋_GB2312" w:cs="仿宋_GB2312"/>
          <w:color w:val="auto"/>
          <w:sz w:val="32"/>
          <w:szCs w:val="32"/>
          <w:lang w:val="en-US" w:eastAsia="zh-CN"/>
        </w:rPr>
        <w:t>240.89</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2024年财政拨款收支总预算减少</w:t>
      </w:r>
      <w:r>
        <w:rPr>
          <w:rFonts w:hint="eastAsia" w:ascii="仿宋_GB2312" w:eastAsia="仿宋_GB2312"/>
          <w:sz w:val="32"/>
          <w:szCs w:val="32"/>
          <w:lang w:val="en-US" w:eastAsia="zh-CN"/>
        </w:rPr>
        <w:t>26.4</w:t>
      </w:r>
      <w:r>
        <w:rPr>
          <w:rFonts w:hint="eastAsia" w:ascii="仿宋_GB2312" w:eastAsia="仿宋_GB2312"/>
          <w:sz w:val="32"/>
          <w:szCs w:val="32"/>
        </w:rPr>
        <w:t>万元，主要</w:t>
      </w:r>
      <w:r>
        <w:rPr>
          <w:rFonts w:hint="eastAsia" w:ascii="仿宋_GB2312" w:eastAsia="仿宋_GB2312"/>
          <w:sz w:val="32"/>
          <w:szCs w:val="32"/>
          <w:lang w:val="en-US" w:eastAsia="zh-CN"/>
        </w:rPr>
        <w:t>原</w:t>
      </w:r>
      <w:r>
        <w:rPr>
          <w:rFonts w:hint="eastAsia" w:ascii="仿宋_GB2312" w:eastAsia="仿宋_GB2312"/>
          <w:sz w:val="32"/>
          <w:szCs w:val="32"/>
        </w:rPr>
        <w:t>因:</w:t>
      </w:r>
      <w:r>
        <w:rPr>
          <w:rFonts w:hint="eastAsia" w:ascii="仿宋_GB2312" w:eastAsia="仿宋_GB2312"/>
          <w:sz w:val="32"/>
          <w:szCs w:val="32"/>
          <w:lang w:val="en-US" w:eastAsia="zh-CN"/>
        </w:rPr>
        <w:t>2024年项目资金较高，</w:t>
      </w:r>
    </w:p>
    <w:p w14:paraId="222E3F20">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ascii="仿宋_GB2312" w:eastAsia="仿宋_GB2312" w:cs="仿宋_GB2312"/>
          <w:color w:val="auto"/>
          <w:sz w:val="32"/>
          <w:szCs w:val="32"/>
          <w:lang w:val="en-US" w:eastAsia="zh-CN"/>
        </w:rPr>
      </w:pPr>
      <w:r>
        <w:rPr>
          <w:rFonts w:hint="eastAsia" w:ascii="仿宋_GB2312" w:eastAsia="仿宋_GB2312" w:cs="仿宋_GB2312"/>
          <w:sz w:val="32"/>
          <w:szCs w:val="32"/>
        </w:rPr>
        <w:t>收入包括：</w:t>
      </w:r>
      <w:r>
        <w:rPr>
          <w:rFonts w:hint="eastAsia" w:ascii="仿宋_GB2312" w:eastAsia="仿宋_GB2312" w:cs="仿宋_GB2312"/>
          <w:color w:val="auto"/>
          <w:sz w:val="32"/>
          <w:szCs w:val="32"/>
          <w:lang w:val="en-US" w:eastAsia="zh-CN"/>
        </w:rPr>
        <w:t>财政拨款</w:t>
      </w:r>
      <w:r>
        <w:rPr>
          <w:rFonts w:hint="eastAsia" w:ascii="仿宋_GB2312" w:eastAsia="仿宋_GB2312" w:cs="仿宋_GB2312"/>
          <w:color w:val="auto"/>
          <w:sz w:val="32"/>
          <w:szCs w:val="32"/>
        </w:rPr>
        <w:t>收入</w:t>
      </w:r>
      <w:r>
        <w:rPr>
          <w:rFonts w:hint="eastAsia" w:ascii="仿宋_GB2312" w:eastAsia="仿宋_GB2312" w:cs="仿宋_GB2312"/>
          <w:color w:val="auto"/>
          <w:sz w:val="32"/>
          <w:szCs w:val="32"/>
          <w:lang w:val="en-US" w:eastAsia="zh-CN"/>
        </w:rPr>
        <w:t>240.89万元，无其他收入。</w:t>
      </w:r>
    </w:p>
    <w:p w14:paraId="0E91F967">
      <w:pPr>
        <w:keepNext w:val="0"/>
        <w:keepLines w:val="0"/>
        <w:pageBreakBefore w:val="0"/>
        <w:widowControl w:val="0"/>
        <w:kinsoku/>
        <w:wordWrap/>
        <w:overflowPunct/>
        <w:topLinePunct w:val="0"/>
        <w:autoSpaceDE/>
        <w:autoSpaceDN/>
        <w:bidi w:val="0"/>
        <w:adjustRightInd/>
        <w:snapToGrid/>
        <w:spacing w:line="572" w:lineRule="exact"/>
        <w:ind w:left="0" w:leftChars="0" w:firstLine="640" w:firstLineChars="200"/>
        <w:jc w:val="both"/>
        <w:textAlignment w:val="auto"/>
        <w:rPr>
          <w:rFonts w:hint="default" w:ascii="仿宋_GB2312" w:eastAsia="仿宋_GB2312"/>
          <w:sz w:val="32"/>
          <w:szCs w:val="32"/>
          <w:lang w:val="en-US" w:eastAsia="zh-CN"/>
        </w:rPr>
      </w:pPr>
      <w:r>
        <w:rPr>
          <w:rFonts w:hint="eastAsia" w:ascii="仿宋_GB2312" w:eastAsia="仿宋_GB2312" w:cs="仿宋_GB2312"/>
          <w:sz w:val="32"/>
          <w:szCs w:val="32"/>
        </w:rPr>
        <w:t>支出包括：</w:t>
      </w:r>
      <w:r>
        <w:rPr>
          <w:rFonts w:hint="eastAsia" w:ascii="仿宋_GB2312" w:eastAsia="仿宋_GB2312"/>
          <w:sz w:val="32"/>
          <w:szCs w:val="32"/>
          <w:lang w:val="en-US" w:eastAsia="zh-CN"/>
        </w:rPr>
        <w:t>财政拨款预算支出240.89万元，无其他支出。</w:t>
      </w:r>
    </w:p>
    <w:p w14:paraId="22E6AE80">
      <w:pPr>
        <w:ind w:firstLine="640" w:firstLineChars="200"/>
        <w:rPr>
          <w:rFonts w:ascii="黑体" w:eastAsia="黑体"/>
          <w:sz w:val="32"/>
          <w:szCs w:val="32"/>
        </w:rPr>
      </w:pPr>
      <w:r>
        <w:rPr>
          <w:rFonts w:hint="eastAsia" w:ascii="黑体" w:eastAsia="黑体"/>
          <w:sz w:val="32"/>
          <w:szCs w:val="32"/>
        </w:rPr>
        <w:t>五、一般公共预算当年拨款情况说明</w:t>
      </w:r>
    </w:p>
    <w:p w14:paraId="3A2EBE87">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7C8234E6">
      <w:pPr>
        <w:pStyle w:val="11"/>
        <w:spacing w:before="0" w:line="360" w:lineRule="auto"/>
        <w:ind w:firstLine="660"/>
        <w:rPr>
          <w:rFonts w:cs="仿宋_GB2312"/>
          <w:kern w:val="2"/>
          <w:sz w:val="32"/>
          <w:szCs w:val="32"/>
        </w:rPr>
      </w:pPr>
      <w:r>
        <w:rPr>
          <w:rFonts w:hint="eastAsia" w:cs="仿宋_GB2312"/>
          <w:kern w:val="2"/>
          <w:sz w:val="32"/>
          <w:szCs w:val="32"/>
        </w:rPr>
        <w:t>部门（单位）</w:t>
      </w:r>
      <w:r>
        <w:rPr>
          <w:rFonts w:hint="eastAsia" w:cs="宋体"/>
          <w:sz w:val="32"/>
          <w:szCs w:val="32"/>
        </w:rPr>
        <w:t>2025年一般公共预算当年拨款</w:t>
      </w:r>
      <w:r>
        <w:rPr>
          <w:rFonts w:hint="eastAsia" w:cs="宋体"/>
          <w:sz w:val="32"/>
          <w:szCs w:val="32"/>
          <w:lang w:val="en-US" w:eastAsia="zh-CN"/>
        </w:rPr>
        <w:t>240.89</w:t>
      </w:r>
      <w:r>
        <w:rPr>
          <w:rFonts w:hint="eastAsia" w:cs="宋体"/>
          <w:sz w:val="32"/>
          <w:szCs w:val="32"/>
        </w:rPr>
        <w:t>万元，比2024年预算数</w:t>
      </w:r>
      <w:r>
        <w:rPr>
          <w:rFonts w:hint="eastAsia" w:ascii="仿宋_GB2312" w:hAnsi="仿宋_GB2312" w:eastAsia="仿宋_GB2312" w:cs="仿宋_GB2312"/>
          <w:color w:val="auto"/>
          <w:sz w:val="32"/>
          <w:szCs w:val="32"/>
          <w:lang w:val="en-US" w:eastAsia="zh-CN"/>
        </w:rPr>
        <w:t>267.29</w:t>
      </w:r>
      <w:r>
        <w:rPr>
          <w:rFonts w:hint="eastAsia"/>
          <w:sz w:val="32"/>
          <w:szCs w:val="32"/>
        </w:rPr>
        <w:t>减少</w:t>
      </w:r>
      <w:r>
        <w:rPr>
          <w:rFonts w:hint="eastAsia" w:cs="宋体"/>
          <w:sz w:val="32"/>
          <w:szCs w:val="32"/>
          <w:lang w:val="en-US" w:eastAsia="zh-CN"/>
        </w:rPr>
        <w:t>26.4</w:t>
      </w:r>
      <w:r>
        <w:rPr>
          <w:rFonts w:hint="eastAsia" w:cs="宋体"/>
          <w:sz w:val="32"/>
          <w:szCs w:val="32"/>
        </w:rPr>
        <w:t>万元，主要原因:</w:t>
      </w:r>
      <w:r>
        <w:rPr>
          <w:rFonts w:hint="eastAsia" w:cs="宋体"/>
          <w:sz w:val="32"/>
          <w:szCs w:val="32"/>
          <w:lang w:val="en-US" w:eastAsia="zh-CN"/>
        </w:rPr>
        <w:t>2025年项目资金减少。</w:t>
      </w:r>
      <w:r>
        <w:rPr>
          <w:rFonts w:hint="eastAsia" w:cs="仿宋_GB2312"/>
          <w:kern w:val="2"/>
          <w:sz w:val="32"/>
          <w:szCs w:val="32"/>
        </w:rPr>
        <w:t>　　</w:t>
      </w:r>
    </w:p>
    <w:p w14:paraId="7ABE6F30">
      <w:pPr>
        <w:pStyle w:val="11"/>
        <w:spacing w:before="0" w:line="360" w:lineRule="auto"/>
        <w:ind w:left="651" w:leftChars="310"/>
        <w:jc w:val="left"/>
        <w:rPr>
          <w:rFonts w:hint="eastAsia" w:eastAsia="仿宋_GB2312" w:cs="仿宋_GB2312"/>
          <w:kern w:val="2"/>
          <w:sz w:val="32"/>
          <w:szCs w:val="32"/>
          <w:lang w:eastAsia="zh-CN"/>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rPr>
        <w:t>一般公共服务支出</w:t>
      </w:r>
      <w:r>
        <w:rPr>
          <w:rFonts w:hint="eastAsia" w:cs="宋体"/>
          <w:sz w:val="32"/>
          <w:szCs w:val="32"/>
          <w:lang w:val="en-US" w:eastAsia="zh-CN"/>
        </w:rPr>
        <w:t>193.81</w:t>
      </w:r>
      <w:r>
        <w:rPr>
          <w:rFonts w:hint="eastAsia" w:cs="宋体"/>
          <w:sz w:val="32"/>
          <w:szCs w:val="32"/>
        </w:rPr>
        <w:t>万元，占</w:t>
      </w:r>
      <w:r>
        <w:rPr>
          <w:rFonts w:hint="eastAsia" w:cs="宋体"/>
          <w:sz w:val="32"/>
          <w:szCs w:val="32"/>
          <w:lang w:val="en-US" w:eastAsia="zh-CN"/>
        </w:rPr>
        <w:t>80.46</w:t>
      </w:r>
      <w:r>
        <w:rPr>
          <w:rFonts w:hint="eastAsia" w:cs="宋体"/>
          <w:sz w:val="32"/>
          <w:szCs w:val="32"/>
        </w:rPr>
        <w:t>%；社会保障和就业支</w:t>
      </w:r>
      <w:r>
        <w:rPr>
          <w:rFonts w:hint="eastAsia" w:cs="宋体"/>
          <w:sz w:val="32"/>
          <w:szCs w:val="32"/>
          <w:lang w:val="en-US" w:eastAsia="zh-CN"/>
        </w:rPr>
        <w:t>出27.87万元</w:t>
      </w:r>
      <w:r>
        <w:rPr>
          <w:rFonts w:hint="eastAsia" w:cs="宋体"/>
          <w:sz w:val="32"/>
          <w:szCs w:val="32"/>
        </w:rPr>
        <w:t>占</w:t>
      </w:r>
      <w:r>
        <w:rPr>
          <w:rFonts w:hint="eastAsia" w:cs="宋体"/>
          <w:sz w:val="32"/>
          <w:szCs w:val="32"/>
          <w:lang w:val="en-US" w:eastAsia="zh-CN"/>
        </w:rPr>
        <w:t>10.32</w:t>
      </w:r>
      <w:r>
        <w:rPr>
          <w:rFonts w:hint="eastAsia" w:cs="宋体"/>
          <w:sz w:val="32"/>
          <w:szCs w:val="32"/>
        </w:rPr>
        <w:t>%；住房保障支出</w:t>
      </w:r>
      <w:r>
        <w:rPr>
          <w:rFonts w:hint="eastAsia" w:cs="宋体"/>
          <w:sz w:val="32"/>
          <w:szCs w:val="32"/>
          <w:lang w:val="en-US" w:eastAsia="zh-CN"/>
        </w:rPr>
        <w:t>12.13</w:t>
      </w:r>
      <w:r>
        <w:rPr>
          <w:rFonts w:hint="eastAsia" w:cs="宋体"/>
          <w:sz w:val="32"/>
          <w:szCs w:val="32"/>
        </w:rPr>
        <w:t>万元，占</w:t>
      </w:r>
      <w:r>
        <w:rPr>
          <w:rFonts w:hint="eastAsia" w:cs="宋体"/>
          <w:sz w:val="32"/>
          <w:szCs w:val="32"/>
          <w:lang w:val="en-US" w:eastAsia="zh-CN"/>
        </w:rPr>
        <w:t>9.22</w:t>
      </w:r>
      <w:r>
        <w:rPr>
          <w:rFonts w:hint="eastAsia" w:cs="宋体"/>
          <w:sz w:val="32"/>
          <w:szCs w:val="32"/>
        </w:rPr>
        <w:t>%</w:t>
      </w:r>
      <w:r>
        <w:rPr>
          <w:rFonts w:hint="eastAsia" w:cs="宋体"/>
          <w:sz w:val="32"/>
          <w:szCs w:val="32"/>
          <w:lang w:val="en-US" w:eastAsia="zh-CN"/>
        </w:rPr>
        <w:t>.</w:t>
      </w:r>
    </w:p>
    <w:p w14:paraId="07C9B5FC">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089450F9">
      <w:pPr>
        <w:pStyle w:val="11"/>
        <w:spacing w:before="0" w:line="360" w:lineRule="auto"/>
        <w:ind w:firstLine="660"/>
        <w:rPr>
          <w:rFonts w:hint="eastAsia" w:cs="宋体"/>
          <w:sz w:val="32"/>
          <w:szCs w:val="32"/>
          <w:lang w:val="en-US" w:eastAsia="zh-CN"/>
        </w:rPr>
      </w:pPr>
      <w:r>
        <w:rPr>
          <w:rFonts w:hint="eastAsia" w:cs="宋体"/>
          <w:sz w:val="32"/>
          <w:szCs w:val="32"/>
        </w:rPr>
        <w:t>一般公共服务支出</w:t>
      </w:r>
      <w:r>
        <w:rPr>
          <w:rFonts w:hint="eastAsia" w:cs="宋体"/>
          <w:sz w:val="32"/>
          <w:szCs w:val="32"/>
          <w:lang w:val="en-US" w:eastAsia="zh-CN"/>
        </w:rPr>
        <w:t>193.81</w:t>
      </w:r>
      <w:r>
        <w:rPr>
          <w:rFonts w:hint="eastAsia" w:cs="宋体"/>
          <w:sz w:val="32"/>
          <w:szCs w:val="32"/>
        </w:rPr>
        <w:t>万元，占</w:t>
      </w:r>
      <w:r>
        <w:rPr>
          <w:rFonts w:hint="eastAsia" w:cs="宋体"/>
          <w:sz w:val="32"/>
          <w:szCs w:val="32"/>
          <w:lang w:val="en-US" w:eastAsia="zh-CN"/>
        </w:rPr>
        <w:t>80.46</w:t>
      </w:r>
      <w:r>
        <w:rPr>
          <w:rFonts w:hint="eastAsia" w:cs="宋体"/>
          <w:sz w:val="32"/>
          <w:szCs w:val="32"/>
        </w:rPr>
        <w:t>%；社会保障和就业支</w:t>
      </w:r>
      <w:r>
        <w:rPr>
          <w:rFonts w:hint="eastAsia" w:cs="宋体"/>
          <w:sz w:val="32"/>
          <w:szCs w:val="32"/>
          <w:lang w:val="en-US" w:eastAsia="zh-CN"/>
        </w:rPr>
        <w:t>出27.87万元</w:t>
      </w:r>
      <w:r>
        <w:rPr>
          <w:rFonts w:hint="eastAsia" w:cs="宋体"/>
          <w:sz w:val="32"/>
          <w:szCs w:val="32"/>
        </w:rPr>
        <w:t>占</w:t>
      </w:r>
      <w:r>
        <w:rPr>
          <w:rFonts w:hint="eastAsia" w:cs="宋体"/>
          <w:sz w:val="32"/>
          <w:szCs w:val="32"/>
          <w:lang w:val="en-US" w:eastAsia="zh-CN"/>
        </w:rPr>
        <w:t>10.32</w:t>
      </w:r>
      <w:r>
        <w:rPr>
          <w:rFonts w:hint="eastAsia" w:cs="宋体"/>
          <w:sz w:val="32"/>
          <w:szCs w:val="32"/>
        </w:rPr>
        <w:t>%；住房保障支出</w:t>
      </w:r>
      <w:r>
        <w:rPr>
          <w:rFonts w:hint="eastAsia" w:cs="宋体"/>
          <w:sz w:val="32"/>
          <w:szCs w:val="32"/>
          <w:lang w:val="en-US" w:eastAsia="zh-CN"/>
        </w:rPr>
        <w:t>12.13</w:t>
      </w:r>
      <w:r>
        <w:rPr>
          <w:rFonts w:hint="eastAsia" w:cs="宋体"/>
          <w:sz w:val="32"/>
          <w:szCs w:val="32"/>
        </w:rPr>
        <w:t>万元，占</w:t>
      </w:r>
      <w:r>
        <w:rPr>
          <w:rFonts w:hint="eastAsia" w:cs="宋体"/>
          <w:sz w:val="32"/>
          <w:szCs w:val="32"/>
          <w:lang w:val="en-US" w:eastAsia="zh-CN"/>
        </w:rPr>
        <w:t>9.22</w:t>
      </w:r>
      <w:r>
        <w:rPr>
          <w:rFonts w:hint="eastAsia" w:cs="宋体"/>
          <w:sz w:val="32"/>
          <w:szCs w:val="32"/>
        </w:rPr>
        <w:t>%</w:t>
      </w:r>
      <w:r>
        <w:rPr>
          <w:rFonts w:hint="eastAsia" w:cs="宋体"/>
          <w:sz w:val="32"/>
          <w:szCs w:val="32"/>
          <w:lang w:val="en-US" w:eastAsia="zh-CN"/>
        </w:rPr>
        <w:t>.</w:t>
      </w:r>
    </w:p>
    <w:p w14:paraId="1E5E8ED3">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0DD2F98">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部门（单位）2025年一般公共预算基本支出</w:t>
      </w:r>
      <w:r>
        <w:rPr>
          <w:rFonts w:hint="eastAsia" w:cs="仿宋_GB2312"/>
          <w:kern w:val="2"/>
          <w:sz w:val="32"/>
          <w:szCs w:val="32"/>
          <w:lang w:val="en-US" w:eastAsia="zh-CN"/>
        </w:rPr>
        <w:t>22.48</w:t>
      </w:r>
      <w:r>
        <w:rPr>
          <w:rFonts w:hint="eastAsia" w:cs="仿宋_GB2312"/>
          <w:kern w:val="2"/>
          <w:sz w:val="32"/>
          <w:szCs w:val="32"/>
        </w:rPr>
        <w:t>万元，其中：人员经费</w:t>
      </w:r>
      <w:r>
        <w:rPr>
          <w:rFonts w:hint="eastAsia" w:cs="仿宋_GB2312"/>
          <w:kern w:val="2"/>
          <w:sz w:val="32"/>
          <w:szCs w:val="32"/>
          <w:lang w:val="en-US" w:eastAsia="zh-CN"/>
        </w:rPr>
        <w:t>199.83</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7F41483">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22.65</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A4E7582">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部门（单位）2025年“三公”经费财政拨款预算数</w:t>
      </w:r>
      <w:r>
        <w:rPr>
          <w:rFonts w:hint="eastAsia" w:cs="仿宋_GB2312"/>
          <w:kern w:val="2"/>
          <w:sz w:val="32"/>
          <w:szCs w:val="32"/>
          <w:lang w:val="en-US" w:eastAsia="zh-CN"/>
        </w:rPr>
        <w:t>5.35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0.31</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14:paraId="7586BD20">
      <w:pPr>
        <w:pStyle w:val="11"/>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00D22F57">
      <w:pPr>
        <w:pStyle w:val="11"/>
        <w:spacing w:before="0" w:line="360" w:lineRule="auto"/>
        <w:ind w:firstLine="640" w:firstLineChars="200"/>
        <w:rPr>
          <w:rFonts w:hint="eastAsia" w:cs="宋体"/>
          <w:sz w:val="32"/>
          <w:szCs w:val="32"/>
          <w:lang w:val="en-US"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0.31</w:t>
      </w:r>
      <w:r>
        <w:rPr>
          <w:rFonts w:hint="eastAsia" w:cs="仿宋_GB2312"/>
          <w:color w:val="000000"/>
          <w:kern w:val="2"/>
          <w:sz w:val="32"/>
          <w:szCs w:val="32"/>
        </w:rPr>
        <w:t>万元。较2024年预算经费</w:t>
      </w:r>
      <w:r>
        <w:rPr>
          <w:rFonts w:hint="eastAsia" w:cs="宋体"/>
          <w:sz w:val="32"/>
          <w:szCs w:val="32"/>
          <w:lang w:val="en-US" w:eastAsia="zh-CN"/>
        </w:rPr>
        <w:t>无变化</w:t>
      </w:r>
    </w:p>
    <w:p w14:paraId="72F3F7E7">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3BB29A26">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B7EAD3E">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26220C68">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07CB4F6">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部门（单位）2025年机关运行经费财政拨款预算为</w:t>
      </w:r>
      <w:r>
        <w:rPr>
          <w:rFonts w:hint="eastAsia" w:cs="仿宋_GB2312"/>
          <w:kern w:val="2"/>
          <w:sz w:val="32"/>
          <w:szCs w:val="32"/>
          <w:lang w:val="en-US" w:eastAsia="zh-CN"/>
        </w:rPr>
        <w:t>22.65</w:t>
      </w:r>
      <w:r>
        <w:rPr>
          <w:rFonts w:hint="eastAsia" w:cs="仿宋_GB2312"/>
          <w:kern w:val="2"/>
          <w:sz w:val="32"/>
          <w:szCs w:val="32"/>
        </w:rPr>
        <w:t>万元，比2024年预算</w:t>
      </w:r>
      <w:r>
        <w:rPr>
          <w:rFonts w:hint="eastAsia" w:cs="宋体"/>
          <w:sz w:val="32"/>
          <w:szCs w:val="32"/>
          <w:lang w:val="en-US" w:eastAsia="zh-CN"/>
        </w:rPr>
        <w:t>略有增长</w:t>
      </w:r>
      <w:r>
        <w:rPr>
          <w:rFonts w:hint="eastAsia" w:cs="仿宋_GB2312"/>
          <w:color w:val="000000"/>
          <w:kern w:val="2"/>
          <w:sz w:val="32"/>
          <w:szCs w:val="32"/>
        </w:rPr>
        <w:t xml:space="preserve">。 </w:t>
      </w:r>
    </w:p>
    <w:p w14:paraId="23960A9F">
      <w:pPr>
        <w:pStyle w:val="11"/>
        <w:spacing w:before="0" w:line="360" w:lineRule="auto"/>
        <w:ind w:firstLine="640" w:firstLineChars="200"/>
        <w:rPr>
          <w:rFonts w:hint="default"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w:t>
      </w:r>
      <w:bookmarkStart w:id="0" w:name="_GoBack"/>
      <w:bookmarkEnd w:id="0"/>
      <w:r>
        <w:rPr>
          <w:rFonts w:hint="eastAsia" w:cs="仿宋_GB2312"/>
          <w:color w:val="000000"/>
          <w:kern w:val="2"/>
          <w:sz w:val="32"/>
          <w:szCs w:val="32"/>
          <w:lang w:val="en-US" w:eastAsia="zh-CN"/>
        </w:rPr>
        <w:t>2</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采购办公设备。</w:t>
      </w:r>
    </w:p>
    <w:p w14:paraId="2AEF9B7A">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AA57E60">
      <w:pPr>
        <w:pStyle w:val="11"/>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58.31</w:t>
      </w:r>
      <w:r>
        <w:rPr>
          <w:rFonts w:hint="eastAsia" w:cs="仿宋_GB2312"/>
          <w:kern w:val="2"/>
          <w:sz w:val="32"/>
          <w:szCs w:val="32"/>
        </w:rPr>
        <w:t>万元。</w:t>
      </w:r>
    </w:p>
    <w:p w14:paraId="312393E5">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240.89</w:t>
      </w:r>
      <w:r>
        <w:rPr>
          <w:rFonts w:hint="eastAsia" w:cs="仿宋_GB2312"/>
          <w:kern w:val="2"/>
          <w:sz w:val="32"/>
          <w:szCs w:val="32"/>
        </w:rPr>
        <w:t>万元。</w:t>
      </w:r>
    </w:p>
    <w:p w14:paraId="73B7D8B6">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D60AB05">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D5D9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C8A599C"/>
    <w:rsid w:val="10E12650"/>
    <w:rsid w:val="190072E6"/>
    <w:rsid w:val="1D143757"/>
    <w:rsid w:val="1FDC0A11"/>
    <w:rsid w:val="2E731B99"/>
    <w:rsid w:val="33CD3272"/>
    <w:rsid w:val="33E410C9"/>
    <w:rsid w:val="47A42C10"/>
    <w:rsid w:val="4E3720B3"/>
    <w:rsid w:val="502B6EB9"/>
    <w:rsid w:val="53026592"/>
    <w:rsid w:val="674563CE"/>
    <w:rsid w:val="71BB2380"/>
    <w:rsid w:val="757A4300"/>
    <w:rsid w:val="776913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index 5"/>
    <w:basedOn w:val="1"/>
    <w:next w:val="1"/>
    <w:qFormat/>
    <w:uiPriority w:val="0"/>
    <w:pPr>
      <w:ind w:left="168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a:t>
            </a:r>
            <a:r>
              <a:rPr lang="en-US" altLang="zh-CN"/>
              <a:t>2024</a:t>
            </a:r>
            <a:r>
              <a:rPr altLang="en-US"/>
              <a:t>年收入支出总表</a:t>
            </a:r>
            <a:endParaRPr lang="en-US" altLang="zh-CN"/>
          </a:p>
        </c:rich>
      </c:tx>
      <c:layout/>
      <c:overlay val="0"/>
      <c:spPr>
        <a:noFill/>
        <a:ln>
          <a:noFill/>
        </a:ln>
        <a:effectLst/>
      </c:spPr>
    </c:title>
    <c:autoTitleDeleted val="0"/>
    <c:plotArea>
      <c:layout>
        <c:manualLayout>
          <c:layoutTarget val="inner"/>
          <c:xMode val="edge"/>
          <c:yMode val="edge"/>
          <c:x val="0.126870971984743"/>
          <c:y val="0.248780487804878"/>
          <c:w val="0.791056162041299"/>
          <c:h val="0.408325203252032"/>
        </c:manualLayout>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24</a:t>
                    </a:r>
                    <a:r>
                      <a:rPr lang="en-US" altLang="zh-CN"/>
                      <a:t>0.89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24</a:t>
                    </a:r>
                    <a:r>
                      <a:rPr lang="en-US" altLang="zh-CN"/>
                      <a:t>0.89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Sheet1!$B$2:$B$3</c:f>
              <c:numCache>
                <c:formatCode>General</c:formatCode>
                <c:ptCount val="2"/>
                <c:pt idx="0">
                  <c:v>240.89</c:v>
                </c:pt>
                <c:pt idx="1">
                  <c:v>240.89</c:v>
                </c:pt>
              </c:numCache>
            </c:numRef>
          </c:val>
        </c:ser>
        <c:dLbls>
          <c:showLegendKey val="0"/>
          <c:showVal val="1"/>
          <c:showCatName val="0"/>
          <c:showSerName val="0"/>
          <c:showPercent val="0"/>
          <c:showBubbleSize val="0"/>
        </c:dLbls>
        <c:gapWidth val="219"/>
        <c:overlap val="-27"/>
        <c:axId val="193079695"/>
        <c:axId val="631490875"/>
      </c:barChart>
      <c:catAx>
        <c:axId val="193079695"/>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1490875"/>
        <c:crosses val="autoZero"/>
        <c:auto val="1"/>
        <c:lblAlgn val="ctr"/>
        <c:lblOffset val="100"/>
        <c:noMultiLvlLbl val="0"/>
      </c:catAx>
      <c:valAx>
        <c:axId val="6314908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307969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6101180-172d-4bd2-9322-53a529443a7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财政拨款预算支出</a:t>
            </a: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218.49</a:t>
                    </a:r>
                    <a:endParaRPr lang="en-US" altLang="zh-CN"/>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Sheet1!$A$1:$C$2</c:f>
              <c:multiLvlStrCache>
                <c:ptCount val="3"/>
                <c:lvl>
                  <c:pt idx="0">
                    <c:v>基本支出（万元）</c:v>
                  </c:pt>
                  <c:pt idx="1">
                    <c:v>222.49</c:v>
                  </c:pt>
                </c:lvl>
                <c:lvl>
                  <c:pt idx="0">
                    <c:v> </c:v>
                  </c:pt>
                  <c:pt idx="1">
                    <c:v>列1</c:v>
                  </c:pt>
                </c:lvl>
              </c:multiLvlStrCache>
            </c:multiLvlStrRef>
          </c:cat>
          <c:val>
            <c:numRef>
              <c:f>Sheet1!$B$2:$B$3</c:f>
              <c:numCache>
                <c:formatCode>General</c:formatCode>
                <c:ptCount val="2"/>
                <c:pt idx="0">
                  <c:v>222.49</c:v>
                </c:pt>
                <c:pt idx="1">
                  <c:v>22.4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8b3f985-fd25-45e1-a864-88c7170a773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2412</Words>
  <Characters>2668</Characters>
  <Lines>124</Lines>
  <Paragraphs>51</Paragraphs>
  <TotalTime>4</TotalTime>
  <ScaleCrop>false</ScaleCrop>
  <LinksUpToDate>false</LinksUpToDate>
  <CharactersWithSpaces>2699</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Dell</cp:lastModifiedBy>
  <cp:lastPrinted>2018-01-30T09:39:00Z</cp:lastPrinted>
  <dcterms:modified xsi:type="dcterms:W3CDTF">2025-02-20T07:00:27Z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eyJoZGlkIjoiOGEyYWE2MzEzYzdjNDFkN2M3NzViMDE2ZTA0NzNmMmEifQ==</vt:lpwstr>
  </property>
  <property fmtid="{D5CDD505-2E9C-101B-9397-08002B2CF9AE}" pid="4" name="ICV">
    <vt:lpwstr>D6B22704399F4C45A4A4D281315BD0FC_12</vt:lpwstr>
  </property>
</Properties>
</file>