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rPr>
        <w:t>部门（单位）名称</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ascii="黑体" w:eastAsia="黑体"/>
          <w:sz w:val="44"/>
          <w:szCs w:val="44"/>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snapToGrid w:val="0"/>
        <w:spacing w:line="560" w:lineRule="exact"/>
        <w:ind w:firstLine="640"/>
        <w:rPr>
          <w:rFonts w:ascii="黑体" w:eastAsia="黑体"/>
          <w:sz w:val="32"/>
          <w:szCs w:val="32"/>
        </w:rPr>
      </w:pPr>
      <w:r>
        <w:rPr>
          <w:rFonts w:hint="eastAsia" w:ascii="黑体" w:eastAsia="黑体"/>
          <w:sz w:val="32"/>
          <w:szCs w:val="32"/>
        </w:rPr>
        <w:t>一、基本职能及主要工作</w:t>
      </w:r>
    </w:p>
    <w:p>
      <w:pPr>
        <w:snapToGrid w:val="0"/>
        <w:spacing w:line="560" w:lineRule="exact"/>
        <w:ind w:firstLine="640" w:firstLineChars="200"/>
        <w:rPr>
          <w:rFonts w:ascii="楷体" w:eastAsia="楷体"/>
          <w:sz w:val="32"/>
          <w:szCs w:val="32"/>
        </w:rPr>
      </w:pPr>
      <w:r>
        <w:rPr>
          <w:rFonts w:hint="eastAsia" w:ascii="楷体" w:eastAsia="楷体"/>
          <w:sz w:val="32"/>
          <w:szCs w:val="32"/>
        </w:rPr>
        <w:t>（一）部门职能简介</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阿坝州成都离退体干部休养所(阿坝州驻成都老干部管理服务中心)（以下简称成都干休所）职能简介：认真贯彻执行党和国家有关老干部工作的方针、政策，贯彻执行州委老干部局对干休所工作的总体安排部署，为离退休老干部和老干部工作服务，引导老干部发挥自身特点和优势，围绕党和政府工作大局，为党和人民的事业增添正能量，积极稳妥推进离退休干部工作发展。</w:t>
      </w:r>
    </w:p>
    <w:p>
      <w:pPr>
        <w:snapToGrid w:val="0"/>
        <w:spacing w:line="560" w:lineRule="exact"/>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一是</w:t>
      </w:r>
      <w:r>
        <w:rPr>
          <w:rFonts w:ascii="仿宋" w:hAnsi="仿宋" w:eastAsia="仿宋"/>
          <w:sz w:val="32"/>
          <w:szCs w:val="32"/>
        </w:rPr>
        <w:t>持续贯彻落实</w:t>
      </w:r>
      <w:r>
        <w:rPr>
          <w:rFonts w:hint="eastAsia" w:ascii="仿宋" w:hAnsi="仿宋" w:eastAsia="仿宋"/>
          <w:sz w:val="32"/>
          <w:szCs w:val="32"/>
        </w:rPr>
        <w:t>党的二十大精神</w:t>
      </w:r>
      <w:r>
        <w:rPr>
          <w:rFonts w:ascii="仿宋" w:hAnsi="仿宋" w:eastAsia="仿宋"/>
          <w:sz w:val="32"/>
          <w:szCs w:val="32"/>
        </w:rPr>
        <w:t>和</w:t>
      </w:r>
      <w:r>
        <w:rPr>
          <w:rFonts w:hint="eastAsia" w:ascii="仿宋" w:hAnsi="仿宋" w:eastAsia="仿宋"/>
          <w:sz w:val="32"/>
          <w:szCs w:val="32"/>
          <w:lang w:val="en-US" w:eastAsia="zh-CN"/>
        </w:rPr>
        <w:t>学习贯彻</w:t>
      </w:r>
      <w:r>
        <w:rPr>
          <w:rFonts w:ascii="仿宋" w:hAnsi="仿宋" w:eastAsia="仿宋"/>
          <w:sz w:val="32"/>
          <w:szCs w:val="32"/>
        </w:rPr>
        <w:t>习近平新时代中国特色社会主义思想主题教育</w:t>
      </w:r>
      <w:r>
        <w:rPr>
          <w:rFonts w:hint="eastAsia" w:ascii="仿宋" w:hAnsi="仿宋" w:eastAsia="仿宋"/>
          <w:sz w:val="32"/>
          <w:szCs w:val="32"/>
        </w:rPr>
        <w:t>。</w:t>
      </w:r>
      <w:r>
        <w:rPr>
          <w:rFonts w:ascii="仿宋" w:hAnsi="仿宋" w:eastAsia="仿宋"/>
          <w:sz w:val="32"/>
          <w:szCs w:val="32"/>
        </w:rPr>
        <w:t>通过专题宣讲、专题培训、专题研讨等形式，将党的二十大和</w:t>
      </w:r>
      <w:r>
        <w:rPr>
          <w:rFonts w:hint="eastAsia" w:ascii="仿宋" w:hAnsi="仿宋" w:eastAsia="仿宋"/>
          <w:sz w:val="32"/>
          <w:szCs w:val="32"/>
          <w:lang w:val="en-US" w:eastAsia="zh-CN"/>
        </w:rPr>
        <w:t>学习贯彻</w:t>
      </w:r>
      <w:r>
        <w:rPr>
          <w:rFonts w:ascii="仿宋" w:hAnsi="仿宋" w:eastAsia="仿宋"/>
          <w:sz w:val="32"/>
          <w:szCs w:val="32"/>
        </w:rPr>
        <w:t>习近平新时代中国特色社会主义思想主题教育走深走实，引导离退休干部坚决拥护“两个确立”、增强“四个意识”、坚定“四个自信”、做到“两个维护”持续打造“情为阿坝”党建品牌建设。</w:t>
      </w:r>
      <w:r>
        <w:rPr>
          <w:rFonts w:hint="eastAsia" w:ascii="仿宋" w:hAnsi="仿宋" w:eastAsia="仿宋"/>
          <w:sz w:val="32"/>
          <w:szCs w:val="32"/>
        </w:rPr>
        <w:t>二是</w:t>
      </w:r>
      <w:r>
        <w:rPr>
          <w:rFonts w:ascii="仿宋" w:hAnsi="仿宋" w:eastAsia="仿宋"/>
          <w:sz w:val="32"/>
          <w:szCs w:val="32"/>
        </w:rPr>
        <w:t>继续充实优化“银发”人才库、老干部自愿服务队等建设，组织引导老同志</w:t>
      </w:r>
      <w:bookmarkStart w:id="0" w:name="_GoBack"/>
      <w:bookmarkEnd w:id="0"/>
      <w:r>
        <w:rPr>
          <w:rFonts w:ascii="仿宋" w:hAnsi="仿宋" w:eastAsia="仿宋"/>
          <w:sz w:val="32"/>
          <w:szCs w:val="32"/>
        </w:rPr>
        <w:t>在关心下一代、乡村振兴和生态环保等方面发挥作用。</w:t>
      </w:r>
      <w:r>
        <w:rPr>
          <w:rFonts w:hint="eastAsia" w:ascii="仿宋" w:hAnsi="仿宋" w:eastAsia="仿宋"/>
          <w:sz w:val="32"/>
          <w:szCs w:val="32"/>
        </w:rPr>
        <w:t>三是</w:t>
      </w:r>
      <w:r>
        <w:rPr>
          <w:rFonts w:ascii="仿宋" w:hAnsi="仿宋" w:eastAsia="仿宋"/>
          <w:sz w:val="32"/>
          <w:szCs w:val="32"/>
        </w:rPr>
        <w:t>持续开展“六好”离退休干部示范党支部创建工作。开展“七一”主题活动，加强支部凝聚力。举办廉政党课、专题党课，加强党员干部教育。围绕“增添正能量、共筑中国梦”主题开展系列活动。在各大节日时间节点，围绕主题开展专题讲座、座谈交流、现场教学、文艺汇演、文体活动、省内外出参观等系列活动。</w:t>
      </w:r>
      <w:r>
        <w:rPr>
          <w:rFonts w:hint="eastAsia" w:ascii="仿宋" w:hAnsi="仿宋" w:eastAsia="仿宋"/>
          <w:sz w:val="32"/>
          <w:szCs w:val="32"/>
        </w:rPr>
        <w:t>四是加强老干部教育，拓宽离退休人员学习活动阵地。</w:t>
      </w:r>
      <w:r>
        <w:rPr>
          <w:rFonts w:ascii="仿宋" w:hAnsi="仿宋" w:eastAsia="仿宋"/>
          <w:sz w:val="32"/>
          <w:szCs w:val="32"/>
        </w:rPr>
        <w:t>统筹用好老干部管理服务中心、老干部大学教育资源，对表《2024年阿坝州老干部工作要点》，统筹抓好老年人教学活动、课外活动、社会活动。管好离退休人员学习、活动等阵地，牢牢掌握意识形态工作领导权、话语权，坚决杜绝出现与中央要求相违背的言论。</w:t>
      </w:r>
    </w:p>
    <w:p>
      <w:pPr>
        <w:adjustRightInd w:val="0"/>
        <w:snapToGrid w:val="0"/>
        <w:spacing w:line="560" w:lineRule="exact"/>
        <w:ind w:firstLine="200"/>
        <w:rPr>
          <w:rFonts w:hint="eastAsia" w:ascii="仿宋" w:hAnsi="仿宋" w:eastAsia="仿宋"/>
          <w:sz w:val="32"/>
          <w:szCs w:val="32"/>
        </w:rPr>
      </w:pPr>
      <w:r>
        <w:rPr>
          <w:rFonts w:hint="eastAsia" w:ascii="仿宋" w:hAnsi="仿宋" w:eastAsia="仿宋"/>
          <w:sz w:val="32"/>
          <w:szCs w:val="32"/>
        </w:rPr>
        <w:t>五是锤炼工作队伍，努力建设高素质老干部工作队伍。</w:t>
      </w:r>
      <w:r>
        <w:rPr>
          <w:rFonts w:ascii="仿宋" w:hAnsi="仿宋" w:eastAsia="仿宋"/>
          <w:sz w:val="32"/>
          <w:szCs w:val="32"/>
        </w:rPr>
        <w:t>面对管理服务对象用心用情，通过了解老干部所思、所想、所需，针对性地开展精准服务，促进管理服务保障水平提档升级。通过继续开展“四风”活动，加强干部职工作风建设。</w:t>
      </w:r>
      <w:r>
        <w:rPr>
          <w:rFonts w:hint="eastAsia" w:ascii="仿宋" w:hAnsi="仿宋" w:eastAsia="仿宋"/>
          <w:sz w:val="32"/>
          <w:szCs w:val="32"/>
        </w:rPr>
        <w:t xml:space="preserve">  </w:t>
      </w:r>
    </w:p>
    <w:p>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二、部门预算单位构成</w:t>
      </w:r>
    </w:p>
    <w:p>
      <w:pPr>
        <w:snapToGrid w:val="0"/>
        <w:spacing w:line="560" w:lineRule="exact"/>
        <w:ind w:firstLine="640" w:firstLineChars="200"/>
        <w:rPr>
          <w:rFonts w:ascii="楷体" w:hAnsi="楷体" w:eastAsia="楷体"/>
          <w:sz w:val="32"/>
          <w:szCs w:val="32"/>
        </w:rPr>
      </w:pPr>
      <w:r>
        <w:rPr>
          <w:rFonts w:hint="eastAsia" w:ascii="仿宋" w:hAnsi="仿宋" w:eastAsia="仿宋"/>
          <w:sz w:val="32"/>
          <w:szCs w:val="32"/>
        </w:rPr>
        <w:t>成都干休所属一级预算单位，属于参照公务员法管理的事业单位。直属于州委老干部局，处理阿坝州成都离退休干部休养所、阿坝州老干部管理服务中心、阿坝州老干部大学日常事务、联系阿坝州老年协会工作。</w:t>
      </w:r>
    </w:p>
    <w:p>
      <w:pPr>
        <w:snapToGrid w:val="0"/>
        <w:spacing w:line="560" w:lineRule="exact"/>
        <w:ind w:firstLine="640" w:firstLineChars="200"/>
        <w:rPr>
          <w:rFonts w:ascii="黑体" w:eastAsia="黑体"/>
          <w:sz w:val="32"/>
          <w:szCs w:val="32"/>
        </w:rPr>
      </w:pPr>
      <w:r>
        <w:rPr>
          <w:rFonts w:hint="eastAsia" w:ascii="黑体" w:eastAsia="黑体"/>
          <w:sz w:val="32"/>
          <w:szCs w:val="32"/>
        </w:rPr>
        <w:t>三、收支预算情况说明</w:t>
      </w:r>
    </w:p>
    <w:p>
      <w:pPr>
        <w:snapToGrid w:val="0"/>
        <w:spacing w:line="560" w:lineRule="exact"/>
        <w:ind w:firstLine="640" w:firstLineChars="200"/>
        <w:rPr>
          <w:rFonts w:ascii="楷体" w:eastAsia="楷体"/>
          <w:sz w:val="32"/>
          <w:szCs w:val="32"/>
        </w:rPr>
      </w:pPr>
      <w:r>
        <w:rPr>
          <w:rFonts w:hint="eastAsia" w:ascii="仿宋" w:hAnsi="仿宋" w:eastAsia="仿宋"/>
          <w:sz w:val="32"/>
          <w:szCs w:val="32"/>
        </w:rPr>
        <w:t>按照综合预算的原则，成都干休所所有收入和支出均纳入部门预算管理。收入包括：一般公共预算拨款收入450.46万元；支出包括：一般公共服务支出391.09万元，社会保障和就业支出31.2万元，卫生健康支出12.99万元，住房保障支出15.18万元。</w:t>
      </w:r>
    </w:p>
    <w:p>
      <w:pPr>
        <w:snapToGrid w:val="0"/>
        <w:spacing w:line="560" w:lineRule="exact"/>
        <w:ind w:firstLine="640" w:firstLineChars="200"/>
        <w:rPr>
          <w:rFonts w:ascii="楷体" w:eastAsia="楷体"/>
          <w:sz w:val="32"/>
          <w:szCs w:val="32"/>
        </w:rPr>
      </w:pPr>
      <w:r>
        <w:rPr>
          <w:rFonts w:hint="eastAsia" w:ascii="楷体" w:eastAsia="楷体"/>
          <w:sz w:val="32"/>
          <w:szCs w:val="32"/>
        </w:rPr>
        <w:t>（一）收入预算情况</w:t>
      </w:r>
    </w:p>
    <w:p>
      <w:pPr>
        <w:adjustRightInd w:val="0"/>
        <w:snapToGrid w:val="0"/>
        <w:spacing w:line="560" w:lineRule="exact"/>
        <w:ind w:firstLine="200"/>
        <w:rPr>
          <w:rFonts w:ascii="仿宋" w:hAnsi="仿宋" w:eastAsia="仿宋"/>
          <w:sz w:val="32"/>
          <w:szCs w:val="32"/>
        </w:rPr>
      </w:pPr>
      <w:r>
        <w:rPr>
          <w:rFonts w:hint="eastAsia" w:ascii="楷体" w:eastAsia="楷体" w:cs="仿宋_GB2312"/>
          <w:sz w:val="32"/>
          <w:szCs w:val="32"/>
        </w:rPr>
        <w:t>　　</w:t>
      </w:r>
      <w:r>
        <w:rPr>
          <w:rFonts w:hint="eastAsia" w:ascii="仿宋" w:hAnsi="仿宋" w:eastAsia="仿宋"/>
          <w:sz w:val="32"/>
          <w:szCs w:val="32"/>
        </w:rPr>
        <w:t>成都干休所2024年收入预算450.46万元，其中：一般公共预算拨款收入450.46万元，占100%。</w:t>
      </w:r>
    </w:p>
    <w:p>
      <w:pPr>
        <w:snapToGrid w:val="0"/>
        <w:spacing w:line="560" w:lineRule="exact"/>
        <w:ind w:firstLine="640" w:firstLineChars="200"/>
        <w:jc w:val="left"/>
        <w:rPr>
          <w:rFonts w:ascii="楷体" w:eastAsia="楷体" w:cs="仿宋_GB2312"/>
          <w:sz w:val="32"/>
          <w:szCs w:val="32"/>
        </w:rPr>
      </w:pPr>
      <w:r>
        <w:rPr>
          <w:rFonts w:hint="eastAsia" w:ascii="楷体" w:eastAsia="楷体" w:cs="仿宋_GB2312"/>
          <w:sz w:val="32"/>
          <w:szCs w:val="32"/>
        </w:rPr>
        <w:t>（二）支出预算情况</w:t>
      </w:r>
    </w:p>
    <w:p>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成都干休所2024年支出预算450.46万元，其中：基本支出338.31万元，占75%；项目支出</w:t>
      </w:r>
      <w:r>
        <w:rPr>
          <w:rFonts w:ascii="仿宋" w:hAnsi="仿宋" w:eastAsia="仿宋"/>
          <w:sz w:val="32"/>
          <w:szCs w:val="32"/>
        </w:rPr>
        <w:t>112.15</w:t>
      </w:r>
      <w:r>
        <w:rPr>
          <w:rFonts w:hint="eastAsia" w:ascii="仿宋" w:hAnsi="仿宋" w:eastAsia="仿宋"/>
          <w:sz w:val="32"/>
          <w:szCs w:val="32"/>
        </w:rPr>
        <w:t>万元，占25%。</w:t>
      </w:r>
    </w:p>
    <w:p>
      <w:pPr>
        <w:adjustRightInd w:val="0"/>
        <w:snapToGrid w:val="0"/>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四、财政拨款收支预算情况说明</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cs="仿宋_GB2312"/>
          <w:sz w:val="32"/>
          <w:szCs w:val="32"/>
        </w:rPr>
        <w:t>成都干休所202</w:t>
      </w:r>
      <w:r>
        <w:rPr>
          <w:rFonts w:ascii="仿宋" w:hAnsi="仿宋" w:eastAsia="仿宋" w:cs="仿宋_GB2312"/>
          <w:sz w:val="32"/>
          <w:szCs w:val="32"/>
        </w:rPr>
        <w:t>4</w:t>
      </w:r>
      <w:r>
        <w:rPr>
          <w:rFonts w:hint="eastAsia" w:ascii="仿宋" w:hAnsi="仿宋" w:eastAsia="仿宋" w:cs="仿宋_GB2312"/>
          <w:sz w:val="32"/>
          <w:szCs w:val="32"/>
        </w:rPr>
        <w:t>年财政拨款收支总预算450.46万元,比202</w:t>
      </w:r>
      <w:r>
        <w:rPr>
          <w:rFonts w:ascii="仿宋" w:hAnsi="仿宋" w:eastAsia="仿宋" w:cs="仿宋_GB2312"/>
          <w:sz w:val="32"/>
          <w:szCs w:val="32"/>
        </w:rPr>
        <w:t>3</w:t>
      </w:r>
      <w:r>
        <w:rPr>
          <w:rFonts w:hint="eastAsia" w:ascii="仿宋" w:hAnsi="仿宋" w:eastAsia="仿宋" w:cs="仿宋_GB2312"/>
          <w:sz w:val="32"/>
          <w:szCs w:val="32"/>
        </w:rPr>
        <w:t>年财政拨款收支总预算增加36.66万元，主要原因:</w:t>
      </w:r>
      <w:r>
        <w:rPr>
          <w:rFonts w:hint="eastAsia" w:ascii="仿宋" w:hAnsi="仿宋" w:eastAsia="仿宋"/>
          <w:sz w:val="32"/>
          <w:szCs w:val="32"/>
        </w:rPr>
        <w:t xml:space="preserve"> 行政经费的增加，主要为伙食团临聘人员经费、公务用车运行维护费的增加。</w:t>
      </w:r>
      <w:r>
        <w:rPr>
          <w:rFonts w:hint="eastAsia" w:ascii="仿宋" w:hAnsi="仿宋" w:eastAsia="仿宋" w:cs="仿宋_GB2312"/>
          <w:sz w:val="32"/>
          <w:szCs w:val="32"/>
        </w:rPr>
        <w:t>　</w:t>
      </w:r>
    </w:p>
    <w:p>
      <w:pPr>
        <w:adjustRightInd w:val="0"/>
        <w:snapToGrid w:val="0"/>
        <w:spacing w:line="560" w:lineRule="exact"/>
        <w:ind w:left="210" w:leftChars="100" w:firstLine="320" w:firstLineChars="100"/>
        <w:rPr>
          <w:rFonts w:ascii="仿宋" w:hAnsi="仿宋" w:eastAsia="仿宋"/>
          <w:sz w:val="32"/>
          <w:szCs w:val="32"/>
        </w:rPr>
      </w:pPr>
      <w:r>
        <w:rPr>
          <w:rFonts w:hint="eastAsia" w:ascii="仿宋" w:hAnsi="仿宋" w:eastAsia="仿宋"/>
          <w:sz w:val="32"/>
          <w:szCs w:val="32"/>
        </w:rPr>
        <w:t>收入包括：本年一般公共预算拨款收入</w:t>
      </w:r>
      <w:r>
        <w:rPr>
          <w:rFonts w:hint="eastAsia" w:ascii="仿宋" w:hAnsi="仿宋" w:eastAsia="仿宋" w:cs="仿宋_GB2312"/>
          <w:sz w:val="32"/>
          <w:szCs w:val="32"/>
        </w:rPr>
        <w:t>450.46</w:t>
      </w:r>
      <w:r>
        <w:rPr>
          <w:rFonts w:hint="eastAsia" w:ascii="仿宋" w:hAnsi="仿宋" w:eastAsia="仿宋"/>
          <w:sz w:val="32"/>
          <w:szCs w:val="32"/>
        </w:rPr>
        <w:t>万元。</w:t>
      </w:r>
    </w:p>
    <w:p>
      <w:pPr>
        <w:snapToGrid w:val="0"/>
        <w:spacing w:line="560" w:lineRule="exact"/>
        <w:ind w:firstLine="480" w:firstLineChars="150"/>
        <w:rPr>
          <w:rFonts w:hint="eastAsia" w:ascii="仿宋" w:hAnsi="仿宋" w:eastAsia="仿宋"/>
          <w:sz w:val="32"/>
          <w:szCs w:val="32"/>
        </w:rPr>
      </w:pPr>
      <w:r>
        <w:rPr>
          <w:rFonts w:hint="eastAsia" w:ascii="仿宋" w:hAnsi="仿宋" w:eastAsia="仿宋"/>
          <w:sz w:val="32"/>
          <w:szCs w:val="32"/>
        </w:rPr>
        <w:t>支出包括：一般公共服务支出391.09万元，社会保障和就业支出31.2万元，卫生健康支出12.99万元，住房保障支出15.18万元。</w:t>
      </w:r>
    </w:p>
    <w:p>
      <w:pPr>
        <w:snapToGrid w:val="0"/>
        <w:spacing w:line="560" w:lineRule="exact"/>
        <w:ind w:firstLine="640" w:firstLineChars="200"/>
        <w:rPr>
          <w:rFonts w:hint="eastAsia" w:ascii="黑体" w:eastAsia="黑体"/>
          <w:sz w:val="32"/>
          <w:szCs w:val="32"/>
        </w:rPr>
      </w:pPr>
      <w:r>
        <w:rPr>
          <w:rFonts w:hint="eastAsia" w:ascii="黑体" w:eastAsia="黑体"/>
          <w:sz w:val="32"/>
          <w:szCs w:val="32"/>
        </w:rPr>
        <w:t>五、一般公共预算当年拨款情况说明</w:t>
      </w:r>
    </w:p>
    <w:p>
      <w:pPr>
        <w:snapToGrid w:val="0"/>
        <w:spacing w:line="560" w:lineRule="exact"/>
        <w:ind w:firstLine="480" w:firstLineChars="150"/>
        <w:rPr>
          <w:rFonts w:hint="eastAsia" w:ascii="仿宋" w:hAnsi="仿宋" w:eastAsia="仿宋"/>
          <w:sz w:val="32"/>
          <w:szCs w:val="32"/>
        </w:rPr>
      </w:pPr>
      <w:r>
        <w:rPr>
          <w:rFonts w:hint="eastAsia" w:ascii="楷体" w:eastAsia="楷体" w:cs="仿宋_GB2312"/>
          <w:sz w:val="32"/>
          <w:szCs w:val="32"/>
        </w:rPr>
        <w:t>（一）一般公共预算当年拨款规模变化情况</w:t>
      </w:r>
    </w:p>
    <w:p>
      <w:pPr>
        <w:snapToGrid w:val="0"/>
        <w:spacing w:line="560" w:lineRule="exact"/>
        <w:ind w:firstLine="480" w:firstLineChars="150"/>
        <w:rPr>
          <w:rFonts w:hint="eastAsia" w:ascii="仿宋" w:hAnsi="仿宋" w:eastAsia="仿宋"/>
          <w:sz w:val="32"/>
          <w:szCs w:val="32"/>
        </w:rPr>
      </w:pPr>
      <w:r>
        <w:rPr>
          <w:rFonts w:hint="eastAsia" w:ascii="仿宋" w:hAnsi="仿宋" w:eastAsia="仿宋" w:cs="仿宋_GB2312"/>
          <w:sz w:val="32"/>
          <w:szCs w:val="32"/>
        </w:rPr>
        <w:t>成都干休所</w:t>
      </w:r>
      <w:r>
        <w:rPr>
          <w:rFonts w:hint="eastAsia" w:ascii="仿宋" w:hAnsi="仿宋" w:eastAsia="仿宋" w:cs="宋体"/>
          <w:sz w:val="32"/>
          <w:szCs w:val="32"/>
        </w:rPr>
        <w:t>202</w:t>
      </w:r>
      <w:r>
        <w:rPr>
          <w:rFonts w:ascii="仿宋" w:hAnsi="仿宋" w:eastAsia="仿宋" w:cs="宋体"/>
          <w:sz w:val="32"/>
          <w:szCs w:val="32"/>
        </w:rPr>
        <w:t>4</w:t>
      </w:r>
      <w:r>
        <w:rPr>
          <w:rFonts w:hint="eastAsia" w:ascii="仿宋" w:hAnsi="仿宋" w:eastAsia="仿宋" w:cs="宋体"/>
          <w:sz w:val="32"/>
          <w:szCs w:val="32"/>
        </w:rPr>
        <w:t>年一般公共预算当年拨款450.46万元，比202</w:t>
      </w:r>
      <w:r>
        <w:rPr>
          <w:rFonts w:ascii="仿宋" w:hAnsi="仿宋" w:eastAsia="仿宋" w:cs="宋体"/>
          <w:sz w:val="32"/>
          <w:szCs w:val="32"/>
        </w:rPr>
        <w:t>3</w:t>
      </w:r>
      <w:r>
        <w:rPr>
          <w:rFonts w:hint="eastAsia" w:ascii="仿宋" w:hAnsi="仿宋" w:eastAsia="仿宋" w:cs="宋体"/>
          <w:sz w:val="32"/>
          <w:szCs w:val="32"/>
        </w:rPr>
        <w:t>年预算数增加36.66万元，主要原因:</w:t>
      </w:r>
      <w:r>
        <w:rPr>
          <w:rFonts w:hint="eastAsia" w:ascii="仿宋" w:hAnsi="仿宋" w:eastAsia="仿宋"/>
          <w:sz w:val="32"/>
          <w:szCs w:val="32"/>
        </w:rPr>
        <w:t xml:space="preserve"> 行政经费的增加，主要为伙食团临聘人员经费、公务用车运行维护费的增加。</w:t>
      </w:r>
    </w:p>
    <w:p>
      <w:pPr>
        <w:snapToGrid w:val="0"/>
        <w:spacing w:line="560" w:lineRule="exact"/>
        <w:ind w:firstLine="480" w:firstLineChars="150"/>
        <w:rPr>
          <w:rFonts w:hint="eastAsia" w:cs="宋体"/>
          <w:sz w:val="32"/>
          <w:szCs w:val="32"/>
        </w:rPr>
      </w:pPr>
      <w:r>
        <w:rPr>
          <w:rFonts w:hint="eastAsia" w:ascii="楷体" w:eastAsia="楷体" w:cs="宋体"/>
          <w:sz w:val="32"/>
          <w:szCs w:val="32"/>
        </w:rPr>
        <w:t>（二）一般公共预算当年拨款结构情况</w:t>
      </w:r>
    </w:p>
    <w:p>
      <w:pPr>
        <w:snapToGrid w:val="0"/>
        <w:spacing w:line="560" w:lineRule="exact"/>
        <w:ind w:firstLine="640" w:firstLineChars="200"/>
        <w:rPr>
          <w:rFonts w:hint="eastAsia" w:ascii="仿宋" w:hAnsi="仿宋" w:eastAsia="仿宋" w:cs="宋体"/>
          <w:sz w:val="32"/>
          <w:szCs w:val="32"/>
        </w:rPr>
      </w:pPr>
      <w:r>
        <w:rPr>
          <w:rFonts w:hint="eastAsia" w:ascii="仿宋" w:hAnsi="仿宋" w:eastAsia="仿宋" w:cs="宋体"/>
          <w:sz w:val="32"/>
          <w:szCs w:val="32"/>
        </w:rPr>
        <w:t>一般公共服务支出391.09万元，占87%；社会保障和就业支31.2万元，占7%；</w:t>
      </w:r>
      <w:r>
        <w:rPr>
          <w:rFonts w:hint="eastAsia" w:ascii="仿宋" w:hAnsi="仿宋" w:eastAsia="仿宋"/>
          <w:sz w:val="32"/>
          <w:szCs w:val="32"/>
        </w:rPr>
        <w:t>卫生健康支出12.99万元，占3%；</w:t>
      </w:r>
      <w:r>
        <w:rPr>
          <w:rFonts w:hint="eastAsia" w:ascii="仿宋" w:hAnsi="仿宋" w:eastAsia="仿宋" w:cs="宋体"/>
          <w:sz w:val="32"/>
          <w:szCs w:val="32"/>
        </w:rPr>
        <w:t>住房保障支出</w:t>
      </w:r>
      <w:r>
        <w:rPr>
          <w:rFonts w:hint="eastAsia" w:ascii="仿宋" w:hAnsi="仿宋" w:eastAsia="仿宋"/>
          <w:sz w:val="32"/>
          <w:szCs w:val="32"/>
        </w:rPr>
        <w:t>15.18</w:t>
      </w:r>
      <w:r>
        <w:rPr>
          <w:rFonts w:hint="eastAsia" w:ascii="仿宋" w:hAnsi="仿宋" w:eastAsia="仿宋" w:cs="宋体"/>
          <w:sz w:val="32"/>
          <w:szCs w:val="32"/>
        </w:rPr>
        <w:t>万元，占3%。</w:t>
      </w:r>
    </w:p>
    <w:p>
      <w:pPr>
        <w:snapToGrid w:val="0"/>
        <w:spacing w:line="560" w:lineRule="exact"/>
        <w:ind w:firstLine="640" w:firstLineChars="200"/>
        <w:rPr>
          <w:rFonts w:hint="eastAsia" w:ascii="仿宋" w:hAnsi="仿宋" w:eastAsia="仿宋"/>
          <w:sz w:val="32"/>
          <w:szCs w:val="32"/>
        </w:rPr>
      </w:pPr>
      <w:r>
        <w:rPr>
          <w:rFonts w:hint="eastAsia" w:ascii="楷体" w:eastAsia="楷体" w:cs="仿宋_GB2312"/>
          <w:sz w:val="32"/>
          <w:szCs w:val="32"/>
        </w:rPr>
        <w:t>（三）一般公共预算当年拨款具体使用情况</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1.一般公共服务支出（201）其他共产党事务支出（36）2024年预算数为391.09万元；</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2.社会保险就业支出（208）机关事业单位基本养老保险缴费（0505）2024年预算数为20.80万元，机关事业单位职业年金缴费（0506）2024年预算数为10.40万元；</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3.卫生健康支出（210）行政事业单位医疗（11） 行政单位医疗（01）2024年预算数为9.10万元，公务员医疗补助（03）2024年预算数为3.89万元。</w:t>
      </w:r>
    </w:p>
    <w:p>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4.住房保障支出（221）住房改革支出（02）住房公积金（01）2024年预算数为15.18万元。</w:t>
      </w:r>
    </w:p>
    <w:p>
      <w:pPr>
        <w:adjustRightInd w:val="0"/>
        <w:snapToGrid w:val="0"/>
        <w:spacing w:line="560" w:lineRule="exact"/>
        <w:ind w:firstLine="640" w:firstLineChars="200"/>
        <w:rPr>
          <w:rFonts w:hint="eastAsia" w:ascii="黑体" w:eastAsia="黑体"/>
          <w:sz w:val="32"/>
          <w:szCs w:val="32"/>
        </w:rPr>
      </w:pPr>
      <w:r>
        <w:rPr>
          <w:rFonts w:hint="eastAsia" w:ascii="黑体" w:eastAsia="黑体"/>
          <w:sz w:val="32"/>
          <w:szCs w:val="32"/>
        </w:rPr>
        <w:t>六、一般公共预算基本支出情况说明</w:t>
      </w:r>
    </w:p>
    <w:p>
      <w:pPr>
        <w:adjustRightInd w:val="0"/>
        <w:snapToGrid w:val="0"/>
        <w:spacing w:line="560" w:lineRule="exact"/>
        <w:ind w:firstLine="640" w:firstLineChars="200"/>
        <w:rPr>
          <w:rFonts w:ascii="仿宋" w:hAnsi="仿宋" w:eastAsia="仿宋"/>
          <w:sz w:val="32"/>
          <w:szCs w:val="32"/>
        </w:rPr>
      </w:pPr>
      <w:r>
        <w:rPr>
          <w:rFonts w:hint="eastAsia" w:ascii="仿宋" w:hAnsi="仿宋" w:eastAsia="仿宋" w:cs="仿宋_GB2312"/>
          <w:sz w:val="32"/>
          <w:szCs w:val="32"/>
        </w:rPr>
        <w:t>成都干休所202</w:t>
      </w:r>
      <w:r>
        <w:rPr>
          <w:rFonts w:ascii="仿宋" w:hAnsi="仿宋" w:eastAsia="仿宋" w:cs="仿宋_GB2312"/>
          <w:sz w:val="32"/>
          <w:szCs w:val="32"/>
        </w:rPr>
        <w:t>4</w:t>
      </w:r>
      <w:r>
        <w:rPr>
          <w:rFonts w:hint="eastAsia" w:ascii="仿宋" w:hAnsi="仿宋" w:eastAsia="仿宋" w:cs="仿宋_GB2312"/>
          <w:sz w:val="32"/>
          <w:szCs w:val="32"/>
        </w:rPr>
        <w:t>年一般公共预算基本支出338.31万元，其中：人员经费223.60万元，主要包括：基本工资</w:t>
      </w:r>
      <w:r>
        <w:rPr>
          <w:rFonts w:ascii="仿宋" w:hAnsi="仿宋" w:eastAsia="仿宋" w:cs="仿宋_GB2312"/>
          <w:sz w:val="32"/>
          <w:szCs w:val="32"/>
        </w:rPr>
        <w:t>44.46</w:t>
      </w:r>
      <w:r>
        <w:rPr>
          <w:rFonts w:hint="eastAsia" w:ascii="仿宋" w:hAnsi="仿宋" w:eastAsia="仿宋" w:cs="仿宋_GB2312"/>
          <w:sz w:val="32"/>
          <w:szCs w:val="32"/>
        </w:rPr>
        <w:t>万元、津贴补贴</w:t>
      </w:r>
      <w:r>
        <w:rPr>
          <w:rFonts w:ascii="仿宋" w:hAnsi="仿宋" w:eastAsia="仿宋" w:cs="仿宋_GB2312"/>
          <w:sz w:val="32"/>
          <w:szCs w:val="32"/>
        </w:rPr>
        <w:t>82.53</w:t>
      </w:r>
      <w:r>
        <w:rPr>
          <w:rFonts w:hint="eastAsia" w:ascii="仿宋" w:hAnsi="仿宋" w:eastAsia="仿宋" w:cs="仿宋_GB2312"/>
          <w:sz w:val="32"/>
          <w:szCs w:val="32"/>
        </w:rPr>
        <w:t>万元、奖金</w:t>
      </w:r>
      <w:r>
        <w:rPr>
          <w:rFonts w:ascii="仿宋" w:hAnsi="仿宋" w:eastAsia="仿宋" w:cs="仿宋_GB2312"/>
          <w:sz w:val="32"/>
          <w:szCs w:val="32"/>
        </w:rPr>
        <w:t>3.7</w:t>
      </w:r>
      <w:r>
        <w:rPr>
          <w:rFonts w:hint="eastAsia" w:ascii="仿宋" w:hAnsi="仿宋" w:eastAsia="仿宋" w:cs="仿宋_GB2312"/>
          <w:sz w:val="32"/>
          <w:szCs w:val="32"/>
        </w:rPr>
        <w:t>万元、其他社会保障缴费</w:t>
      </w:r>
      <w:r>
        <w:rPr>
          <w:rFonts w:ascii="仿宋" w:hAnsi="仿宋" w:eastAsia="仿宋" w:cs="仿宋_GB2312"/>
          <w:sz w:val="32"/>
          <w:szCs w:val="32"/>
        </w:rPr>
        <w:t>2.34</w:t>
      </w:r>
      <w:r>
        <w:rPr>
          <w:rFonts w:hint="eastAsia" w:ascii="仿宋" w:hAnsi="仿宋" w:eastAsia="仿宋" w:cs="仿宋_GB2312"/>
          <w:sz w:val="32"/>
          <w:szCs w:val="32"/>
        </w:rPr>
        <w:t>万元、绩效工资、机关事业单位基本养老保险缴费</w:t>
      </w:r>
      <w:r>
        <w:rPr>
          <w:rFonts w:ascii="仿宋" w:hAnsi="仿宋" w:eastAsia="仿宋" w:cs="仿宋_GB2312"/>
          <w:sz w:val="32"/>
          <w:szCs w:val="32"/>
        </w:rPr>
        <w:t>20.8</w:t>
      </w:r>
      <w:r>
        <w:rPr>
          <w:rFonts w:hint="eastAsia" w:ascii="仿宋" w:hAnsi="仿宋" w:eastAsia="仿宋" w:cs="仿宋_GB2312"/>
          <w:sz w:val="32"/>
          <w:szCs w:val="32"/>
        </w:rPr>
        <w:t>万元、职业年金缴费</w:t>
      </w:r>
      <w:r>
        <w:rPr>
          <w:rFonts w:ascii="仿宋" w:hAnsi="仿宋" w:eastAsia="仿宋" w:cs="仿宋_GB2312"/>
          <w:sz w:val="32"/>
          <w:szCs w:val="32"/>
        </w:rPr>
        <w:t>10.4</w:t>
      </w:r>
      <w:r>
        <w:rPr>
          <w:rFonts w:hint="eastAsia" w:ascii="仿宋" w:hAnsi="仿宋" w:eastAsia="仿宋" w:cs="仿宋_GB2312"/>
          <w:sz w:val="32"/>
          <w:szCs w:val="32"/>
        </w:rPr>
        <w:t>万元、基本医疗保险缴费9.1万元，公务员医疗保险缴费3.89万元，其他工资福利支出</w:t>
      </w:r>
      <w:r>
        <w:rPr>
          <w:rFonts w:ascii="仿宋" w:hAnsi="仿宋" w:eastAsia="仿宋" w:cs="仿宋_GB2312"/>
          <w:sz w:val="32"/>
          <w:szCs w:val="32"/>
        </w:rPr>
        <w:t>9.69</w:t>
      </w:r>
      <w:r>
        <w:rPr>
          <w:rFonts w:hint="eastAsia" w:ascii="仿宋" w:hAnsi="仿宋" w:eastAsia="仿宋" w:cs="仿宋_GB2312"/>
          <w:sz w:val="32"/>
          <w:szCs w:val="32"/>
        </w:rPr>
        <w:t>万元、住房公积金</w:t>
      </w:r>
      <w:r>
        <w:rPr>
          <w:rFonts w:ascii="仿宋" w:hAnsi="仿宋" w:eastAsia="仿宋" w:cs="仿宋_GB2312"/>
          <w:sz w:val="32"/>
          <w:szCs w:val="32"/>
        </w:rPr>
        <w:t>15.18</w:t>
      </w:r>
      <w:r>
        <w:rPr>
          <w:rFonts w:hint="eastAsia" w:ascii="仿宋" w:hAnsi="仿宋" w:eastAsia="仿宋" w:cs="仿宋_GB2312"/>
          <w:sz w:val="32"/>
          <w:szCs w:val="32"/>
        </w:rPr>
        <w:t>万元、离退休人员公用经费0.3万元，其他对个人和家庭的补助支出</w:t>
      </w:r>
      <w:r>
        <w:rPr>
          <w:rFonts w:ascii="仿宋" w:hAnsi="仿宋" w:eastAsia="仿宋" w:cs="仿宋_GB2312"/>
          <w:sz w:val="32"/>
          <w:szCs w:val="32"/>
        </w:rPr>
        <w:t>21.2</w:t>
      </w:r>
      <w:r>
        <w:rPr>
          <w:rFonts w:hint="eastAsia" w:ascii="仿宋" w:hAnsi="仿宋" w:eastAsia="仿宋" w:cs="仿宋_GB2312"/>
          <w:sz w:val="32"/>
          <w:szCs w:val="32"/>
        </w:rPr>
        <w:t>万元。</w:t>
      </w:r>
    </w:p>
    <w:p>
      <w:pPr>
        <w:pStyle w:val="10"/>
        <w:snapToGrid w:val="0"/>
        <w:spacing w:before="0" w:line="560" w:lineRule="exact"/>
        <w:ind w:firstLine="640" w:firstLineChars="200"/>
        <w:rPr>
          <w:rFonts w:ascii="黑体" w:eastAsia="黑体"/>
          <w:sz w:val="32"/>
          <w:szCs w:val="32"/>
        </w:rPr>
      </w:pPr>
      <w:r>
        <w:rPr>
          <w:rFonts w:hint="eastAsia" w:ascii="仿宋" w:hAnsi="仿宋" w:eastAsia="仿宋" w:cs="仿宋_GB2312"/>
          <w:kern w:val="2"/>
          <w:sz w:val="32"/>
          <w:szCs w:val="32"/>
        </w:rPr>
        <w:t>公用经费114.72万元，主要包括：办公费2.16万元、水费0.32万元、邮电费3.47万元、取暖费0.43万元、差旅费19.16万元、维修（护）费1.39万元、培训费1.71万元、公务接待费2.09万元、福利费3.93万元、公务用车运行维护费57.6万元、其他商品和服务支出22.45万元。</w:t>
      </w:r>
      <w:r>
        <w:rPr>
          <w:rFonts w:hint="eastAsia" w:ascii="仿宋" w:hAnsi="仿宋" w:eastAsia="仿宋" w:cs="仿宋_GB2312"/>
          <w:kern w:val="2"/>
          <w:sz w:val="32"/>
          <w:szCs w:val="32"/>
        </w:rPr>
        <w:br w:type="textWrapping"/>
      </w:r>
      <w:r>
        <w:rPr>
          <w:rFonts w:hint="eastAsia" w:ascii="黑体" w:eastAsia="黑体"/>
          <w:sz w:val="32"/>
          <w:szCs w:val="32"/>
        </w:rPr>
        <w:t xml:space="preserve">    七、“三公”经费财政拨款预算安排情况说明</w:t>
      </w:r>
    </w:p>
    <w:p>
      <w:pPr>
        <w:pStyle w:val="10"/>
        <w:snapToGrid w:val="0"/>
        <w:spacing w:before="0" w:line="560" w:lineRule="exact"/>
        <w:ind w:firstLine="640" w:firstLineChars="200"/>
        <w:rPr>
          <w:rFonts w:ascii="仿宋" w:hAnsi="仿宋" w:eastAsia="仿宋" w:cs="仿宋_GB2312"/>
          <w:kern w:val="2"/>
          <w:sz w:val="32"/>
          <w:szCs w:val="32"/>
        </w:rPr>
      </w:pPr>
      <w:r>
        <w:rPr>
          <w:rFonts w:hint="eastAsia" w:ascii="仿宋" w:hAnsi="仿宋" w:eastAsia="仿宋" w:cs="仿宋_GB2312"/>
          <w:kern w:val="2"/>
          <w:sz w:val="32"/>
          <w:szCs w:val="32"/>
        </w:rPr>
        <w:t>成都干休所202</w:t>
      </w:r>
      <w:r>
        <w:rPr>
          <w:rFonts w:ascii="仿宋" w:hAnsi="仿宋" w:eastAsia="仿宋" w:cs="仿宋_GB2312"/>
          <w:kern w:val="2"/>
          <w:sz w:val="32"/>
          <w:szCs w:val="32"/>
        </w:rPr>
        <w:t>4</w:t>
      </w:r>
      <w:r>
        <w:rPr>
          <w:rFonts w:hint="eastAsia" w:ascii="仿宋" w:hAnsi="仿宋" w:eastAsia="仿宋" w:cs="仿宋_GB2312"/>
          <w:kern w:val="2"/>
          <w:sz w:val="32"/>
          <w:szCs w:val="32"/>
        </w:rPr>
        <w:t>年“三公”经费财政拨款预算数59.69万元，其中：因公出国（境）经费0万元，公务接待费2.09万元，公务用车购置及运行维护费57.6万元。</w:t>
      </w:r>
    </w:p>
    <w:p>
      <w:pPr>
        <w:pStyle w:val="10"/>
        <w:snapToGrid w:val="0"/>
        <w:spacing w:before="0" w:line="560" w:lineRule="exact"/>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（一）202</w:t>
      </w:r>
      <w:r>
        <w:rPr>
          <w:rFonts w:ascii="楷体" w:hAnsi="楷体" w:eastAsia="楷体" w:cs="仿宋_GB2312"/>
          <w:kern w:val="2"/>
          <w:sz w:val="32"/>
          <w:szCs w:val="32"/>
        </w:rPr>
        <w:t>4</w:t>
      </w:r>
      <w:r>
        <w:rPr>
          <w:rFonts w:hint="eastAsia" w:ascii="楷体" w:hAnsi="楷体" w:eastAsia="楷体" w:cs="仿宋_GB2312"/>
          <w:kern w:val="2"/>
          <w:sz w:val="32"/>
          <w:szCs w:val="32"/>
        </w:rPr>
        <w:t>年因公出国（境）经费0万元。</w:t>
      </w:r>
    </w:p>
    <w:p>
      <w:pPr>
        <w:pStyle w:val="10"/>
        <w:snapToGrid w:val="0"/>
        <w:spacing w:before="0" w:line="560" w:lineRule="exact"/>
        <w:ind w:firstLine="640" w:firstLineChars="200"/>
        <w:rPr>
          <w:rFonts w:ascii="仿宋" w:hAnsi="仿宋" w:eastAsia="仿宋" w:cs="仿宋_GB2312"/>
          <w:color w:val="000000"/>
          <w:kern w:val="2"/>
          <w:sz w:val="32"/>
          <w:szCs w:val="32"/>
        </w:rPr>
      </w:pPr>
      <w:r>
        <w:rPr>
          <w:rFonts w:hint="eastAsia" w:ascii="楷体" w:hAnsi="楷体" w:eastAsia="楷体" w:cs="仿宋_GB2312"/>
          <w:kern w:val="2"/>
          <w:sz w:val="32"/>
          <w:szCs w:val="32"/>
        </w:rPr>
        <w:t>（二）</w:t>
      </w:r>
      <w:r>
        <w:rPr>
          <w:rFonts w:hint="eastAsia" w:ascii="楷体" w:hAnsi="楷体" w:eastAsia="楷体" w:cs="仿宋_GB2312"/>
          <w:color w:val="000000"/>
          <w:kern w:val="2"/>
          <w:sz w:val="32"/>
          <w:szCs w:val="32"/>
        </w:rPr>
        <w:t>202</w:t>
      </w:r>
      <w:r>
        <w:rPr>
          <w:rFonts w:ascii="楷体" w:hAnsi="楷体" w:eastAsia="楷体" w:cs="仿宋_GB2312"/>
          <w:color w:val="000000"/>
          <w:kern w:val="2"/>
          <w:sz w:val="32"/>
          <w:szCs w:val="32"/>
        </w:rPr>
        <w:t>4</w:t>
      </w:r>
      <w:r>
        <w:rPr>
          <w:rFonts w:hint="eastAsia" w:ascii="楷体" w:hAnsi="楷体" w:eastAsia="楷体" w:cs="仿宋_GB2312"/>
          <w:color w:val="000000"/>
          <w:kern w:val="2"/>
          <w:sz w:val="32"/>
          <w:szCs w:val="32"/>
        </w:rPr>
        <w:t>年公务接待经费2.09万元。</w:t>
      </w:r>
      <w:r>
        <w:rPr>
          <w:rFonts w:hint="eastAsia" w:ascii="仿宋" w:hAnsi="仿宋" w:eastAsia="仿宋" w:cs="仿宋_GB2312"/>
          <w:color w:val="000000"/>
          <w:kern w:val="2"/>
          <w:sz w:val="32"/>
          <w:szCs w:val="32"/>
        </w:rPr>
        <w:t>较202</w:t>
      </w:r>
      <w:r>
        <w:rPr>
          <w:rFonts w:ascii="仿宋" w:hAnsi="仿宋" w:eastAsia="仿宋" w:cs="仿宋_GB2312"/>
          <w:color w:val="000000"/>
          <w:kern w:val="2"/>
          <w:sz w:val="32"/>
          <w:szCs w:val="32"/>
        </w:rPr>
        <w:t>3</w:t>
      </w:r>
      <w:r>
        <w:rPr>
          <w:rFonts w:hint="eastAsia" w:ascii="仿宋" w:hAnsi="仿宋" w:eastAsia="仿宋" w:cs="仿宋_GB2312"/>
          <w:color w:val="000000"/>
          <w:kern w:val="2"/>
          <w:sz w:val="32"/>
          <w:szCs w:val="32"/>
        </w:rPr>
        <w:t>年预算经费</w:t>
      </w:r>
      <w:r>
        <w:rPr>
          <w:rFonts w:hint="eastAsia" w:ascii="仿宋" w:hAnsi="仿宋" w:eastAsia="仿宋" w:cs="宋体"/>
          <w:sz w:val="32"/>
          <w:szCs w:val="32"/>
        </w:rPr>
        <w:t>增加0.37</w:t>
      </w:r>
      <w:r>
        <w:rPr>
          <w:rFonts w:hint="eastAsia" w:ascii="仿宋" w:hAnsi="仿宋" w:eastAsia="仿宋" w:cs="仿宋_GB2312"/>
          <w:color w:val="000000"/>
          <w:kern w:val="2"/>
          <w:sz w:val="32"/>
          <w:szCs w:val="32"/>
        </w:rPr>
        <w:t>万元，</w:t>
      </w:r>
      <w:r>
        <w:rPr>
          <w:rFonts w:hint="eastAsia" w:ascii="仿宋" w:hAnsi="仿宋" w:eastAsia="仿宋" w:cs="宋体"/>
          <w:sz w:val="32"/>
          <w:szCs w:val="32"/>
        </w:rPr>
        <w:t>增长</w:t>
      </w:r>
      <w:r>
        <w:rPr>
          <w:rFonts w:hint="eastAsia" w:ascii="仿宋" w:hAnsi="仿宋" w:eastAsia="仿宋" w:cs="仿宋_GB2312"/>
          <w:color w:val="000000"/>
          <w:kern w:val="2"/>
          <w:sz w:val="32"/>
          <w:szCs w:val="32"/>
        </w:rPr>
        <w:t>22%，主要原因生活水平的提高。</w:t>
      </w:r>
    </w:p>
    <w:p>
      <w:pPr>
        <w:pStyle w:val="10"/>
        <w:snapToGrid w:val="0"/>
        <w:spacing w:before="0" w:line="560" w:lineRule="exact"/>
        <w:ind w:firstLine="640" w:firstLineChars="200"/>
        <w:rPr>
          <w:rFonts w:ascii="仿宋" w:hAnsi="仿宋" w:eastAsia="仿宋" w:cs="仿宋_GB2312"/>
          <w:color w:val="000000"/>
          <w:kern w:val="2"/>
          <w:sz w:val="32"/>
          <w:szCs w:val="32"/>
        </w:rPr>
      </w:pPr>
      <w:r>
        <w:rPr>
          <w:rFonts w:hint="eastAsia" w:ascii="楷体" w:hAnsi="楷体" w:eastAsia="楷体" w:cs="仿宋_GB2312"/>
          <w:color w:val="000000"/>
          <w:kern w:val="2"/>
          <w:sz w:val="32"/>
          <w:szCs w:val="32"/>
        </w:rPr>
        <w:t>（三）202</w:t>
      </w:r>
      <w:r>
        <w:rPr>
          <w:rFonts w:ascii="楷体" w:hAnsi="楷体" w:eastAsia="楷体" w:cs="仿宋_GB2312"/>
          <w:color w:val="000000"/>
          <w:kern w:val="2"/>
          <w:sz w:val="32"/>
          <w:szCs w:val="32"/>
        </w:rPr>
        <w:t>4</w:t>
      </w:r>
      <w:r>
        <w:rPr>
          <w:rFonts w:hint="eastAsia" w:ascii="楷体" w:hAnsi="楷体" w:eastAsia="楷体" w:cs="仿宋_GB2312"/>
          <w:color w:val="000000"/>
          <w:kern w:val="2"/>
          <w:sz w:val="32"/>
          <w:szCs w:val="32"/>
        </w:rPr>
        <w:t>年公务用车购置及运行维护费57.6万元。</w:t>
      </w:r>
      <w:r>
        <w:rPr>
          <w:rFonts w:hint="eastAsia" w:ascii="仿宋" w:hAnsi="仿宋" w:eastAsia="仿宋" w:cs="仿宋_GB2312"/>
          <w:color w:val="000000"/>
          <w:kern w:val="2"/>
          <w:sz w:val="32"/>
          <w:szCs w:val="32"/>
        </w:rPr>
        <w:t>较202</w:t>
      </w:r>
      <w:r>
        <w:rPr>
          <w:rFonts w:ascii="仿宋" w:hAnsi="仿宋" w:eastAsia="仿宋" w:cs="仿宋_GB2312"/>
          <w:color w:val="000000"/>
          <w:kern w:val="2"/>
          <w:sz w:val="32"/>
          <w:szCs w:val="32"/>
        </w:rPr>
        <w:t>3</w:t>
      </w:r>
      <w:r>
        <w:rPr>
          <w:rFonts w:hint="eastAsia" w:ascii="仿宋" w:hAnsi="仿宋" w:eastAsia="仿宋" w:cs="仿宋_GB2312"/>
          <w:color w:val="000000"/>
          <w:kern w:val="2"/>
          <w:sz w:val="32"/>
          <w:szCs w:val="32"/>
        </w:rPr>
        <w:t>年预算经费</w:t>
      </w:r>
      <w:r>
        <w:rPr>
          <w:rFonts w:hint="eastAsia" w:ascii="仿宋" w:hAnsi="仿宋" w:eastAsia="仿宋" w:cs="宋体"/>
          <w:sz w:val="32"/>
          <w:szCs w:val="32"/>
        </w:rPr>
        <w:t>增加14.4</w:t>
      </w:r>
      <w:r>
        <w:rPr>
          <w:rFonts w:hint="eastAsia" w:ascii="仿宋" w:hAnsi="仿宋" w:eastAsia="仿宋" w:cs="仿宋_GB2312"/>
          <w:color w:val="000000"/>
          <w:kern w:val="2"/>
          <w:sz w:val="32"/>
          <w:szCs w:val="32"/>
        </w:rPr>
        <w:t>万元，增长33%，主要原因公务活动增加，公务用车使用次数增加。</w:t>
      </w:r>
    </w:p>
    <w:p>
      <w:pPr>
        <w:pStyle w:val="10"/>
        <w:snapToGrid w:val="0"/>
        <w:spacing w:before="0"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0"/>
        <w:snapToGrid w:val="0"/>
        <w:spacing w:before="0" w:line="560" w:lineRule="exact"/>
        <w:ind w:firstLine="640" w:firstLineChars="200"/>
        <w:rPr>
          <w:rFonts w:ascii="仿宋" w:hAnsi="仿宋" w:eastAsia="仿宋" w:cs="仿宋_GB2312"/>
          <w:kern w:val="2"/>
          <w:sz w:val="32"/>
          <w:szCs w:val="32"/>
        </w:rPr>
      </w:pPr>
      <w:r>
        <w:rPr>
          <w:rFonts w:hint="eastAsia" w:ascii="仿宋" w:hAnsi="仿宋" w:eastAsia="仿宋" w:cs="仿宋_GB2312"/>
          <w:kern w:val="2"/>
          <w:sz w:val="32"/>
          <w:szCs w:val="32"/>
        </w:rPr>
        <w:t>成都干休所202</w:t>
      </w:r>
      <w:r>
        <w:rPr>
          <w:rFonts w:ascii="仿宋" w:hAnsi="仿宋" w:eastAsia="仿宋" w:cs="仿宋_GB2312"/>
          <w:kern w:val="2"/>
          <w:sz w:val="32"/>
          <w:szCs w:val="32"/>
        </w:rPr>
        <w:t>4</w:t>
      </w:r>
      <w:r>
        <w:rPr>
          <w:rFonts w:hint="eastAsia" w:ascii="仿宋" w:hAnsi="仿宋" w:eastAsia="仿宋" w:cs="仿宋_GB2312"/>
          <w:kern w:val="2"/>
          <w:sz w:val="32"/>
          <w:szCs w:val="32"/>
        </w:rPr>
        <w:t>年政府性基金预算拨款安排的支出0万元。较202</w:t>
      </w:r>
      <w:r>
        <w:rPr>
          <w:rFonts w:ascii="仿宋" w:hAnsi="仿宋" w:eastAsia="仿宋" w:cs="仿宋_GB2312"/>
          <w:kern w:val="2"/>
          <w:sz w:val="32"/>
          <w:szCs w:val="32"/>
        </w:rPr>
        <w:t>3</w:t>
      </w:r>
      <w:r>
        <w:rPr>
          <w:rFonts w:hint="eastAsia" w:ascii="仿宋" w:hAnsi="仿宋" w:eastAsia="仿宋" w:cs="仿宋_GB2312"/>
          <w:kern w:val="2"/>
          <w:sz w:val="32"/>
          <w:szCs w:val="32"/>
        </w:rPr>
        <w:t>年预算经费</w:t>
      </w:r>
      <w:r>
        <w:rPr>
          <w:rFonts w:hint="eastAsia" w:ascii="仿宋" w:hAnsi="仿宋" w:eastAsia="仿宋" w:cs="宋体"/>
          <w:sz w:val="32"/>
          <w:szCs w:val="32"/>
        </w:rPr>
        <w:t>增加0</w:t>
      </w:r>
      <w:r>
        <w:rPr>
          <w:rFonts w:hint="eastAsia" w:ascii="仿宋" w:hAnsi="仿宋" w:eastAsia="仿宋" w:cs="仿宋_GB2312"/>
          <w:kern w:val="2"/>
          <w:sz w:val="32"/>
          <w:szCs w:val="32"/>
        </w:rPr>
        <w:t>万元，增长0%。</w:t>
      </w:r>
    </w:p>
    <w:p>
      <w:pPr>
        <w:pStyle w:val="10"/>
        <w:snapToGrid w:val="0"/>
        <w:spacing w:before="0" w:line="560" w:lineRule="exact"/>
        <w:ind w:firstLine="640" w:firstLineChars="200"/>
        <w:rPr>
          <w:rFonts w:ascii="黑体" w:eastAsia="黑体"/>
          <w:sz w:val="32"/>
          <w:szCs w:val="32"/>
        </w:rPr>
      </w:pPr>
      <w:r>
        <w:rPr>
          <w:rFonts w:hint="eastAsia" w:ascii="黑体" w:eastAsia="黑体"/>
          <w:sz w:val="32"/>
          <w:szCs w:val="32"/>
        </w:rPr>
        <w:t>九、其他重要事项的情况说明</w:t>
      </w:r>
    </w:p>
    <w:p>
      <w:pPr>
        <w:pStyle w:val="10"/>
        <w:snapToGrid w:val="0"/>
        <w:spacing w:before="0" w:line="560" w:lineRule="exact"/>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仿宋" w:hAnsi="仿宋" w:eastAsia="仿宋" w:cs="仿宋_GB2312"/>
          <w:kern w:val="2"/>
          <w:sz w:val="32"/>
          <w:szCs w:val="32"/>
        </w:rPr>
        <w:t>成都干休所202</w:t>
      </w:r>
      <w:r>
        <w:rPr>
          <w:rFonts w:ascii="仿宋" w:hAnsi="仿宋" w:eastAsia="仿宋" w:cs="仿宋_GB2312"/>
          <w:kern w:val="2"/>
          <w:sz w:val="32"/>
          <w:szCs w:val="32"/>
        </w:rPr>
        <w:t>4</w:t>
      </w:r>
      <w:r>
        <w:rPr>
          <w:rFonts w:hint="eastAsia" w:ascii="仿宋" w:hAnsi="仿宋" w:eastAsia="仿宋" w:cs="仿宋_GB2312"/>
          <w:kern w:val="2"/>
          <w:sz w:val="32"/>
          <w:szCs w:val="32"/>
        </w:rPr>
        <w:t>年机关运行经费财政拨款预算为114.72万元，比202</w:t>
      </w:r>
      <w:r>
        <w:rPr>
          <w:rFonts w:ascii="仿宋" w:hAnsi="仿宋" w:eastAsia="仿宋" w:cs="仿宋_GB2312"/>
          <w:kern w:val="2"/>
          <w:sz w:val="32"/>
          <w:szCs w:val="32"/>
        </w:rPr>
        <w:t>3</w:t>
      </w:r>
      <w:r>
        <w:rPr>
          <w:rFonts w:hint="eastAsia" w:ascii="仿宋" w:hAnsi="仿宋" w:eastAsia="仿宋" w:cs="仿宋_GB2312"/>
          <w:kern w:val="2"/>
          <w:sz w:val="32"/>
          <w:szCs w:val="32"/>
        </w:rPr>
        <w:t>年预算</w:t>
      </w:r>
      <w:r>
        <w:rPr>
          <w:rFonts w:hint="eastAsia" w:ascii="仿宋" w:hAnsi="仿宋" w:eastAsia="仿宋" w:cs="宋体"/>
          <w:sz w:val="32"/>
          <w:szCs w:val="32"/>
        </w:rPr>
        <w:t>增加20.15</w:t>
      </w:r>
      <w:r>
        <w:rPr>
          <w:rFonts w:hint="eastAsia" w:ascii="仿宋" w:hAnsi="仿宋" w:eastAsia="仿宋" w:cs="仿宋_GB2312"/>
          <w:color w:val="000000"/>
          <w:kern w:val="2"/>
          <w:sz w:val="32"/>
          <w:szCs w:val="32"/>
        </w:rPr>
        <w:t xml:space="preserve">万元，增长21%。 </w:t>
      </w:r>
    </w:p>
    <w:p>
      <w:pPr>
        <w:pStyle w:val="10"/>
        <w:snapToGrid w:val="0"/>
        <w:spacing w:before="0" w:line="560" w:lineRule="exact"/>
        <w:ind w:firstLine="640" w:firstLineChars="200"/>
        <w:rPr>
          <w:rFonts w:ascii="仿宋" w:hAnsi="仿宋" w:eastAsia="仿宋" w:cs="仿宋_GB2312"/>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hint="eastAsia" w:ascii="仿宋" w:hAnsi="仿宋" w:eastAsia="仿宋" w:cs="仿宋_GB2312"/>
          <w:color w:val="000000"/>
          <w:kern w:val="2"/>
          <w:sz w:val="32"/>
          <w:szCs w:val="32"/>
        </w:rPr>
        <w:t>202</w:t>
      </w:r>
      <w:r>
        <w:rPr>
          <w:rFonts w:ascii="仿宋" w:hAnsi="仿宋" w:eastAsia="仿宋" w:cs="仿宋_GB2312"/>
          <w:color w:val="000000"/>
          <w:kern w:val="2"/>
          <w:sz w:val="32"/>
          <w:szCs w:val="32"/>
        </w:rPr>
        <w:t>4</w:t>
      </w:r>
      <w:r>
        <w:rPr>
          <w:rFonts w:hint="eastAsia" w:ascii="仿宋" w:hAnsi="仿宋" w:eastAsia="仿宋" w:cs="仿宋_GB2312"/>
          <w:color w:val="000000"/>
          <w:kern w:val="2"/>
          <w:sz w:val="32"/>
          <w:szCs w:val="32"/>
        </w:rPr>
        <w:t>年</w:t>
      </w:r>
      <w:r>
        <w:rPr>
          <w:rFonts w:hint="eastAsia" w:ascii="仿宋" w:hAnsi="仿宋" w:eastAsia="仿宋" w:cs="仿宋_GB2312"/>
          <w:kern w:val="2"/>
          <w:sz w:val="32"/>
          <w:szCs w:val="32"/>
        </w:rPr>
        <w:t>成都干休所</w:t>
      </w:r>
      <w:r>
        <w:rPr>
          <w:rFonts w:hint="eastAsia" w:ascii="仿宋" w:hAnsi="仿宋" w:eastAsia="仿宋" w:cs="仿宋_GB2312"/>
          <w:color w:val="000000"/>
          <w:kern w:val="2"/>
          <w:sz w:val="32"/>
          <w:szCs w:val="32"/>
        </w:rPr>
        <w:t>安排政府采购预算1.1万元，主要</w:t>
      </w:r>
      <w:r>
        <w:rPr>
          <w:rFonts w:hint="eastAsia" w:ascii="仿宋" w:hAnsi="仿宋" w:eastAsia="仿宋" w:cs="仿宋_GB2312"/>
          <w:kern w:val="2"/>
          <w:sz w:val="32"/>
          <w:szCs w:val="32"/>
        </w:rPr>
        <w:t>用于采购便携式手提电脑。</w:t>
      </w:r>
    </w:p>
    <w:p>
      <w:pPr>
        <w:pStyle w:val="10"/>
        <w:snapToGrid w:val="0"/>
        <w:spacing w:before="0" w:line="560" w:lineRule="exact"/>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0"/>
        <w:snapToGrid w:val="0"/>
        <w:spacing w:before="0" w:line="560" w:lineRule="exact"/>
        <w:ind w:firstLine="640" w:firstLineChars="200"/>
        <w:rPr>
          <w:rFonts w:ascii="仿宋" w:hAnsi="仿宋" w:eastAsia="仿宋" w:cs="仿宋_GB2312"/>
          <w:kern w:val="2"/>
          <w:sz w:val="32"/>
          <w:szCs w:val="32"/>
        </w:rPr>
      </w:pPr>
      <w:r>
        <w:rPr>
          <w:rFonts w:hint="eastAsia" w:ascii="仿宋" w:hAnsi="仿宋" w:eastAsia="仿宋" w:cs="仿宋_GB2312"/>
          <w:kern w:val="2"/>
          <w:sz w:val="32"/>
          <w:szCs w:val="32"/>
        </w:rPr>
        <w:t>截至202</w:t>
      </w:r>
      <w:r>
        <w:rPr>
          <w:rFonts w:ascii="仿宋" w:hAnsi="仿宋" w:eastAsia="仿宋" w:cs="仿宋_GB2312"/>
          <w:kern w:val="2"/>
          <w:sz w:val="32"/>
          <w:szCs w:val="32"/>
        </w:rPr>
        <w:t>3</w:t>
      </w:r>
      <w:r>
        <w:rPr>
          <w:rFonts w:hint="eastAsia" w:ascii="仿宋" w:hAnsi="仿宋" w:eastAsia="仿宋" w:cs="仿宋_GB2312"/>
          <w:kern w:val="2"/>
          <w:sz w:val="32"/>
          <w:szCs w:val="32"/>
        </w:rPr>
        <w:t>年12月31日，我单位固定资产1576.25万元。</w:t>
      </w:r>
    </w:p>
    <w:p>
      <w:pPr>
        <w:pStyle w:val="10"/>
        <w:snapToGrid w:val="0"/>
        <w:spacing w:before="0" w:line="560" w:lineRule="exact"/>
        <w:ind w:firstLine="640" w:firstLineChars="200"/>
        <w:rPr>
          <w:rFonts w:ascii="仿宋" w:hAnsi="仿宋" w:eastAsia="仿宋"/>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ascii="仿宋" w:hAnsi="仿宋" w:eastAsia="仿宋" w:cs="仿宋_GB2312"/>
          <w:kern w:val="2"/>
          <w:sz w:val="32"/>
          <w:szCs w:val="32"/>
        </w:rPr>
        <w:t>202</w:t>
      </w:r>
      <w:r>
        <w:rPr>
          <w:rFonts w:ascii="仿宋" w:hAnsi="仿宋" w:eastAsia="仿宋" w:cs="仿宋_GB2312"/>
          <w:kern w:val="2"/>
          <w:sz w:val="32"/>
          <w:szCs w:val="32"/>
        </w:rPr>
        <w:t>4</w:t>
      </w:r>
      <w:r>
        <w:rPr>
          <w:rFonts w:hint="eastAsia" w:ascii="仿宋" w:hAnsi="仿宋" w:eastAsia="仿宋" w:cs="仿宋_GB2312"/>
          <w:kern w:val="2"/>
          <w:sz w:val="32"/>
          <w:szCs w:val="32"/>
        </w:rPr>
        <w:t>年成都干休所通用项目和专用项目均按要求实行绩效目标管理，涉及一般公共预算当年拨款</w:t>
      </w:r>
      <w:r>
        <w:rPr>
          <w:rFonts w:hint="eastAsia" w:ascii="仿宋" w:hAnsi="仿宋" w:eastAsia="仿宋" w:cs="仿宋_GB2312"/>
          <w:sz w:val="32"/>
          <w:szCs w:val="32"/>
        </w:rPr>
        <w:t>450.46</w:t>
      </w:r>
      <w:r>
        <w:rPr>
          <w:rFonts w:hint="eastAsia" w:ascii="仿宋" w:hAnsi="仿宋" w:eastAsia="仿宋" w:cs="仿宋_GB2312"/>
          <w:kern w:val="2"/>
          <w:sz w:val="32"/>
          <w:szCs w:val="32"/>
        </w:rPr>
        <w:t>万元。</w:t>
      </w:r>
    </w:p>
    <w:p>
      <w:pPr>
        <w:pStyle w:val="10"/>
        <w:snapToGrid w:val="0"/>
        <w:spacing w:before="0" w:line="560" w:lineRule="exact"/>
        <w:ind w:firstLine="640" w:firstLineChars="200"/>
        <w:rPr>
          <w:rFonts w:ascii="仿宋" w:hAnsi="仿宋" w:eastAsia="仿宋"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hAnsi="楷体" w:eastAsia="楷体" w:cs="仿宋_GB2312"/>
          <w:kern w:val="2"/>
          <w:sz w:val="32"/>
          <w:szCs w:val="32"/>
        </w:rPr>
        <w:t>（一）财政拨款收入：</w:t>
      </w:r>
      <w:r>
        <w:rPr>
          <w:rFonts w:hint="eastAsia" w:ascii="仿宋" w:hAnsi="仿宋" w:eastAsia="仿宋" w:cs="仿宋_GB2312"/>
          <w:kern w:val="2"/>
          <w:sz w:val="32"/>
          <w:szCs w:val="32"/>
        </w:rPr>
        <w:t>指由财政拨款形成的部门收入。按现行管理制度，部门预算中反映的财政拨款仅包括一般公共预算拨款和政府性基金预算拨款。</w:t>
      </w:r>
      <w:r>
        <w:rPr>
          <w:rFonts w:ascii="仿宋" w:hAnsi="仿宋" w:eastAsia="仿宋"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（二）事业收入：</w:t>
      </w:r>
      <w:r>
        <w:rPr>
          <w:rFonts w:hint="eastAsia" w:ascii="仿宋" w:hAnsi="仿宋" w:eastAsia="仿宋" w:cs="仿宋_GB2312"/>
          <w:kern w:val="2"/>
          <w:sz w:val="32"/>
          <w:szCs w:val="32"/>
        </w:rPr>
        <w:t>指所属事业单位开展专业业务活动及辅助活动所取得的收入。</w:t>
      </w:r>
      <w:r>
        <w:rPr>
          <w:rFonts w:ascii="仿宋" w:hAnsi="仿宋" w:eastAsia="仿宋"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（三）事业单位经营收入：</w:t>
      </w:r>
      <w:r>
        <w:rPr>
          <w:rFonts w:hint="eastAsia" w:ascii="仿宋" w:hAnsi="仿宋" w:eastAsia="仿宋" w:cs="仿宋_GB2312"/>
          <w:kern w:val="2"/>
          <w:sz w:val="32"/>
          <w:szCs w:val="32"/>
        </w:rPr>
        <w:t>指所属事业单位在专业业务活动及其辅助活动之外开展非独立核算经营活动取得的收入。</w:t>
      </w:r>
      <w:r>
        <w:rPr>
          <w:rFonts w:ascii="仿宋" w:hAnsi="仿宋" w:eastAsia="仿宋"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（四）其他收入：</w:t>
      </w:r>
      <w:r>
        <w:rPr>
          <w:rFonts w:hint="eastAsia" w:ascii="仿宋" w:hAnsi="仿宋" w:eastAsia="仿宋" w:cs="仿宋_GB2312"/>
          <w:kern w:val="2"/>
          <w:sz w:val="32"/>
          <w:szCs w:val="32"/>
        </w:rPr>
        <w:t>指除上述</w:t>
      </w:r>
      <w:r>
        <w:rPr>
          <w:rFonts w:ascii="仿宋" w:hAnsi="仿宋" w:eastAsia="仿宋" w:cs="仿宋_GB2312"/>
          <w:kern w:val="2"/>
          <w:sz w:val="32"/>
          <w:szCs w:val="32"/>
        </w:rPr>
        <w:t>“</w:t>
      </w:r>
      <w:r>
        <w:rPr>
          <w:rFonts w:hint="eastAsia" w:ascii="仿宋" w:hAnsi="仿宋" w:eastAsia="仿宋" w:cs="仿宋_GB2312"/>
          <w:kern w:val="2"/>
          <w:sz w:val="32"/>
          <w:szCs w:val="32"/>
        </w:rPr>
        <w:t>财政拨款收入</w:t>
      </w:r>
      <w:r>
        <w:rPr>
          <w:rFonts w:ascii="仿宋" w:hAnsi="仿宋" w:eastAsia="仿宋" w:cs="仿宋_GB2312"/>
          <w:kern w:val="2"/>
          <w:sz w:val="32"/>
          <w:szCs w:val="32"/>
        </w:rPr>
        <w:t>”</w:t>
      </w:r>
      <w:r>
        <w:rPr>
          <w:rFonts w:hint="eastAsia" w:ascii="仿宋" w:hAnsi="仿宋" w:eastAsia="仿宋" w:cs="仿宋_GB2312"/>
          <w:kern w:val="2"/>
          <w:sz w:val="32"/>
          <w:szCs w:val="32"/>
        </w:rPr>
        <w:t>、</w:t>
      </w:r>
      <w:r>
        <w:rPr>
          <w:rFonts w:ascii="仿宋" w:hAnsi="仿宋" w:eastAsia="仿宋" w:cs="仿宋_GB2312"/>
          <w:kern w:val="2"/>
          <w:sz w:val="32"/>
          <w:szCs w:val="32"/>
        </w:rPr>
        <w:t>“</w:t>
      </w:r>
      <w:r>
        <w:rPr>
          <w:rFonts w:hint="eastAsia" w:ascii="仿宋" w:hAnsi="仿宋" w:eastAsia="仿宋" w:cs="仿宋_GB2312"/>
          <w:kern w:val="2"/>
          <w:sz w:val="32"/>
          <w:szCs w:val="32"/>
        </w:rPr>
        <w:t>事业收入</w:t>
      </w:r>
      <w:r>
        <w:rPr>
          <w:rFonts w:ascii="仿宋" w:hAnsi="仿宋" w:eastAsia="仿宋" w:cs="仿宋_GB2312"/>
          <w:kern w:val="2"/>
          <w:sz w:val="32"/>
          <w:szCs w:val="32"/>
        </w:rPr>
        <w:t>”</w:t>
      </w:r>
      <w:r>
        <w:rPr>
          <w:rFonts w:hint="eastAsia" w:ascii="仿宋" w:hAnsi="仿宋" w:eastAsia="仿宋" w:cs="仿宋_GB2312"/>
          <w:kern w:val="2"/>
          <w:sz w:val="32"/>
          <w:szCs w:val="32"/>
        </w:rPr>
        <w:t>、</w:t>
      </w:r>
      <w:r>
        <w:rPr>
          <w:rFonts w:ascii="仿宋" w:hAnsi="仿宋" w:eastAsia="仿宋" w:cs="仿宋_GB2312"/>
          <w:kern w:val="2"/>
          <w:sz w:val="32"/>
          <w:szCs w:val="32"/>
        </w:rPr>
        <w:t>“</w:t>
      </w:r>
      <w:r>
        <w:rPr>
          <w:rFonts w:hint="eastAsia" w:ascii="仿宋" w:hAnsi="仿宋" w:eastAsia="仿宋" w:cs="仿宋_GB2312"/>
          <w:kern w:val="2"/>
          <w:sz w:val="32"/>
          <w:szCs w:val="32"/>
        </w:rPr>
        <w:t>事业单位经营收入</w:t>
      </w:r>
      <w:r>
        <w:rPr>
          <w:rFonts w:ascii="仿宋" w:hAnsi="仿宋" w:eastAsia="仿宋" w:cs="仿宋_GB2312"/>
          <w:kern w:val="2"/>
          <w:sz w:val="32"/>
          <w:szCs w:val="32"/>
        </w:rPr>
        <w:t>”</w:t>
      </w:r>
      <w:r>
        <w:rPr>
          <w:rFonts w:hint="eastAsia" w:ascii="仿宋" w:hAnsi="仿宋" w:eastAsia="仿宋"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 w:hAnsi="楷体" w:eastAsia="楷体" w:cs="仿宋_GB2312"/>
          <w:kern w:val="2"/>
          <w:sz w:val="32"/>
          <w:szCs w:val="32"/>
        </w:rPr>
        <w:t>（五）用事业基金弥补收支差额：</w:t>
      </w:r>
      <w:r>
        <w:rPr>
          <w:rFonts w:hint="eastAsia" w:ascii="仿宋" w:hAnsi="仿宋" w:eastAsia="仿宋" w:cs="仿宋_GB2312"/>
          <w:kern w:val="2"/>
          <w:sz w:val="32"/>
          <w:szCs w:val="32"/>
        </w:rPr>
        <w:t>指所属事业单位在预计用当年的</w:t>
      </w:r>
      <w:r>
        <w:rPr>
          <w:rFonts w:ascii="仿宋" w:hAnsi="仿宋" w:eastAsia="仿宋" w:cs="仿宋_GB2312"/>
          <w:kern w:val="2"/>
          <w:sz w:val="32"/>
          <w:szCs w:val="32"/>
        </w:rPr>
        <w:t>“</w:t>
      </w:r>
      <w:r>
        <w:rPr>
          <w:rFonts w:hint="eastAsia" w:ascii="仿宋" w:hAnsi="仿宋" w:eastAsia="仿宋" w:cs="仿宋_GB2312"/>
          <w:kern w:val="2"/>
          <w:sz w:val="32"/>
          <w:szCs w:val="32"/>
        </w:rPr>
        <w:t>财政拨款收入</w:t>
      </w:r>
      <w:r>
        <w:rPr>
          <w:rFonts w:ascii="仿宋" w:hAnsi="仿宋" w:eastAsia="仿宋" w:cs="仿宋_GB2312"/>
          <w:kern w:val="2"/>
          <w:sz w:val="32"/>
          <w:szCs w:val="32"/>
        </w:rPr>
        <w:t>”</w:t>
      </w:r>
      <w:r>
        <w:rPr>
          <w:rFonts w:hint="eastAsia" w:ascii="仿宋" w:hAnsi="仿宋" w:eastAsia="仿宋" w:cs="仿宋_GB2312"/>
          <w:kern w:val="2"/>
          <w:sz w:val="32"/>
          <w:szCs w:val="32"/>
        </w:rPr>
        <w:t>、</w:t>
      </w:r>
      <w:r>
        <w:rPr>
          <w:rFonts w:ascii="仿宋" w:hAnsi="仿宋" w:eastAsia="仿宋" w:cs="仿宋_GB2312"/>
          <w:kern w:val="2"/>
          <w:sz w:val="32"/>
          <w:szCs w:val="32"/>
        </w:rPr>
        <w:t>“</w:t>
      </w:r>
      <w:r>
        <w:rPr>
          <w:rFonts w:hint="eastAsia" w:ascii="仿宋" w:hAnsi="仿宋" w:eastAsia="仿宋" w:cs="仿宋_GB2312"/>
          <w:kern w:val="2"/>
          <w:sz w:val="32"/>
          <w:szCs w:val="32"/>
        </w:rPr>
        <w:t>事业收入</w:t>
      </w:r>
      <w:r>
        <w:rPr>
          <w:rFonts w:ascii="仿宋" w:hAnsi="仿宋" w:eastAsia="仿宋" w:cs="仿宋_GB2312"/>
          <w:kern w:val="2"/>
          <w:sz w:val="32"/>
          <w:szCs w:val="32"/>
        </w:rPr>
        <w:t>”</w:t>
      </w:r>
      <w:r>
        <w:rPr>
          <w:rFonts w:hint="eastAsia" w:ascii="仿宋" w:hAnsi="仿宋" w:eastAsia="仿宋" w:cs="仿宋_GB2312"/>
          <w:kern w:val="2"/>
          <w:sz w:val="32"/>
          <w:szCs w:val="32"/>
        </w:rPr>
        <w:t>、</w:t>
      </w:r>
      <w:r>
        <w:rPr>
          <w:rFonts w:ascii="仿宋" w:hAnsi="仿宋" w:eastAsia="仿宋" w:cs="仿宋_GB2312"/>
          <w:kern w:val="2"/>
          <w:sz w:val="32"/>
          <w:szCs w:val="32"/>
        </w:rPr>
        <w:t>“</w:t>
      </w:r>
      <w:r>
        <w:rPr>
          <w:rFonts w:hint="eastAsia" w:ascii="仿宋" w:hAnsi="仿宋" w:eastAsia="仿宋" w:cs="仿宋_GB2312"/>
          <w:kern w:val="2"/>
          <w:sz w:val="32"/>
          <w:szCs w:val="32"/>
        </w:rPr>
        <w:t>事业单位经营收入</w:t>
      </w:r>
      <w:r>
        <w:rPr>
          <w:rFonts w:ascii="仿宋" w:hAnsi="仿宋" w:eastAsia="仿宋" w:cs="仿宋_GB2312"/>
          <w:kern w:val="2"/>
          <w:sz w:val="32"/>
          <w:szCs w:val="32"/>
        </w:rPr>
        <w:t>”</w:t>
      </w:r>
      <w:r>
        <w:rPr>
          <w:rFonts w:hint="eastAsia" w:ascii="仿宋" w:hAnsi="仿宋" w:eastAsia="仿宋" w:cs="仿宋_GB2312"/>
          <w:kern w:val="2"/>
          <w:sz w:val="32"/>
          <w:szCs w:val="32"/>
        </w:rPr>
        <w:t>、</w:t>
      </w:r>
      <w:r>
        <w:rPr>
          <w:rFonts w:ascii="仿宋" w:hAnsi="仿宋" w:eastAsia="仿宋" w:cs="仿宋_GB2312"/>
          <w:kern w:val="2"/>
          <w:sz w:val="32"/>
          <w:szCs w:val="32"/>
        </w:rPr>
        <w:t>“</w:t>
      </w:r>
      <w:r>
        <w:rPr>
          <w:rFonts w:hint="eastAsia" w:ascii="仿宋" w:hAnsi="仿宋" w:eastAsia="仿宋" w:cs="仿宋_GB2312"/>
          <w:kern w:val="2"/>
          <w:sz w:val="32"/>
          <w:szCs w:val="32"/>
        </w:rPr>
        <w:t>其他收入</w:t>
      </w:r>
      <w:r>
        <w:rPr>
          <w:rFonts w:ascii="仿宋" w:hAnsi="仿宋" w:eastAsia="仿宋" w:cs="仿宋_GB2312"/>
          <w:kern w:val="2"/>
          <w:sz w:val="32"/>
          <w:szCs w:val="32"/>
        </w:rPr>
        <w:t>”</w:t>
      </w:r>
      <w:r>
        <w:rPr>
          <w:rFonts w:hint="eastAsia" w:ascii="仿宋" w:hAnsi="仿宋" w:eastAsia="仿宋" w:cs="仿宋_GB2312"/>
          <w:kern w:val="2"/>
          <w:sz w:val="32"/>
          <w:szCs w:val="32"/>
        </w:rPr>
        <w:t>不足以安排当年支出的情况下，使用以前年度积累的事业基金弥补本年度收支缺口的资金。</w:t>
      </w:r>
      <w:r>
        <w:rPr>
          <w:rFonts w:ascii="仿宋" w:hAnsi="仿宋" w:eastAsia="仿宋"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 w:hAnsi="楷体" w:eastAsia="楷体" w:cs="仿宋_GB2312"/>
          <w:kern w:val="2"/>
          <w:sz w:val="32"/>
          <w:szCs w:val="32"/>
        </w:rPr>
        <w:t>（六）上年结转：</w:t>
      </w:r>
      <w:r>
        <w:rPr>
          <w:rFonts w:hint="eastAsia" w:ascii="仿宋" w:hAnsi="仿宋" w:eastAsia="仿宋" w:cs="仿宋_GB2312"/>
          <w:kern w:val="2"/>
          <w:sz w:val="32"/>
          <w:szCs w:val="32"/>
        </w:rPr>
        <w:t>指所属行政事业单位以前年度尚未完成、结转至本年按原规定用途继续使用的资金和以前年度已完成项目剩余资金经批准用于新用途使用的资金。</w:t>
      </w:r>
    </w:p>
    <w:p>
      <w:pPr>
        <w:snapToGrid w:val="0"/>
        <w:spacing w:line="560" w:lineRule="exact"/>
        <w:ind w:firstLine="200"/>
        <w:rPr>
          <w:rFonts w:ascii="仿宋" w:hAnsi="仿宋" w:eastAsia="仿宋"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YjllZGNkZWEzYjg0NDNmNTQ5MjkzNjk0ODlhNmVkYzAifQ=="/>
  </w:docVars>
  <w:rsids>
    <w:rsidRoot w:val="004E16FC"/>
    <w:rsid w:val="002743DA"/>
    <w:rsid w:val="003A5549"/>
    <w:rsid w:val="00425F80"/>
    <w:rsid w:val="004E16FC"/>
    <w:rsid w:val="0052247E"/>
    <w:rsid w:val="006342BE"/>
    <w:rsid w:val="006F3266"/>
    <w:rsid w:val="006F730D"/>
    <w:rsid w:val="00706C26"/>
    <w:rsid w:val="007706FB"/>
    <w:rsid w:val="007C21CF"/>
    <w:rsid w:val="0080003F"/>
    <w:rsid w:val="00881C00"/>
    <w:rsid w:val="00A2040D"/>
    <w:rsid w:val="00A605F3"/>
    <w:rsid w:val="7E3C0E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uiPriority w:val="0"/>
    <w:pPr>
      <w:keepNext/>
      <w:keepLines/>
      <w:spacing w:before="340" w:after="330" w:line="578" w:lineRule="auto"/>
      <w:outlineLvl w:val="0"/>
    </w:pPr>
    <w:rPr>
      <w:b/>
      <w:bCs/>
      <w:kern w:val="44"/>
      <w:sz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character" w:default="1" w:styleId="8">
    <w:name w:val="Default Paragraph Font"/>
    <w:semiHidden/>
    <w:unhideWhenUsed/>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uiPriority w:val="0"/>
    <w:pPr>
      <w:ind w:firstLine="200" w:firstLineChars="200"/>
    </w:pPr>
  </w:style>
  <w:style w:type="paragraph" w:customStyle="1" w:styleId="10">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534</Words>
  <Characters>3050</Characters>
  <Lines>25</Lines>
  <Paragraphs>7</Paragraphs>
  <TotalTime>82</TotalTime>
  <ScaleCrop>false</ScaleCrop>
  <LinksUpToDate>false</LinksUpToDate>
  <CharactersWithSpaces>3577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一个笨蛋</cp:lastModifiedBy>
  <cp:lastPrinted>2018-01-30T09:39:00Z</cp:lastPrinted>
  <dcterms:modified xsi:type="dcterms:W3CDTF">2024-02-02T07:47:49Z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32B4FD3A3435492B83F9ADF612735959_12</vt:lpwstr>
  </property>
</Properties>
</file>