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hAnsi="黑体" w:eastAsia="黑体"/>
          <w:b/>
          <w:bCs/>
          <w:sz w:val="44"/>
          <w:szCs w:val="44"/>
          <w:lang w:val="en-US" w:eastAsia="zh-CN"/>
        </w:rPr>
      </w:pPr>
      <w:r>
        <w:rPr>
          <w:rFonts w:hint="eastAsia" w:ascii="黑体" w:hAnsi="黑体" w:eastAsia="黑体"/>
          <w:b/>
          <w:bCs/>
          <w:sz w:val="44"/>
          <w:szCs w:val="44"/>
          <w:lang w:val="en-US" w:eastAsia="zh-CN"/>
        </w:rPr>
        <w:t>阿坝州州级机关退休干部驻郫都区休养所</w:t>
      </w:r>
    </w:p>
    <w:p>
      <w:pPr>
        <w:jc w:val="center"/>
        <w:rPr>
          <w:rFonts w:ascii="黑体" w:eastAsia="黑体"/>
          <w:sz w:val="44"/>
          <w:szCs w:val="44"/>
        </w:rPr>
      </w:pPr>
      <w:r>
        <w:rPr>
          <w:rFonts w:hint="eastAsia" w:ascii="黑体" w:hAnsi="黑体" w:eastAsia="黑体"/>
          <w:b/>
          <w:bCs/>
          <w:sz w:val="44"/>
          <w:szCs w:val="44"/>
        </w:rPr>
        <w:t>20</w:t>
      </w:r>
      <w:r>
        <w:rPr>
          <w:rFonts w:hint="eastAsia" w:ascii="黑体" w:hAnsi="黑体" w:eastAsia="黑体"/>
          <w:b/>
          <w:bCs/>
          <w:sz w:val="44"/>
          <w:szCs w:val="44"/>
          <w:lang w:val="en-US" w:eastAsia="zh-CN"/>
        </w:rPr>
        <w:t>24</w:t>
      </w:r>
      <w:r>
        <w:rPr>
          <w:rFonts w:hint="eastAsia" w:ascii="黑体" w:hAnsi="黑体" w:eastAsia="黑体"/>
          <w:b/>
          <w:bCs/>
          <w:sz w:val="44"/>
          <w:szCs w:val="44"/>
        </w:rPr>
        <w:t>年部门预算</w:t>
      </w:r>
    </w:p>
    <w:p>
      <w:pPr>
        <w:jc w:val="center"/>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r>
      <w:r>
        <w:rPr>
          <w:rFonts w:hint="eastAsia" w:ascii="楷体" w:hAnsi="楷体" w:eastAsia="楷体"/>
          <w:sz w:val="32"/>
          <w:szCs w:val="32"/>
        </w:rPr>
        <w:t>（二）一般公共预算当年拨款结构情况</w:t>
      </w:r>
      <w:r>
        <w:rPr>
          <w:rFonts w:ascii="楷体" w:hAnsi="楷体" w:eastAsia="楷体"/>
          <w:sz w:val="32"/>
          <w:szCs w:val="32"/>
        </w:rPr>
        <w:br/>
      </w:r>
      <w:r>
        <w:rPr>
          <w:rFonts w:hint="eastAsia" w:ascii="楷体" w:hAnsi="楷体" w:eastAsia="楷体"/>
          <w:sz w:val="32"/>
          <w:szCs w:val="32"/>
        </w:rPr>
        <w:t>（三）一般公共预算当年拨款具体使用情况</w:t>
      </w:r>
      <w:r>
        <w:rPr>
          <w:rFonts w:ascii="??" w:hAnsi="??" w:cs="宋体"/>
          <w:kern w:val="0"/>
          <w:sz w:val="16"/>
          <w:szCs w:val="16"/>
        </w:rPr>
        <w:br/>
      </w:r>
      <w:r>
        <w:rPr>
          <w:rFonts w:hint="eastAsia" w:ascii="黑体" w:hAnsi="黑体" w:eastAsia="黑体"/>
          <w:sz w:val="32"/>
          <w:szCs w:val="32"/>
        </w:rPr>
        <w:t>六、一般公共预算基本支出情况说明</w:t>
      </w:r>
      <w:r>
        <w:rPr>
          <w:rFonts w:ascii="黑体" w:hAnsi="黑体" w:eastAsia="黑体"/>
          <w:sz w:val="32"/>
          <w:szCs w:val="32"/>
        </w:rPr>
        <w:br/>
      </w:r>
      <w:r>
        <w:rPr>
          <w:rFonts w:hint="eastAsia" w:ascii="黑体" w:hAnsi="黑体" w:eastAsia="黑体"/>
          <w:sz w:val="32"/>
          <w:szCs w:val="32"/>
        </w:rPr>
        <w:t>七、“三公”经费财政拨款预算安排情况说明</w:t>
      </w:r>
      <w:r>
        <w:rPr>
          <w:rFonts w:ascii="黑体" w:hAnsi="黑体" w:eastAsia="黑体"/>
          <w:sz w:val="32"/>
          <w:szCs w:val="32"/>
        </w:rPr>
        <w:br/>
      </w:r>
      <w:r>
        <w:rPr>
          <w:rFonts w:hint="eastAsia" w:ascii="黑体" w:hAnsi="黑体" w:eastAsia="黑体"/>
          <w:sz w:val="32"/>
          <w:szCs w:val="32"/>
        </w:rPr>
        <w:t>八、政府性基金预算支出情况说明</w:t>
      </w:r>
      <w:r>
        <w:rPr>
          <w:rFonts w:ascii="黑体" w:hAnsi="黑体" w:eastAsia="黑体"/>
          <w:sz w:val="32"/>
          <w:szCs w:val="32"/>
        </w:rPr>
        <w:br/>
      </w:r>
      <w:r>
        <w:rPr>
          <w:rFonts w:hint="eastAsia" w:ascii="黑体" w:hAnsi="黑体" w:eastAsia="黑体"/>
          <w:sz w:val="32"/>
          <w:szCs w:val="32"/>
        </w:rPr>
        <w:t>九、其他重要事项的情况说明</w:t>
      </w:r>
      <w:r>
        <w:rPr>
          <w:rFonts w:ascii="黑体" w:hAnsi="黑体" w:eastAsia="黑体"/>
          <w:sz w:val="32"/>
          <w:szCs w:val="32"/>
        </w:rPr>
        <w:br/>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numPr>
          <w:ilvl w:val="0"/>
          <w:numId w:val="1"/>
        </w:num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部门职能简介</w:t>
      </w:r>
    </w:p>
    <w:p>
      <w:pPr>
        <w:numPr>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郫县退休所的主要职能是对退休老干部的管理服务及组织大型活动的开展，贯彻执行州委老干部局对干休所工作的总体安排布署，了解掌握老同志的基本情况，做好老同志的思想工作，组织老同志学习党的有关方针政策。</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（二）202</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年重点工作</w:t>
      </w:r>
    </w:p>
    <w:p>
      <w:pPr>
        <w:tabs>
          <w:tab w:val="left" w:pos="1440"/>
        </w:tabs>
        <w:snapToGrid w:val="0"/>
        <w:spacing w:line="576" w:lineRule="exact"/>
        <w:ind w:firstLine="480" w:firstLineChars="150"/>
        <w:rPr>
          <w:rStyle w:val="16"/>
          <w:rFonts w:hint="eastAsia" w:ascii="仿宋_GB2312" w:hAnsi="Calibri" w:eastAsia="仿宋_GB2312" w:cs="Calibri"/>
          <w:bCs/>
          <w:color w:val="000000"/>
          <w:sz w:val="32"/>
          <w:szCs w:val="32"/>
        </w:rPr>
      </w:pPr>
      <w:r>
        <w:rPr>
          <w:rStyle w:val="16"/>
          <w:rFonts w:hint="eastAsia" w:ascii="仿宋_GB2312" w:hAnsi="Calibri" w:eastAsia="仿宋_GB2312" w:cs="Calibri"/>
          <w:bCs/>
          <w:color w:val="000000"/>
          <w:sz w:val="32"/>
          <w:szCs w:val="32"/>
        </w:rPr>
        <w:t>202</w:t>
      </w:r>
      <w:r>
        <w:rPr>
          <w:rStyle w:val="16"/>
          <w:rFonts w:hint="eastAsia" w:ascii="仿宋_GB2312" w:eastAsia="仿宋_GB2312" w:cs="Calibri"/>
          <w:bCs/>
          <w:color w:val="000000"/>
          <w:sz w:val="32"/>
          <w:szCs w:val="32"/>
          <w:lang w:val="en-US" w:eastAsia="zh-CN"/>
        </w:rPr>
        <w:t>4</w:t>
      </w:r>
      <w:r>
        <w:rPr>
          <w:rStyle w:val="16"/>
          <w:rFonts w:hint="eastAsia" w:ascii="仿宋_GB2312" w:hAnsi="Calibri" w:eastAsia="仿宋_GB2312" w:cs="Calibri"/>
          <w:bCs/>
          <w:color w:val="000000"/>
          <w:sz w:val="32"/>
          <w:szCs w:val="32"/>
        </w:rPr>
        <w:t>年，我所将在圆满完成</w:t>
      </w:r>
      <w:r>
        <w:rPr>
          <w:rStyle w:val="16"/>
          <w:rFonts w:hint="eastAsia" w:ascii="仿宋_GB2312" w:hAnsi="Calibri" w:eastAsia="仿宋_GB2312" w:cs="Calibri"/>
          <w:bCs/>
          <w:color w:val="000000"/>
          <w:sz w:val="32"/>
          <w:szCs w:val="32"/>
          <w:lang w:eastAsia="zh-CN"/>
        </w:rPr>
        <w:t>202</w:t>
      </w:r>
      <w:r>
        <w:rPr>
          <w:rStyle w:val="16"/>
          <w:rFonts w:hint="eastAsia" w:ascii="仿宋_GB2312" w:hAnsi="Calibri" w:eastAsia="仿宋_GB2312" w:cs="Calibri"/>
          <w:bCs/>
          <w:color w:val="000000"/>
          <w:sz w:val="32"/>
          <w:szCs w:val="32"/>
          <w:lang w:val="en-US" w:eastAsia="zh-CN"/>
        </w:rPr>
        <w:t>3</w:t>
      </w:r>
      <w:r>
        <w:rPr>
          <w:rStyle w:val="16"/>
          <w:rFonts w:hint="eastAsia" w:ascii="仿宋_GB2312" w:hAnsi="Calibri" w:eastAsia="仿宋_GB2312" w:cs="Calibri"/>
          <w:bCs/>
          <w:color w:val="000000"/>
          <w:sz w:val="32"/>
          <w:szCs w:val="32"/>
        </w:rPr>
        <w:t>年工作任务的基础上，再接再厉，为开创干休所新局面而努力，具体做好以下几个方面：</w:t>
      </w:r>
    </w:p>
    <w:p>
      <w:pPr>
        <w:wordWrap/>
        <w:autoSpaceDE w:val="0"/>
        <w:autoSpaceDN w:val="0"/>
        <w:adjustRightInd w:val="0"/>
        <w:spacing w:line="560" w:lineRule="exact"/>
        <w:ind w:firstLine="642" w:firstLineChars="200"/>
        <w:rPr>
          <w:rStyle w:val="16"/>
          <w:rFonts w:hint="eastAsia" w:ascii="仿宋_GB2312" w:hAnsi="Times New Roman" w:eastAsia="仿宋_GB2312" w:cs="Calibri"/>
          <w:bCs/>
          <w:color w:val="000000"/>
          <w:sz w:val="32"/>
          <w:szCs w:val="32"/>
          <w:lang w:val="en-US" w:eastAsia="zh-CN"/>
        </w:rPr>
      </w:pPr>
      <w:r>
        <w:rPr>
          <w:rFonts w:hint="eastAsia" w:ascii="仿宋_GB2312" w:hAnsi="仿宋_GB2312" w:eastAsia="仿宋_GB2312" w:cs="仿宋_GB2312"/>
          <w:b/>
          <w:bCs/>
          <w:sz w:val="32"/>
          <w:szCs w:val="32"/>
          <w:lang w:val="en-US" w:eastAsia="zh-CN"/>
        </w:rPr>
        <w:t>一是继续加强理论学习。</w:t>
      </w:r>
      <w:r>
        <w:rPr>
          <w:rFonts w:hint="eastAsia" w:ascii="仿宋_GB2312" w:hAnsi="Times New Roman" w:eastAsia="仿宋_GB2312" w:cs="Times New Roman"/>
          <w:bCs/>
          <w:color w:val="000000"/>
          <w:kern w:val="2"/>
          <w:sz w:val="32"/>
          <w:szCs w:val="32"/>
          <w:lang w:val="en-US" w:eastAsia="zh-CN" w:bidi="ar-SA"/>
        </w:rPr>
        <w:t>加大思想上政治上关心老同志，加强理论学习。聚焦统一思想行动，以党支部为单位组织党员和老同志深入学习宣传贯彻党的二十大精神，持续推动习近平新时代中国特色社会主义思想入脑入心</w:t>
      </w:r>
      <w:r>
        <w:rPr>
          <w:rStyle w:val="16"/>
          <w:rFonts w:hint="eastAsia" w:ascii="仿宋_GB2312" w:hAnsi="Times New Roman" w:eastAsia="仿宋_GB2312" w:cs="Calibri"/>
          <w:bCs/>
          <w:color w:val="000000"/>
          <w:sz w:val="32"/>
          <w:szCs w:val="32"/>
          <w:lang w:val="en-US" w:eastAsia="zh-CN"/>
        </w:rPr>
        <w:t>。</w:t>
      </w:r>
    </w:p>
    <w:p>
      <w:pPr>
        <w:wordWrap/>
        <w:spacing w:line="560" w:lineRule="exact"/>
        <w:rPr>
          <w:rFonts w:hint="eastAsia" w:ascii="仿宋_GB2312" w:hAnsi="Times New Roman" w:eastAsia="仿宋_GB2312" w:cs="Times New Roman"/>
          <w:bCs/>
          <w:color w:val="000000"/>
          <w:kern w:val="2"/>
          <w:sz w:val="32"/>
          <w:szCs w:val="32"/>
          <w:lang w:val="en-US" w:eastAsia="zh-CN" w:bidi="ar-SA"/>
        </w:rPr>
      </w:pPr>
      <w:r>
        <w:rPr>
          <w:rFonts w:hint="eastAsia" w:ascii="仿宋_GB2312" w:hAnsi="仿宋_GB2312" w:eastAsia="仿宋_GB2312" w:cs="仿宋_GB2312"/>
          <w:b/>
          <w:bCs/>
          <w:sz w:val="32"/>
          <w:szCs w:val="32"/>
          <w:lang w:val="en-US" w:eastAsia="zh-CN"/>
        </w:rPr>
        <w:t xml:space="preserve">  二是</w:t>
      </w:r>
      <w:r>
        <w:rPr>
          <w:rFonts w:hint="eastAsia" w:ascii="华文楷体" w:hAnsi="华文楷体" w:eastAsia="华文楷体" w:cs="华文楷体"/>
          <w:b/>
          <w:bCs/>
          <w:sz w:val="32"/>
          <w:szCs w:val="32"/>
          <w:lang w:val="en-US" w:eastAsia="zh-CN"/>
        </w:rPr>
        <w:t>继续加强以党建为引领。</w:t>
      </w:r>
      <w:r>
        <w:rPr>
          <w:rFonts w:hint="eastAsia" w:ascii="仿宋_GB2312" w:hAnsi="Times New Roman" w:eastAsia="仿宋_GB2312" w:cs="Times New Roman"/>
          <w:bCs/>
          <w:color w:val="000000"/>
          <w:kern w:val="2"/>
          <w:sz w:val="32"/>
          <w:szCs w:val="32"/>
          <w:lang w:val="en-US" w:eastAsia="zh-CN" w:bidi="ar-SA"/>
        </w:rPr>
        <w:t>推进老干部工作高质量发展。持续推进离退休干部“阿坝情”党建品牌建设等重点工作落实落地特别是对困难老同志，失独、空巢、家庭负担重的老同志给予关心照顾。</w:t>
      </w:r>
    </w:p>
    <w:p>
      <w:pPr>
        <w:wordWrap/>
        <w:autoSpaceDE w:val="0"/>
        <w:autoSpaceDN w:val="0"/>
        <w:adjustRightInd w:val="0"/>
        <w:spacing w:line="560" w:lineRule="exact"/>
        <w:ind w:firstLine="642" w:firstLineChars="200"/>
        <w:rPr>
          <w:rFonts w:hint="eastAsia" w:ascii="仿宋_GB2312" w:hAnsi="Times New Roman" w:eastAsia="仿宋_GB2312" w:cs="Times New Roman"/>
          <w:bCs/>
          <w:color w:val="000000"/>
          <w:kern w:val="2"/>
          <w:sz w:val="32"/>
          <w:szCs w:val="32"/>
          <w:lang w:val="en-US" w:eastAsia="zh-CN" w:bidi="ar-SA"/>
        </w:rPr>
      </w:pPr>
      <w:r>
        <w:rPr>
          <w:rFonts w:hint="eastAsia" w:ascii="仿宋_GB2312" w:eastAsia="仿宋_GB2312"/>
          <w:b/>
          <w:color w:val="000000"/>
          <w:sz w:val="32"/>
          <w:szCs w:val="32"/>
          <w:lang w:val="en-US" w:eastAsia="zh-CN"/>
        </w:rPr>
        <w:t>三</w:t>
      </w:r>
      <w:r>
        <w:rPr>
          <w:rFonts w:hint="eastAsia" w:ascii="仿宋_GB2312" w:eastAsia="仿宋_GB2312"/>
          <w:b/>
          <w:color w:val="000000"/>
          <w:sz w:val="32"/>
          <w:szCs w:val="32"/>
        </w:rPr>
        <w:t>是</w:t>
      </w:r>
      <w:r>
        <w:rPr>
          <w:rFonts w:hint="eastAsia" w:ascii="华文楷体" w:hAnsi="华文楷体" w:eastAsia="华文楷体" w:cs="华文楷体"/>
          <w:b/>
          <w:bCs/>
          <w:kern w:val="2"/>
          <w:sz w:val="32"/>
          <w:szCs w:val="32"/>
          <w:lang w:val="en-US" w:eastAsia="zh-CN" w:bidi="ar-SA"/>
        </w:rPr>
        <w:t>继续做好党风廉政建设。</w:t>
      </w:r>
      <w:r>
        <w:rPr>
          <w:rFonts w:hint="eastAsia" w:ascii="仿宋_GB2312" w:hAnsi="Times New Roman" w:eastAsia="仿宋_GB2312" w:cs="Times New Roman"/>
          <w:bCs/>
          <w:color w:val="000000"/>
          <w:kern w:val="2"/>
          <w:sz w:val="32"/>
          <w:szCs w:val="32"/>
          <w:lang w:val="en-US" w:eastAsia="zh-CN" w:bidi="ar-SA"/>
        </w:rPr>
        <w:t>强化家教家规家风建设，大力弘扬家庭美德和社会公德，以家庭和谐促进社会和谐，以好家风促进社会风气，形成积极向上向善的良好社会风尚。</w:t>
      </w:r>
    </w:p>
    <w:p>
      <w:pPr>
        <w:wordWrap/>
        <w:autoSpaceDE w:val="0"/>
        <w:autoSpaceDN w:val="0"/>
        <w:adjustRightInd w:val="0"/>
        <w:spacing w:line="560" w:lineRule="exact"/>
        <w:ind w:firstLine="642" w:firstLineChars="200"/>
        <w:rPr>
          <w:rFonts w:hint="eastAsia" w:ascii="仿宋_GB2312" w:hAnsi="Times New Roman" w:eastAsia="仿宋_GB2312" w:cs="Times New Roman"/>
          <w:bCs/>
          <w:color w:val="000000"/>
          <w:kern w:val="2"/>
          <w:sz w:val="32"/>
          <w:szCs w:val="32"/>
          <w:lang w:val="en-US" w:eastAsia="zh-CN" w:bidi="ar-SA"/>
        </w:rPr>
      </w:pPr>
      <w:r>
        <w:rPr>
          <w:rFonts w:hint="eastAsia" w:ascii="仿宋_GB2312" w:eastAsia="仿宋_GB2312"/>
          <w:b/>
          <w:color w:val="000000"/>
          <w:sz w:val="32"/>
          <w:szCs w:val="32"/>
          <w:lang w:val="en-US" w:eastAsia="zh-CN"/>
        </w:rPr>
        <w:t>四</w:t>
      </w:r>
      <w:r>
        <w:rPr>
          <w:rFonts w:hint="eastAsia" w:ascii="仿宋_GB2312" w:eastAsia="仿宋_GB2312"/>
          <w:b/>
          <w:color w:val="000000"/>
          <w:sz w:val="32"/>
          <w:szCs w:val="32"/>
        </w:rPr>
        <w:t>是</w:t>
      </w:r>
      <w:r>
        <w:rPr>
          <w:rFonts w:hint="eastAsia" w:ascii="华文楷体" w:hAnsi="华文楷体" w:eastAsia="华文楷体" w:cs="华文楷体"/>
          <w:b/>
          <w:bCs/>
          <w:kern w:val="2"/>
          <w:sz w:val="32"/>
          <w:szCs w:val="32"/>
          <w:lang w:val="en-US" w:eastAsia="zh-CN" w:bidi="ar-SA"/>
        </w:rPr>
        <w:t>继续做好老同志发挥余热。</w:t>
      </w:r>
      <w:r>
        <w:rPr>
          <w:rFonts w:hint="eastAsia" w:ascii="仿宋_GB2312" w:hAnsi="Times New Roman" w:eastAsia="仿宋_GB2312" w:cs="Times New Roman"/>
          <w:bCs/>
          <w:color w:val="000000"/>
          <w:kern w:val="2"/>
          <w:sz w:val="32"/>
          <w:szCs w:val="32"/>
          <w:lang w:val="en-US" w:eastAsia="zh-CN" w:bidi="ar-SA"/>
        </w:rPr>
        <w:t>本着自觉自愿、量力而行、发挥特长、服务中心的原则，开展老干部座谈会、“老干部讲党课”等活动，听取老干部对我所工作的意见和建议，充分发挥老干部余热。</w:t>
      </w:r>
    </w:p>
    <w:p>
      <w:pPr>
        <w:autoSpaceDE w:val="0"/>
        <w:autoSpaceDN w:val="0"/>
        <w:adjustRightInd w:val="0"/>
        <w:spacing w:line="576" w:lineRule="exact"/>
        <w:ind w:firstLine="642" w:firstLineChars="200"/>
        <w:rPr>
          <w:rFonts w:hint="eastAsia" w:ascii="仿宋_GB2312" w:hAnsi="Times New Roman" w:eastAsia="仿宋_GB2312" w:cs="Times New Roman"/>
          <w:bCs/>
          <w:color w:val="000000"/>
          <w:kern w:val="2"/>
          <w:sz w:val="32"/>
          <w:szCs w:val="32"/>
          <w:lang w:val="en-US" w:eastAsia="zh-CN" w:bidi="ar-SA"/>
        </w:rPr>
      </w:pPr>
      <w:r>
        <w:rPr>
          <w:rFonts w:hint="eastAsia" w:ascii="仿宋_GB2312" w:eastAsia="仿宋_GB2312"/>
          <w:b/>
          <w:color w:val="000000"/>
          <w:sz w:val="32"/>
          <w:szCs w:val="32"/>
          <w:lang w:val="en-US" w:eastAsia="zh-CN"/>
        </w:rPr>
        <w:t>五</w:t>
      </w:r>
      <w:r>
        <w:rPr>
          <w:rFonts w:hint="eastAsia" w:ascii="仿宋_GB2312" w:eastAsia="仿宋_GB2312"/>
          <w:b/>
          <w:color w:val="000000"/>
          <w:sz w:val="32"/>
          <w:szCs w:val="32"/>
        </w:rPr>
        <w:t>是</w:t>
      </w:r>
      <w:r>
        <w:rPr>
          <w:rFonts w:hint="eastAsia" w:ascii="华文楷体" w:hAnsi="华文楷体" w:eastAsia="华文楷体" w:cs="华文楷体"/>
          <w:b/>
          <w:bCs/>
          <w:kern w:val="2"/>
          <w:sz w:val="32"/>
          <w:szCs w:val="32"/>
          <w:lang w:val="en-US" w:eastAsia="zh-CN" w:bidi="ar-SA"/>
        </w:rPr>
        <w:t>继续加强干休所安全工作。</w:t>
      </w:r>
      <w:r>
        <w:rPr>
          <w:rFonts w:hint="eastAsia" w:ascii="仿宋_GB2312" w:hAnsi="Times New Roman" w:eastAsia="仿宋_GB2312" w:cs="Times New Roman"/>
          <w:bCs/>
          <w:color w:val="000000"/>
          <w:kern w:val="2"/>
          <w:sz w:val="32"/>
          <w:szCs w:val="32"/>
          <w:lang w:val="en-US" w:eastAsia="zh-CN" w:bidi="ar-SA"/>
        </w:rPr>
        <w:t>继续认真做好院落维护工作，加强所内消防等设施设备的维护和管理，做好各项基础性工作，确保高温、汛期、冬季老同志的正常生活不受影响。</w:t>
      </w:r>
    </w:p>
    <w:p>
      <w:pPr>
        <w:pStyle w:val="2"/>
        <w:ind w:left="0" w:leftChars="0" w:firstLine="642" w:firstLineChars="200"/>
        <w:rPr>
          <w:rFonts w:hint="default"/>
          <w:lang w:val="en-US" w:eastAsia="zh-CN"/>
        </w:rPr>
      </w:pPr>
      <w:r>
        <w:rPr>
          <w:rFonts w:hint="eastAsia" w:ascii="仿宋_GB2312" w:hAnsi="Times New Roman" w:eastAsia="仿宋_GB2312" w:cs="Times New Roman"/>
          <w:b/>
          <w:color w:val="000000"/>
          <w:sz w:val="32"/>
          <w:szCs w:val="32"/>
          <w:lang w:val="en-US" w:eastAsia="zh-CN"/>
        </w:rPr>
        <w:t>六是</w:t>
      </w:r>
      <w:r>
        <w:rPr>
          <w:rFonts w:hint="eastAsia" w:ascii="华文楷体" w:hAnsi="华文楷体" w:eastAsia="华文楷体" w:cs="华文楷体"/>
          <w:b/>
          <w:bCs/>
          <w:kern w:val="2"/>
          <w:sz w:val="32"/>
          <w:szCs w:val="32"/>
          <w:lang w:val="en-US" w:eastAsia="zh-CN" w:bidi="ar-SA"/>
        </w:rPr>
        <w:t>继续加强制度建设。</w:t>
      </w:r>
      <w:r>
        <w:rPr>
          <w:rFonts w:hint="eastAsia" w:ascii="仿宋_GB2312" w:hAnsi="Times New Roman" w:eastAsia="仿宋_GB2312" w:cs="Times New Roman"/>
          <w:bCs/>
          <w:color w:val="000000"/>
          <w:kern w:val="2"/>
          <w:sz w:val="32"/>
          <w:szCs w:val="32"/>
          <w:lang w:val="en-US" w:eastAsia="zh-CN" w:bidi="ar-SA"/>
        </w:rPr>
        <w:t>根据形式的发展，各项规章制度也需要不断变化、进一步完善各项规章制度；积极参与配合做好州老干部局安排的其他工作。</w:t>
      </w:r>
    </w:p>
    <w:p>
      <w:p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二、部门预算单位构成</w:t>
      </w:r>
    </w:p>
    <w:p>
      <w:pPr>
        <w:numPr>
          <w:numId w:val="0"/>
        </w:numPr>
        <w:snapToGrid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1、本单位</w:t>
      </w:r>
      <w:r>
        <w:rPr>
          <w:rFonts w:hint="eastAsia" w:ascii="仿宋_GB2312" w:hAnsi="仿宋_GB2312" w:eastAsia="仿宋_GB2312" w:cs="仿宋_GB2312"/>
          <w:sz w:val="32"/>
          <w:szCs w:val="32"/>
        </w:rPr>
        <w:t>属一级预算单位，</w:t>
      </w:r>
      <w:r>
        <w:rPr>
          <w:rFonts w:hint="eastAsia" w:ascii="仿宋_GB2312" w:hAnsi="仿宋_GB2312" w:eastAsia="仿宋_GB2312" w:cs="仿宋_GB2312"/>
          <w:sz w:val="32"/>
          <w:szCs w:val="32"/>
          <w:lang w:val="en-US" w:eastAsia="zh-CN"/>
        </w:rPr>
        <w:t>属</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执行的是行政单位会计制度</w:t>
      </w:r>
      <w:r>
        <w:rPr>
          <w:rFonts w:hint="eastAsia" w:ascii="仿宋_GB2312" w:hAnsi="仿宋_GB2312" w:eastAsia="仿宋_GB2312" w:cs="仿宋_GB2312"/>
          <w:sz w:val="32"/>
          <w:szCs w:val="32"/>
          <w:lang w:eastAsia="zh-CN"/>
        </w:rPr>
        <w:t>。</w:t>
      </w:r>
    </w:p>
    <w:p>
      <w:pPr>
        <w:numPr>
          <w:numId w:val="0"/>
        </w:num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机构人员情况</w:t>
      </w:r>
      <w:r>
        <w:rPr>
          <w:rFonts w:hint="eastAsia" w:ascii="仿宋_GB2312" w:hAnsi="仿宋_GB2312" w:eastAsia="仿宋_GB2312" w:cs="仿宋_GB2312"/>
          <w:sz w:val="32"/>
          <w:szCs w:val="32"/>
          <w:lang w:eastAsia="zh-CN"/>
        </w:rPr>
        <w:t>。</w:t>
      </w:r>
      <w:r>
        <w:rPr>
          <w:rStyle w:val="15"/>
          <w:rFonts w:hint="eastAsia" w:ascii="仿宋_GB2312" w:hAnsi="仿宋_GB2312" w:eastAsia="仿宋_GB2312" w:cs="仿宋_GB2312"/>
          <w:sz w:val="32"/>
          <w:szCs w:val="32"/>
        </w:rPr>
        <w:t>总编制4名，其中：行政编制0名；</w:t>
      </w:r>
      <w:r>
        <w:rPr>
          <w:rStyle w:val="14"/>
          <w:rFonts w:hint="eastAsia" w:ascii="仿宋_GB2312" w:hAnsi="仿宋_GB2312" w:eastAsia="仿宋_GB2312" w:cs="仿宋_GB2312"/>
          <w:color w:val="333333"/>
          <w:sz w:val="32"/>
          <w:szCs w:val="32"/>
        </w:rPr>
        <w:t>事业编制3名；工勤编制1</w:t>
      </w:r>
      <w:r>
        <w:rPr>
          <w:rStyle w:val="15"/>
          <w:rFonts w:hint="eastAsia" w:ascii="仿宋_GB2312" w:hAnsi="仿宋_GB2312" w:eastAsia="仿宋_GB2312" w:cs="仿宋_GB2312"/>
          <w:sz w:val="32"/>
          <w:szCs w:val="32"/>
        </w:rPr>
        <w:t>名。在职人员总数4人，其中：行政人员0人，参</w:t>
      </w:r>
      <w:r>
        <w:rPr>
          <w:rStyle w:val="14"/>
          <w:rFonts w:hint="eastAsia" w:ascii="仿宋_GB2312" w:hAnsi="仿宋_GB2312" w:eastAsia="仿宋_GB2312" w:cs="仿宋_GB2312"/>
          <w:color w:val="333333"/>
          <w:sz w:val="32"/>
          <w:szCs w:val="32"/>
        </w:rPr>
        <w:t>照公务员法管理的事业人员3人；</w:t>
      </w:r>
      <w:r>
        <w:rPr>
          <w:rStyle w:val="15"/>
          <w:rFonts w:hint="eastAsia" w:ascii="仿宋_GB2312" w:hAnsi="仿宋_GB2312" w:eastAsia="仿宋_GB2312" w:cs="仿宋_GB2312"/>
          <w:sz w:val="32"/>
          <w:szCs w:val="32"/>
        </w:rPr>
        <w:t>其他事业人员0人，工勤在职1人；离休人员0人，退休人员2人。</w:t>
      </w:r>
    </w:p>
    <w:p>
      <w:pPr>
        <w:pStyle w:val="11"/>
        <w:numPr>
          <w:numId w:val="0"/>
        </w:numPr>
        <w:ind w:left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收支预算情况说明</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（一）收入预算情况</w:t>
      </w:r>
    </w:p>
    <w:p>
      <w:pP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 xml:space="preserve">  郫县退休所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万元，其中：一般公共预算拨款收入</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支出预算情况</w:t>
      </w:r>
    </w:p>
    <w:p>
      <w:pPr>
        <w:numPr>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95.43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79.06</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25.27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20.93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lang w:val="en-US" w:eastAsia="zh-CN"/>
        </w:rPr>
        <w:t xml:space="preserve">  </w:t>
      </w:r>
      <w:r>
        <w:rPr>
          <w:rStyle w:val="14"/>
          <w:rFonts w:hint="eastAsia" w:ascii="仿宋_GB2312" w:hAnsi="仿宋_GB2312" w:eastAsia="仿宋_GB2312" w:cs="仿宋_GB2312"/>
          <w:color w:val="000000"/>
          <w:sz w:val="32"/>
          <w:szCs w:val="32"/>
        </w:rPr>
        <w:t>20</w:t>
      </w:r>
      <w:r>
        <w:rPr>
          <w:rStyle w:val="14"/>
          <w:rFonts w:hint="eastAsia" w:ascii="仿宋_GB2312" w:hAnsi="仿宋_GB2312" w:eastAsia="仿宋_GB2312" w:cs="仿宋_GB2312"/>
          <w:color w:val="000000"/>
          <w:sz w:val="32"/>
          <w:szCs w:val="32"/>
          <w:lang w:val="en-US" w:eastAsia="zh-CN"/>
        </w:rPr>
        <w:t>24</w:t>
      </w:r>
      <w:r>
        <w:rPr>
          <w:rStyle w:val="14"/>
          <w:rFonts w:hint="eastAsia" w:ascii="仿宋_GB2312" w:hAnsi="仿宋_GB2312" w:eastAsia="仿宋_GB2312" w:cs="仿宋_GB2312"/>
          <w:color w:val="000000"/>
          <w:sz w:val="32"/>
          <w:szCs w:val="32"/>
        </w:rPr>
        <w:t>年部门</w:t>
      </w:r>
      <w:r>
        <w:rPr>
          <w:rStyle w:val="14"/>
          <w:rFonts w:hint="eastAsia" w:ascii="仿宋_GB2312" w:hAnsi="仿宋_GB2312" w:eastAsia="仿宋_GB2312" w:cs="仿宋_GB2312"/>
          <w:color w:val="000000"/>
          <w:sz w:val="32"/>
          <w:szCs w:val="32"/>
          <w:lang w:val="en-US" w:eastAsia="zh-CN"/>
        </w:rPr>
        <w:t>项目</w:t>
      </w:r>
      <w:r>
        <w:rPr>
          <w:rStyle w:val="15"/>
          <w:rFonts w:hint="eastAsia" w:ascii="仿宋_GB2312" w:hAnsi="仿宋_GB2312" w:eastAsia="仿宋_GB2312" w:cs="仿宋_GB2312"/>
          <w:sz w:val="32"/>
          <w:szCs w:val="32"/>
        </w:rPr>
        <w:t>支出预算总额</w:t>
      </w:r>
      <w:r>
        <w:rPr>
          <w:rStyle w:val="15"/>
          <w:rFonts w:hint="eastAsia" w:ascii="仿宋_GB2312" w:hAnsi="仿宋_GB2312" w:eastAsia="仿宋_GB2312" w:cs="仿宋_GB2312"/>
          <w:sz w:val="32"/>
          <w:szCs w:val="32"/>
          <w:lang w:val="en-US" w:eastAsia="zh-CN"/>
        </w:rPr>
        <w:t>25.27万</w:t>
      </w:r>
      <w:r>
        <w:rPr>
          <w:rStyle w:val="15"/>
          <w:rFonts w:hint="eastAsia" w:ascii="仿宋_GB2312" w:hAnsi="仿宋_GB2312" w:eastAsia="仿宋_GB2312" w:cs="仿宋_GB2312"/>
          <w:sz w:val="32"/>
          <w:szCs w:val="32"/>
        </w:rPr>
        <w:t>元，其中：</w:t>
      </w:r>
      <w:r>
        <w:rPr>
          <w:rStyle w:val="15"/>
          <w:rFonts w:hint="eastAsia" w:ascii="仿宋_GB2312" w:hAnsi="仿宋_GB2312" w:eastAsia="仿宋_GB2312" w:cs="仿宋_GB2312"/>
          <w:sz w:val="32"/>
          <w:szCs w:val="32"/>
          <w:lang w:val="en-US" w:eastAsia="zh-CN"/>
        </w:rPr>
        <w:t>老干部（党员）活动费8.8万元，金财网络费0.45万元，</w:t>
      </w:r>
      <w:r>
        <w:rPr>
          <w:rStyle w:val="15"/>
          <w:rFonts w:hint="eastAsia" w:ascii="仿宋_GB2312" w:hAnsi="仿宋_GB2312" w:eastAsia="仿宋_GB2312" w:cs="仿宋_GB2312"/>
          <w:sz w:val="32"/>
          <w:szCs w:val="32"/>
        </w:rPr>
        <w:t>院内</w:t>
      </w:r>
      <w:r>
        <w:rPr>
          <w:rStyle w:val="15"/>
          <w:rFonts w:hint="eastAsia" w:ascii="仿宋_GB2312" w:hAnsi="仿宋_GB2312" w:eastAsia="仿宋_GB2312" w:cs="仿宋_GB2312"/>
          <w:sz w:val="32"/>
          <w:szCs w:val="32"/>
          <w:lang w:val="en-US" w:eastAsia="zh-CN"/>
        </w:rPr>
        <w:t>维修</w:t>
      </w:r>
      <w:r>
        <w:rPr>
          <w:rStyle w:val="15"/>
          <w:rFonts w:hint="eastAsia" w:ascii="仿宋_GB2312" w:hAnsi="仿宋_GB2312" w:eastAsia="仿宋_GB2312" w:cs="仿宋_GB2312"/>
          <w:sz w:val="32"/>
          <w:szCs w:val="32"/>
        </w:rPr>
        <w:t>维护等</w:t>
      </w:r>
      <w:r>
        <w:rPr>
          <w:rStyle w:val="15"/>
          <w:rFonts w:hint="eastAsia" w:ascii="仿宋_GB2312" w:hAnsi="仿宋_GB2312" w:eastAsia="仿宋_GB2312" w:cs="仿宋_GB2312"/>
          <w:sz w:val="32"/>
          <w:szCs w:val="32"/>
          <w:lang w:val="en-US" w:eastAsia="zh-CN"/>
        </w:rPr>
        <w:t>4.</w:t>
      </w:r>
      <w:r>
        <w:rPr>
          <w:rStyle w:val="15"/>
          <w:rFonts w:hint="eastAsia" w:ascii="仿宋_GB2312" w:hAnsi="仿宋_GB2312" w:eastAsia="仿宋_GB2312" w:cs="仿宋_GB2312"/>
          <w:sz w:val="32"/>
          <w:szCs w:val="32"/>
        </w:rPr>
        <w:t>5</w:t>
      </w:r>
      <w:r>
        <w:rPr>
          <w:rStyle w:val="15"/>
          <w:rFonts w:hint="eastAsia" w:ascii="仿宋_GB2312" w:hAnsi="仿宋_GB2312" w:eastAsia="仿宋_GB2312" w:cs="仿宋_GB2312"/>
          <w:sz w:val="32"/>
          <w:szCs w:val="32"/>
          <w:lang w:val="en-US" w:eastAsia="zh-CN"/>
        </w:rPr>
        <w:t>万</w:t>
      </w:r>
      <w:r>
        <w:rPr>
          <w:rStyle w:val="15"/>
          <w:rFonts w:hint="eastAsia" w:ascii="仿宋_GB2312" w:hAnsi="仿宋_GB2312" w:eastAsia="仿宋_GB2312" w:cs="仿宋_GB2312"/>
          <w:sz w:val="32"/>
          <w:szCs w:val="32"/>
        </w:rPr>
        <w:t>元</w:t>
      </w:r>
      <w:r>
        <w:rPr>
          <w:rStyle w:val="15"/>
          <w:rFonts w:hint="eastAsia" w:ascii="仿宋_GB2312" w:hAnsi="仿宋_GB2312" w:eastAsia="仿宋_GB2312" w:cs="仿宋_GB2312"/>
          <w:sz w:val="32"/>
          <w:szCs w:val="32"/>
          <w:lang w:eastAsia="zh-CN"/>
        </w:rPr>
        <w:t>，</w:t>
      </w:r>
      <w:r>
        <w:rPr>
          <w:rStyle w:val="15"/>
          <w:rFonts w:hint="eastAsia" w:ascii="仿宋_GB2312" w:hAnsi="仿宋_GB2312" w:eastAsia="仿宋_GB2312" w:cs="仿宋_GB2312"/>
          <w:sz w:val="32"/>
          <w:szCs w:val="32"/>
          <w:lang w:val="en-US" w:eastAsia="zh-CN"/>
        </w:rPr>
        <w:t>政府购买物业管理11.52万元。</w:t>
      </w:r>
    </w:p>
    <w:p>
      <w:pPr>
        <w:numPr>
          <w:numId w:val="0"/>
        </w:num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numPr>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年财政拨款收支总预算增加</w:t>
      </w:r>
      <w:r>
        <w:rPr>
          <w:rFonts w:hint="eastAsia" w:ascii="仿宋_GB2312" w:hAnsi="仿宋_GB2312" w:eastAsia="仿宋_GB2312" w:cs="仿宋_GB2312"/>
          <w:sz w:val="32"/>
          <w:szCs w:val="32"/>
          <w:lang w:val="en-US" w:eastAsia="zh-CN"/>
        </w:rPr>
        <w:t>4.59</w:t>
      </w:r>
      <w:r>
        <w:rPr>
          <w:rFonts w:hint="eastAsia" w:ascii="仿宋_GB2312" w:hAnsi="仿宋_GB2312" w:eastAsia="仿宋_GB2312" w:cs="仿宋_GB2312"/>
          <w:sz w:val="32"/>
          <w:szCs w:val="32"/>
        </w:rPr>
        <w:t>万元，收入包括：本年一般公共预算拨款收入</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万元，上年结转一般公共预算收入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万元，上年结转财政拨款资金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　　支出包括：一般公共服务支出</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万元，社会保障和就业支出，医疗卫生与计划生育支出，住房保障支出</w:t>
      </w:r>
      <w:r>
        <w:rPr>
          <w:rFonts w:hint="eastAsia" w:ascii="仿宋_GB2312" w:hAnsi="仿宋_GB2312" w:eastAsia="仿宋_GB2312" w:cs="仿宋_GB2312"/>
          <w:sz w:val="32"/>
          <w:szCs w:val="32"/>
          <w:lang w:val="en-US" w:eastAsia="zh-CN"/>
        </w:rPr>
        <w:t>预算“二下”指标全部在行政运行里（功能代码2013601，已联系财政预算科作支付调剂）</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五、一般公共预算当年拨款情况说明</w:t>
      </w:r>
    </w:p>
    <w:p>
      <w:pPr>
        <w:pStyle w:val="12"/>
        <w:spacing w:before="0"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（一）一般公共预算当年拨款规模变化情况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年预算数增加</w:t>
      </w:r>
      <w:r>
        <w:rPr>
          <w:rFonts w:hint="eastAsia" w:ascii="仿宋_GB2312" w:hAnsi="仿宋_GB2312" w:eastAsia="仿宋_GB2312" w:cs="仿宋_GB2312"/>
          <w:sz w:val="32"/>
          <w:szCs w:val="32"/>
          <w:lang w:val="en-US" w:eastAsia="zh-CN"/>
        </w:rPr>
        <w:t>4.49</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人员经费增加。</w:t>
      </w: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rPr>
        <w:t>（二）一般公共预算当年拨款结构情况</w:t>
      </w:r>
    </w:p>
    <w:p>
      <w:pPr>
        <w:numPr>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120.7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占100%，</w:t>
      </w:r>
      <w:r>
        <w:rPr>
          <w:rFonts w:hint="eastAsia" w:ascii="仿宋_GB2312" w:hAnsi="仿宋_GB2312" w:eastAsia="仿宋_GB2312" w:cs="仿宋_GB2312"/>
          <w:sz w:val="32"/>
          <w:szCs w:val="32"/>
        </w:rPr>
        <w:t>社会保障和就业支出，医疗卫生与计划生育支出，住房保障支出</w:t>
      </w:r>
      <w:r>
        <w:rPr>
          <w:rFonts w:hint="eastAsia" w:ascii="仿宋_GB2312" w:hAnsi="仿宋_GB2312" w:eastAsia="仿宋_GB2312" w:cs="仿宋_GB2312"/>
          <w:sz w:val="32"/>
          <w:szCs w:val="32"/>
          <w:lang w:val="en-US" w:eastAsia="zh-CN"/>
        </w:rPr>
        <w:t>预算“二下”指标全部在行政运行里（功能代码2013601，已联系财政预算科作支付调剂）</w:t>
      </w:r>
    </w:p>
    <w:p>
      <w:pPr>
        <w:numPr>
          <w:numId w:val="0"/>
        </w:numPr>
        <w:ind w:leftChars="0"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rPr>
        <w:t>（三）一般公共预算当年拨款具体使用情况</w:t>
      </w:r>
    </w:p>
    <w:p>
      <w:pPr>
        <w:pStyle w:val="12"/>
        <w:numPr>
          <w:numId w:val="0"/>
        </w:numPr>
        <w:spacing w:before="0" w:line="360" w:lineRule="auto"/>
        <w:rPr>
          <w:rFonts w:hint="eastAsia" w:ascii="仿宋_GB2312" w:hAnsi="仿宋_GB2312" w:eastAsia="仿宋_GB2312" w:cs="仿宋_GB2312"/>
          <w:sz w:val="32"/>
          <w:szCs w:val="32"/>
        </w:rPr>
      </w:pPr>
      <w:r>
        <w:rPr>
          <w:rFonts w:hint="eastAsia" w:hAnsi="仿宋_GB2312" w:cs="仿宋_GB2312"/>
          <w:sz w:val="32"/>
          <w:szCs w:val="32"/>
          <w:lang w:val="en-US" w:eastAsia="zh-CN"/>
        </w:rPr>
        <w:t xml:space="preserve">  1、</w:t>
      </w:r>
      <w:r>
        <w:rPr>
          <w:rFonts w:hint="eastAsia" w:ascii="仿宋_GB2312" w:hAnsi="仿宋_GB2312" w:eastAsia="仿宋_GB2312" w:cs="仿宋_GB2312"/>
          <w:sz w:val="32"/>
          <w:szCs w:val="32"/>
          <w:lang w:val="en-US" w:eastAsia="zh-CN"/>
        </w:rPr>
        <w:t>机关事务</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其他共产党</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行政运行</w:t>
      </w:r>
      <w:r>
        <w:rPr>
          <w:rFonts w:hint="eastAsia" w:ascii="仿宋_GB2312" w:hAnsi="仿宋_GB2312" w:eastAsia="仿宋_GB2312" w:cs="仿宋_GB2312"/>
          <w:sz w:val="32"/>
          <w:szCs w:val="32"/>
        </w:rPr>
        <w:t>（项目）20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年预算数为</w:t>
      </w:r>
      <w:r>
        <w:rPr>
          <w:rFonts w:hint="eastAsia" w:hAnsi="仿宋_GB2312" w:cs="仿宋_GB2312"/>
          <w:sz w:val="32"/>
          <w:szCs w:val="32"/>
          <w:lang w:val="en-US" w:eastAsia="zh-CN"/>
        </w:rPr>
        <w:t>97.81</w:t>
      </w:r>
      <w:r>
        <w:rPr>
          <w:rFonts w:hint="eastAsia" w:ascii="仿宋_GB2312" w:hAnsi="仿宋_GB2312" w:eastAsia="仿宋_GB2312" w:cs="仿宋_GB2312"/>
          <w:sz w:val="32"/>
          <w:szCs w:val="32"/>
        </w:rPr>
        <w:t>万元，主</w:t>
      </w:r>
      <w:r>
        <w:rPr>
          <w:rFonts w:hint="eastAsia" w:ascii="仿宋_GB2312" w:hAnsi="仿宋_GB2312" w:eastAsia="仿宋_GB2312" w:cs="仿宋_GB2312"/>
          <w:sz w:val="32"/>
          <w:szCs w:val="32"/>
          <w:lang w:val="en-US" w:eastAsia="zh-CN"/>
        </w:rPr>
        <w:t>要用于工资福利、商品服务支出和对个人和家庭补助支出 。机关事务</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其他共产党</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一般行政管理事务（项目）202</w:t>
      </w:r>
      <w:r>
        <w:rPr>
          <w:rFonts w:hint="eastAsia" w:hAnsi="仿宋_GB2312" w:cs="仿宋_GB2312"/>
          <w:sz w:val="32"/>
          <w:szCs w:val="32"/>
          <w:lang w:val="en-US" w:eastAsia="zh-CN"/>
        </w:rPr>
        <w:t>4</w:t>
      </w:r>
      <w:r>
        <w:rPr>
          <w:rFonts w:hint="eastAsia" w:ascii="仿宋_GB2312" w:hAnsi="仿宋_GB2312" w:eastAsia="仿宋_GB2312" w:cs="仿宋_GB2312"/>
          <w:sz w:val="32"/>
          <w:szCs w:val="32"/>
          <w:lang w:val="en-US" w:eastAsia="zh-CN"/>
        </w:rPr>
        <w:t>年预算数为25.</w:t>
      </w:r>
      <w:r>
        <w:rPr>
          <w:rFonts w:hint="eastAsia" w:hAnsi="仿宋_GB2312" w:cs="仿宋_GB2312"/>
          <w:sz w:val="32"/>
          <w:szCs w:val="32"/>
          <w:lang w:val="en-US" w:eastAsia="zh-CN"/>
        </w:rPr>
        <w:t>27</w:t>
      </w:r>
      <w:r>
        <w:rPr>
          <w:rFonts w:hint="eastAsia" w:ascii="仿宋_GB2312" w:hAnsi="仿宋_GB2312" w:eastAsia="仿宋_GB2312" w:cs="仿宋_GB2312"/>
          <w:sz w:val="32"/>
          <w:szCs w:val="32"/>
          <w:lang w:val="en-US" w:eastAsia="zh-CN"/>
        </w:rPr>
        <w:t>万元</w:t>
      </w:r>
      <w:r>
        <w:rPr>
          <w:rFonts w:hint="eastAsia" w:hAnsi="仿宋_GB2312" w:cs="仿宋_GB2312"/>
          <w:sz w:val="32"/>
          <w:szCs w:val="32"/>
          <w:lang w:val="en-US" w:eastAsia="zh-CN"/>
        </w:rPr>
        <w:t>。</w:t>
      </w:r>
    </w:p>
    <w:p>
      <w:pPr>
        <w:numPr>
          <w:numId w:val="0"/>
        </w:numPr>
        <w:ind w:leftChars="0" w:firstLine="640" w:firstLineChars="200"/>
        <w:rPr>
          <w:rFonts w:hint="eastAsia" w:ascii="仿宋_GB2312" w:hAnsi="仿宋_GB2312" w:eastAsia="仿宋_GB2312" w:cs="仿宋_GB2312"/>
          <w:sz w:val="32"/>
          <w:szCs w:val="32"/>
        </w:rPr>
      </w:pP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2、机关事业单位基本养老保险缴费支出预算8.1万元，“二下”指标全部在行政运行里（功能代码2013601，已联系财政预算科作支付调剂）</w:t>
      </w:r>
    </w:p>
    <w:p>
      <w:pPr>
        <w:numPr>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3、机关事业单位职业年金缴费支出4.05万元， 预算“二下”指标全部在行政运行里（功能代码2013601，已联系财政预算科作支付调剂）</w:t>
      </w:r>
    </w:p>
    <w:p>
      <w:pPr>
        <w:numPr>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4、行政单位医疗支出预算3.54万元，“二下”指标全部在行政运行里（功能代码2013601，已联系财政预算科作支付调剂）</w:t>
      </w:r>
    </w:p>
    <w:p>
      <w:pPr>
        <w:numPr>
          <w:numId w:val="0"/>
        </w:numPr>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5、住房公积金支出 预算5.9万元，“二下”指标全部在行政运行里（功能代码2013601，已联系财政预算科作支付调剂）</w:t>
      </w:r>
    </w:p>
    <w:p>
      <w:pPr>
        <w:numPr>
          <w:numId w:val="0"/>
        </w:numPr>
        <w:ind w:leftChars="0" w:firstLine="640" w:firstLineChars="200"/>
        <w:rPr>
          <w:rFonts w:hint="eastAsia" w:ascii="仿宋_GB2312" w:hAnsi="仿宋_GB2312" w:eastAsia="仿宋_GB2312" w:cs="仿宋_GB2312"/>
          <w:sz w:val="32"/>
          <w:szCs w:val="32"/>
        </w:rPr>
      </w:pPr>
    </w:p>
    <w:p>
      <w:pPr>
        <w:numPr>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6、公务员医疗补助支出预算1.3万元，“二下”指标全部在行政运行里（功能代码2013601，已联系财政预算科作支付调剂）</w:t>
      </w:r>
      <w:bookmarkStart w:id="0" w:name="_GoBack"/>
      <w:bookmarkEnd w:id="0"/>
    </w:p>
    <w:p>
      <w:pPr>
        <w:pStyle w:val="12"/>
        <w:spacing w:before="0" w:line="360" w:lineRule="auto"/>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sz w:val="32"/>
          <w:szCs w:val="32"/>
        </w:rPr>
        <w:t>六、一般公共预算基本支出情况说明</w:t>
      </w:r>
    </w:p>
    <w:p>
      <w:pPr>
        <w:pStyle w:val="12"/>
        <w:spacing w:before="0" w:line="360"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年一般公共预算基本支出</w:t>
      </w:r>
      <w:r>
        <w:rPr>
          <w:rFonts w:hint="eastAsia" w:hAnsi="仿宋_GB2312" w:cs="仿宋_GB2312"/>
          <w:sz w:val="32"/>
          <w:szCs w:val="32"/>
          <w:lang w:val="en-US" w:eastAsia="zh-CN"/>
        </w:rPr>
        <w:t xml:space="preserve"> 120.7</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 xml:space="preserve"> 80.46</w:t>
      </w:r>
      <w:r>
        <w:rPr>
          <w:rFonts w:hint="eastAsia" w:ascii="仿宋_GB2312" w:hAnsi="仿宋_GB2312" w:eastAsia="仿宋_GB2312" w:cs="仿宋_GB2312"/>
          <w:sz w:val="32"/>
          <w:szCs w:val="32"/>
        </w:rPr>
        <w:t>万元，主要包括：基本工资、津贴补贴、奖金、其他社会保障缴费、机关事业单位基本养老保险缴费、职业年金缴费、城镇职工基本医疗保险缴费</w:t>
      </w:r>
      <w:r>
        <w:rPr>
          <w:rFonts w:hint="eastAsia" w:ascii="仿宋_GB2312" w:hAnsi="仿宋_GB2312" w:eastAsia="仿宋_GB2312" w:cs="仿宋_GB2312"/>
          <w:sz w:val="32"/>
          <w:szCs w:val="32"/>
          <w:lang w:eastAsia="zh-CN"/>
        </w:rPr>
        <w:t>、公务员医疗补助缴费、</w:t>
      </w:r>
      <w:r>
        <w:rPr>
          <w:rFonts w:hint="eastAsia" w:ascii="仿宋_GB2312" w:hAnsi="仿宋_GB2312" w:eastAsia="仿宋_GB2312" w:cs="仿宋_GB2312"/>
          <w:sz w:val="32"/>
          <w:szCs w:val="32"/>
        </w:rPr>
        <w:t>其他工资福利支出、住房公积金、其他对个人和家庭的补助支出</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。公用经费14.97万元，主要包括：办公费、水费、电费、邮电费、差旅费、维修（护）费、培训费、福利费、其他交通工具运行维护费、其他商品和服务支出</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rPr>
        <w:t>七、“三公”经费财政拨款预算安排情况说明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5.28</w:t>
      </w:r>
      <w:r>
        <w:rPr>
          <w:rFonts w:hint="eastAsia" w:ascii="仿宋_GB2312" w:hAnsi="仿宋_GB2312" w:eastAsia="仿宋_GB2312" w:cs="仿宋_GB2312"/>
          <w:sz w:val="32"/>
          <w:szCs w:val="32"/>
        </w:rPr>
        <w:t>万元，其中：因公出国（境）经费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w:t>
      </w:r>
    </w:p>
    <w:p>
      <w:pPr>
        <w:pStyle w:val="12"/>
        <w:spacing w:before="0"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（一）20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万元。 </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kern w:val="2"/>
          <w:sz w:val="32"/>
          <w:szCs w:val="32"/>
        </w:rPr>
        <w:t>202</w:t>
      </w:r>
      <w:r>
        <w:rPr>
          <w:rFonts w:hint="eastAsia" w:hAnsi="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年公务接待经费</w:t>
      </w:r>
      <w:r>
        <w:rPr>
          <w:rFonts w:hint="eastAsia" w:ascii="仿宋_GB2312" w:hAnsi="仿宋_GB2312" w:eastAsia="仿宋_GB2312" w:cs="仿宋_GB2312"/>
          <w:color w:val="000000"/>
          <w:kern w:val="2"/>
          <w:sz w:val="32"/>
          <w:szCs w:val="32"/>
          <w:lang w:val="en-US" w:eastAsia="zh-CN"/>
        </w:rPr>
        <w:t>0.2</w:t>
      </w:r>
      <w:r>
        <w:rPr>
          <w:rFonts w:hint="eastAsia" w:hAnsi="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万元。较202</w:t>
      </w:r>
      <w:r>
        <w:rPr>
          <w:rFonts w:hint="eastAsia" w:hAnsi="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rPr>
        <w:t>年预算经费</w:t>
      </w:r>
      <w:r>
        <w:rPr>
          <w:rFonts w:hint="eastAsia" w:hAnsi="仿宋_GB2312" w:cs="仿宋_GB2312"/>
          <w:color w:val="000000"/>
          <w:kern w:val="2"/>
          <w:sz w:val="32"/>
          <w:szCs w:val="32"/>
          <w:lang w:val="en-US" w:eastAsia="zh-CN"/>
        </w:rPr>
        <w:t>增加0.01万元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sz w:val="32"/>
          <w:szCs w:val="32"/>
        </w:rPr>
        <w:br/>
      </w:r>
      <w:r>
        <w:rPr>
          <w:rFonts w:hint="eastAsia" w:ascii="仿宋_GB2312" w:hAnsi="仿宋_GB2312" w:eastAsia="仿宋_GB2312" w:cs="仿宋_GB2312"/>
          <w:sz w:val="32"/>
          <w:szCs w:val="32"/>
        </w:rPr>
        <w:t>（三）20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年公务用车购置及运行维护费</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万元。较20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3</w:t>
      </w:r>
      <w:r>
        <w:rPr>
          <w:rFonts w:hint="eastAsia" w:ascii="仿宋_GB2312" w:hAnsi="仿宋_GB2312" w:eastAsia="仿宋_GB2312" w:cs="仿宋_GB2312"/>
          <w:sz w:val="32"/>
          <w:szCs w:val="32"/>
        </w:rPr>
        <w:t>年预算经费</w:t>
      </w:r>
      <w:r>
        <w:rPr>
          <w:rFonts w:hint="eastAsia" w:ascii="仿宋_GB2312" w:hAnsi="仿宋_GB2312" w:eastAsia="仿宋_GB2312" w:cs="仿宋_GB2312"/>
          <w:sz w:val="32"/>
          <w:szCs w:val="32"/>
          <w:lang w:val="en-US" w:eastAsia="zh-CN"/>
        </w:rPr>
        <w:t>5.04持平。</w:t>
      </w: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rPr>
        <w:t>八、政府性基金</w:t>
      </w:r>
      <w:r>
        <w:rPr>
          <w:rFonts w:hint="eastAsia" w:ascii="仿宋_GB2312" w:hAnsi="仿宋_GB2312" w:eastAsia="仿宋_GB2312" w:cs="仿宋_GB2312"/>
          <w:b/>
          <w:bCs/>
          <w:kern w:val="2"/>
          <w:sz w:val="32"/>
          <w:szCs w:val="32"/>
        </w:rPr>
        <w:t>预算</w:t>
      </w:r>
      <w:r>
        <w:rPr>
          <w:rFonts w:hint="eastAsia" w:ascii="仿宋_GB2312" w:hAnsi="仿宋_GB2312" w:eastAsia="仿宋_GB2312" w:cs="仿宋_GB2312"/>
          <w:b/>
          <w:bCs/>
          <w:sz w:val="32"/>
          <w:szCs w:val="32"/>
        </w:rPr>
        <w:t>支出情况说明</w:t>
      </w:r>
    </w:p>
    <w:p>
      <w:pPr>
        <w:pStyle w:val="12"/>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年政府性基金预算拨款安排的支出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万元。较20</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3</w:t>
      </w:r>
      <w:r>
        <w:rPr>
          <w:rFonts w:hint="eastAsia" w:ascii="仿宋_GB2312" w:hAnsi="仿宋_GB2312" w:eastAsia="仿宋_GB2312" w:cs="仿宋_GB2312"/>
          <w:sz w:val="32"/>
          <w:szCs w:val="32"/>
        </w:rPr>
        <w:t>年预算经费</w:t>
      </w:r>
      <w:r>
        <w:rPr>
          <w:rFonts w:hint="eastAsia" w:ascii="仿宋_GB2312" w:hAnsi="仿宋_GB2312" w:eastAsia="仿宋_GB2312" w:cs="仿宋_GB2312"/>
          <w:sz w:val="32"/>
          <w:szCs w:val="32"/>
          <w:lang w:val="en-US" w:eastAsia="zh-CN"/>
        </w:rPr>
        <w:t>增加0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Style w:val="12"/>
        <w:spacing w:before="0"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九、其他重要事项的情况说明</w:t>
      </w:r>
    </w:p>
    <w:p>
      <w:pPr>
        <w:numPr>
          <w:numId w:val="0"/>
        </w:num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机关运行经费</w:t>
      </w:r>
      <w:r>
        <w:rPr>
          <w:rFonts w:hint="eastAsia" w:ascii="仿宋_GB2312" w:hAnsi="仿宋_GB2312" w:eastAsia="仿宋_GB2312" w:cs="仿宋_GB2312"/>
          <w:b/>
          <w:bCs/>
          <w:sz w:val="32"/>
          <w:szCs w:val="32"/>
        </w:rPr>
        <w:br/>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年机关运行经费财政拨款预算为14.97万元，比20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val="en-US" w:eastAsia="zh-CN"/>
        </w:rPr>
        <w:t>增加1.02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增加7.3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rPr>
        <w:t>（二）政府采购情况</w:t>
      </w:r>
      <w:r>
        <w:rPr>
          <w:rFonts w:hint="eastAsia" w:ascii="仿宋_GB2312" w:hAnsi="仿宋_GB2312" w:eastAsia="仿宋_GB2312" w:cs="仿宋_GB2312"/>
          <w:b/>
          <w:bCs/>
          <w:sz w:val="32"/>
          <w:szCs w:val="32"/>
        </w:rPr>
        <w:br/>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单位安排政府采购预算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r>
      <w:r>
        <w:rPr>
          <w:rFonts w:hint="eastAsia" w:ascii="仿宋_GB2312" w:hAnsi="仿宋_GB2312" w:eastAsia="仿宋_GB2312" w:cs="仿宋_GB2312"/>
          <w:b/>
          <w:bCs/>
          <w:sz w:val="32"/>
          <w:szCs w:val="32"/>
        </w:rPr>
        <w:t>（三）</w:t>
      </w:r>
      <w:r>
        <w:rPr>
          <w:rFonts w:hint="eastAsia" w:ascii="仿宋_GB2312" w:hAnsi="仿宋_GB2312" w:eastAsia="仿宋_GB2312" w:cs="仿宋_GB2312"/>
          <w:b/>
          <w:bCs/>
          <w:sz w:val="32"/>
          <w:szCs w:val="32"/>
          <w:lang w:val="en-US" w:eastAsia="zh-CN"/>
        </w:rPr>
        <w:t>固定资产情况</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截至202</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年12月31日，我单位</w:t>
      </w:r>
      <w:r>
        <w:rPr>
          <w:rFonts w:hint="eastAsia" w:ascii="仿宋_GB2312" w:hAnsi="仿宋_GB2312" w:eastAsia="仿宋_GB2312" w:cs="仿宋_GB2312"/>
          <w:sz w:val="32"/>
          <w:szCs w:val="32"/>
        </w:rPr>
        <w:t>固定资产</w:t>
      </w:r>
      <w:r>
        <w:rPr>
          <w:rFonts w:hint="eastAsia" w:ascii="仿宋_GB2312" w:hAnsi="仿宋_GB2312" w:eastAsia="仿宋_GB2312" w:cs="仿宋_GB2312"/>
          <w:sz w:val="32"/>
          <w:szCs w:val="32"/>
          <w:lang w:val="en-US" w:eastAsia="zh-CN"/>
        </w:rPr>
        <w:t>总</w:t>
      </w:r>
      <w:r>
        <w:rPr>
          <w:rFonts w:hint="eastAsia" w:ascii="仿宋_GB2312" w:hAnsi="仿宋_GB2312" w:eastAsia="仿宋_GB2312" w:cs="仿宋_GB2312"/>
          <w:sz w:val="32"/>
          <w:szCs w:val="32"/>
        </w:rPr>
        <w:t>价值</w:t>
      </w:r>
      <w:r>
        <w:rPr>
          <w:rFonts w:hint="eastAsia" w:ascii="仿宋_GB2312" w:hAnsi="仿宋_GB2312" w:eastAsia="仿宋_GB2312" w:cs="仿宋_GB2312"/>
          <w:sz w:val="32"/>
          <w:szCs w:val="32"/>
          <w:lang w:val="en-US" w:eastAsia="zh-CN"/>
        </w:rPr>
        <w:t xml:space="preserve">1349899.02 </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pPr>
        <w:pStyle w:val="12"/>
        <w:numPr>
          <w:numId w:val="0"/>
        </w:numPr>
        <w:spacing w:before="0"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eastAsia="zh-CN"/>
        </w:rPr>
        <w:t>（</w:t>
      </w:r>
      <w:r>
        <w:rPr>
          <w:rFonts w:hint="eastAsia" w:ascii="仿宋_GB2312" w:hAnsi="仿宋_GB2312" w:eastAsia="仿宋_GB2312" w:cs="仿宋_GB2312"/>
          <w:b/>
          <w:bCs/>
          <w:kern w:val="2"/>
          <w:sz w:val="32"/>
          <w:szCs w:val="32"/>
          <w:lang w:val="en-US" w:eastAsia="zh-CN"/>
        </w:rPr>
        <w:t>四）</w:t>
      </w:r>
      <w:r>
        <w:rPr>
          <w:rFonts w:hint="eastAsia" w:ascii="仿宋_GB2312" w:hAnsi="仿宋_GB2312" w:eastAsia="仿宋_GB2312" w:cs="仿宋_GB2312"/>
          <w:b/>
          <w:bCs/>
          <w:kern w:val="2"/>
          <w:sz w:val="32"/>
          <w:szCs w:val="32"/>
        </w:rPr>
        <w:t>绩效目标设置情况</w:t>
      </w:r>
      <w:r>
        <w:rPr>
          <w:rFonts w:hint="eastAsia" w:ascii="仿宋_GB2312" w:hAnsi="仿宋_GB2312" w:eastAsia="仿宋_GB2312" w:cs="仿宋_GB2312"/>
          <w:b/>
          <w:bCs/>
          <w:kern w:val="2"/>
          <w:sz w:val="32"/>
          <w:szCs w:val="32"/>
        </w:rPr>
        <w:br/>
      </w:r>
      <w:r>
        <w:rPr>
          <w:rFonts w:hint="eastAsia" w:ascii="仿宋_GB2312" w:hAnsi="仿宋_GB2312" w:eastAsia="仿宋_GB2312" w:cs="仿宋_GB2312"/>
          <w:kern w:val="2"/>
          <w:sz w:val="32"/>
          <w:szCs w:val="32"/>
        </w:rPr>
        <w:t>　　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郫退所</w:t>
      </w:r>
      <w:r>
        <w:rPr>
          <w:rFonts w:hint="eastAsia" w:ascii="仿宋_GB2312" w:hAnsi="仿宋_GB2312" w:eastAsia="仿宋_GB2312" w:cs="仿宋_GB2312"/>
          <w:kern w:val="2"/>
          <w:sz w:val="32"/>
          <w:szCs w:val="32"/>
        </w:rPr>
        <w:t>通用项目和专用项目均按要求实行绩效目标管理，涉及一般公共预算当年拨款</w:t>
      </w:r>
      <w:r>
        <w:rPr>
          <w:rFonts w:hint="eastAsia" w:ascii="仿宋_GB2312" w:hAnsi="仿宋_GB2312" w:eastAsia="仿宋_GB2312" w:cs="仿宋_GB2312"/>
          <w:kern w:val="2"/>
          <w:sz w:val="32"/>
          <w:szCs w:val="32"/>
          <w:lang w:val="en-US" w:eastAsia="zh-CN"/>
        </w:rPr>
        <w:t>25.</w:t>
      </w:r>
      <w:r>
        <w:rPr>
          <w:rFonts w:hint="eastAsia" w:hAnsi="仿宋_GB2312" w:cs="仿宋_GB2312"/>
          <w:kern w:val="2"/>
          <w:sz w:val="32"/>
          <w:szCs w:val="32"/>
          <w:lang w:val="en-US" w:eastAsia="zh-CN"/>
        </w:rPr>
        <w:t>27</w:t>
      </w:r>
      <w:r>
        <w:rPr>
          <w:rFonts w:hint="eastAsia" w:ascii="仿宋_GB2312" w:hAnsi="仿宋_GB2312" w:eastAsia="仿宋_GB2312" w:cs="仿宋_GB2312"/>
          <w:kern w:val="2"/>
          <w:sz w:val="32"/>
          <w:szCs w:val="32"/>
        </w:rPr>
        <w:t>万元。</w:t>
      </w:r>
    </w:p>
    <w:p>
      <w:pPr>
        <w:pStyle w:val="12"/>
        <w:numPr>
          <w:numId w:val="0"/>
        </w:numPr>
        <w:spacing w:before="0" w:line="360" w:lineRule="auto"/>
        <w:rPr>
          <w:rFonts w:hint="eastAsia" w:ascii="仿宋_GB2312" w:hAnsi="仿宋_GB2312" w:eastAsia="仿宋_GB2312" w:cs="仿宋_GB2312"/>
          <w:sz w:val="32"/>
          <w:szCs w:val="32"/>
        </w:rPr>
      </w:pPr>
    </w:p>
    <w:p>
      <w:pPr>
        <w:pStyle w:val="12"/>
        <w:numPr>
          <w:numId w:val="0"/>
        </w:numPr>
        <w:spacing w:before="0" w:line="360" w:lineRule="auto"/>
        <w:rPr>
          <w:rFonts w:hint="eastAsia" w:ascii="仿宋_GB2312" w:hAnsi="仿宋_GB2312" w:eastAsia="仿宋_GB2312" w:cs="仿宋_GB2312"/>
          <w:sz w:val="32"/>
          <w:szCs w:val="32"/>
          <w:lang w:eastAsia="zh-CN"/>
        </w:rPr>
      </w:pPr>
    </w:p>
    <w:p>
      <w:pPr>
        <w:pStyle w:val="12"/>
        <w:numPr>
          <w:numId w:val="0"/>
        </w:numPr>
        <w:spacing w:before="0" w:line="360" w:lineRule="auto"/>
        <w:rPr>
          <w:rFonts w:hint="eastAsia" w:ascii="仿宋_GB2312" w:hAnsi="仿宋_GB2312" w:eastAsia="仿宋_GB2312" w:cs="仿宋_GB2312"/>
          <w:sz w:val="32"/>
          <w:szCs w:val="32"/>
        </w:rPr>
      </w:pPr>
    </w:p>
    <w:p>
      <w:pPr>
        <w:pStyle w:val="12"/>
        <w:numPr>
          <w:numId w:val="0"/>
        </w:numPr>
        <w:spacing w:before="0" w:line="360" w:lineRule="auto"/>
        <w:rPr>
          <w:rFonts w:hint="eastAsia" w:ascii="仿宋_GB2312" w:hAnsi="仿宋_GB2312" w:eastAsia="仿宋_GB2312" w:cs="仿宋_GB2312"/>
          <w:kern w:val="2"/>
          <w:sz w:val="32"/>
          <w:szCs w:val="32"/>
        </w:rPr>
      </w:pPr>
      <w:r>
        <w:rPr>
          <w:rFonts w:hint="eastAsia" w:hAnsi="仿宋_GB2312" w:cs="仿宋_GB2312"/>
          <w:b/>
          <w:bCs/>
          <w:sz w:val="32"/>
          <w:szCs w:val="32"/>
          <w:lang w:val="en-US" w:eastAsia="zh-CN"/>
        </w:rPr>
        <w:t>十名</w:t>
      </w:r>
      <w:r>
        <w:rPr>
          <w:rFonts w:hint="eastAsia" w:ascii="仿宋_GB2312" w:hAnsi="仿宋_GB2312" w:eastAsia="仿宋_GB2312" w:cs="仿宋_GB2312"/>
          <w:b/>
          <w:bCs/>
          <w:sz w:val="32"/>
          <w:szCs w:val="32"/>
        </w:rPr>
        <w:t xml:space="preserve">称解释 </w:t>
      </w:r>
      <w:r>
        <w:rPr>
          <w:rFonts w:hint="eastAsia" w:ascii="仿宋_GB2312" w:hAnsi="仿宋_GB2312" w:eastAsia="仿宋_GB2312" w:cs="仿宋_GB2312"/>
          <w:b/>
          <w:bCs/>
          <w:sz w:val="32"/>
          <w:szCs w:val="32"/>
        </w:rPr>
        <w:br/>
      </w:r>
      <w:r>
        <w:rPr>
          <w:rFonts w:hint="eastAsia" w:ascii="仿宋_GB2312" w:hAnsi="仿宋_GB2312" w:eastAsia="仿宋_GB2312" w:cs="仿宋_GB2312"/>
          <w:sz w:val="32"/>
          <w:szCs w:val="32"/>
        </w:rPr>
        <w:t>　　</w:t>
      </w:r>
      <w:r>
        <w:rPr>
          <w:rFonts w:hint="eastAsia" w:ascii="仿宋_GB2312" w:hAnsi="仿宋_GB2312" w:eastAsia="仿宋_GB2312" w:cs="仿宋_GB2312"/>
          <w:kern w:val="2"/>
          <w:sz w:val="32"/>
          <w:szCs w:val="32"/>
        </w:rPr>
        <w:t>（一）财政拨款收入：指由财政拨款形成的部门收入。按现行管理制度，部门预算中反映的财政拨款仅包括一般公共预算拨款和政府性基金预算拨款。</w:t>
      </w:r>
      <w:r>
        <w:rPr>
          <w:rFonts w:hint="eastAsia" w:ascii="仿宋_GB2312" w:hAnsi="仿宋_GB2312" w:eastAsia="仿宋_GB2312" w:cs="仿宋_GB2312"/>
          <w:kern w:val="2"/>
          <w:sz w:val="32"/>
          <w:szCs w:val="32"/>
        </w:rPr>
        <w:br/>
      </w:r>
      <w:r>
        <w:rPr>
          <w:rFonts w:hint="eastAsia" w:ascii="仿宋_GB2312" w:hAnsi="仿宋_GB2312" w:eastAsia="仿宋_GB2312" w:cs="仿宋_GB2312"/>
          <w:kern w:val="2"/>
          <w:sz w:val="32"/>
          <w:szCs w:val="32"/>
        </w:rPr>
        <w:t>　　（二）事业收入：指所属事业单位开展专业业务活动及辅助活动所取得的收入。</w:t>
      </w:r>
      <w:r>
        <w:rPr>
          <w:rFonts w:hint="eastAsia" w:ascii="仿宋_GB2312" w:hAnsi="仿宋_GB2312" w:eastAsia="仿宋_GB2312" w:cs="仿宋_GB2312"/>
          <w:kern w:val="2"/>
          <w:sz w:val="32"/>
          <w:szCs w:val="32"/>
        </w:rPr>
        <w:br/>
      </w:r>
      <w:r>
        <w:rPr>
          <w:rFonts w:hint="eastAsia" w:ascii="仿宋_GB2312" w:hAnsi="仿宋_GB2312" w:eastAsia="仿宋_GB2312" w:cs="仿宋_GB2312"/>
          <w:kern w:val="2"/>
          <w:sz w:val="32"/>
          <w:szCs w:val="32"/>
        </w:rPr>
        <w:t>　　（三）事业单位经营收入：指所属事业单位在专业业务活动及其辅助活动之外开展非独立核算经营活动取得的收入。</w:t>
      </w:r>
      <w:r>
        <w:rPr>
          <w:rFonts w:hint="eastAsia" w:ascii="仿宋_GB2312" w:hAnsi="仿宋_GB2312" w:eastAsia="仿宋_GB2312" w:cs="仿宋_GB2312"/>
          <w:kern w:val="2"/>
          <w:sz w:val="32"/>
          <w:szCs w:val="32"/>
        </w:rPr>
        <w:br/>
      </w:r>
      <w:r>
        <w:rPr>
          <w:rFonts w:hint="eastAsia" w:ascii="仿宋_GB2312" w:hAnsi="仿宋_GB2312" w:eastAsia="仿宋_GB2312" w:cs="仿宋_GB2312"/>
          <w:kern w:val="2"/>
          <w:sz w:val="32"/>
          <w:szCs w:val="32"/>
        </w:rPr>
        <w:t>　　（四）其他收入：指除上述“财政拨款收入”、“事业收入”、“事业单位经营收入”等以外的收入，主要是所属行政事业单位按规定动用的售房收入、存款利息收入等。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rPr>
        <w:br/>
      </w:r>
      <w:r>
        <w:rPr>
          <w:rFonts w:hint="eastAsia" w:ascii="仿宋_GB2312" w:hAnsi="仿宋_GB2312" w:eastAsia="仿宋_GB2312" w:cs="仿宋_GB2312"/>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rPr>
        <w:br/>
      </w:r>
      <w:r>
        <w:rPr>
          <w:rFonts w:hint="eastAsia" w:ascii="仿宋_GB2312" w:hAnsi="仿宋_GB2312" w:eastAsia="仿宋_GB2312"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党员活动经费：组织干休所党员学习、开展活动、看望慰问党员、买学习资料、订阅党报党刊、支委成员工作补贴、等经费。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老干部活动经费：组织老干部老同志就近就地，回州参观，重大节日慰问，开展各项活动经费等。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院内维修（护）费：干休所院内有化粪池10多处，池子和排污道已老化，排污困难，经常发生堵塞，每年都要多次进行清理和疏通，院内绿化等。</w:t>
      </w:r>
    </w:p>
    <w:p>
      <w:pPr>
        <w:pStyle w:val="12"/>
        <w:numPr>
          <w:numId w:val="0"/>
        </w:numPr>
        <w:spacing w:before="0" w:line="360" w:lineRule="auto"/>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金财网络费：金财</w:t>
      </w:r>
      <w:r>
        <w:rPr>
          <w:rFonts w:hint="eastAsia" w:ascii="仿宋_GB2312" w:hAnsi="仿宋_GB2312" w:eastAsia="仿宋_GB2312" w:cs="仿宋_GB2312"/>
          <w:sz w:val="32"/>
          <w:szCs w:val="32"/>
        </w:rPr>
        <w:t>网络全年网络维修（护）</w:t>
      </w:r>
    </w:p>
    <w:p>
      <w:pPr>
        <w:ind w:firstLine="2240" w:firstLineChars="700"/>
        <w:jc w:val="both"/>
        <w:rPr>
          <w:rFonts w:hint="eastAsia" w:ascii="仿宋" w:hAnsi="仿宋" w:eastAsia="仿宋" w:cs="仿宋"/>
          <w:sz w:val="32"/>
          <w:szCs w:val="32"/>
          <w:lang w:val="en-US" w:eastAsia="zh-CN"/>
        </w:rPr>
      </w:pPr>
    </w:p>
    <w:p>
      <w:pPr>
        <w:ind w:firstLine="2240" w:firstLineChars="700"/>
        <w:jc w:val="both"/>
        <w:rPr>
          <w:rFonts w:hint="eastAsia" w:ascii="仿宋" w:hAnsi="仿宋" w:eastAsia="仿宋" w:cs="仿宋"/>
          <w:sz w:val="32"/>
          <w:szCs w:val="32"/>
          <w:lang w:val="en-US" w:eastAsia="zh-CN"/>
        </w:rPr>
      </w:pPr>
    </w:p>
    <w:p>
      <w:pPr>
        <w:ind w:firstLine="2240" w:firstLineChars="700"/>
        <w:jc w:val="both"/>
        <w:rPr>
          <w:rFonts w:hint="eastAsia" w:ascii="仿宋" w:hAnsi="仿宋" w:eastAsia="仿宋" w:cs="仿宋"/>
          <w:sz w:val="32"/>
          <w:szCs w:val="32"/>
          <w:lang w:val="en-US" w:eastAsia="zh-CN"/>
        </w:rPr>
      </w:pPr>
    </w:p>
    <w:p>
      <w:pPr>
        <w:ind w:firstLine="2240" w:firstLineChars="7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阿坝州州级机关退休干部驻郫都区休养所</w:t>
      </w:r>
    </w:p>
    <w:p>
      <w:pPr>
        <w:ind w:firstLine="2240" w:firstLineChars="700"/>
        <w:jc w:val="both"/>
        <w:rPr>
          <w:rFonts w:hint="eastAsia" w:ascii="仿宋_GB2312" w:hAnsi="仿宋_GB2312" w:eastAsia="仿宋_GB2312" w:cs="仿宋_GB2312"/>
          <w:sz w:val="32"/>
          <w:szCs w:val="32"/>
        </w:rPr>
      </w:pPr>
      <w:r>
        <w:rPr>
          <w:rFonts w:hint="eastAsia" w:ascii="仿宋" w:hAnsi="仿宋" w:eastAsia="仿宋" w:cs="仿宋"/>
          <w:sz w:val="32"/>
          <w:szCs w:val="32"/>
          <w:lang w:val="en-US" w:eastAsia="zh-CN"/>
        </w:rPr>
        <w:t xml:space="preserve">        2024年1月15日</w:t>
      </w: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华文楷体">
    <w:altName w:val="楷体_GB2312"/>
    <w:panose1 w:val="02010600040101010101"/>
    <w:charset w:val="00"/>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866694038">
    <w:nsid w:val="AADE4796"/>
    <w:multiLevelType w:val="singleLevel"/>
    <w:tmpl w:val="AADE4796"/>
    <w:lvl w:ilvl="0" w:tentative="1">
      <w:start w:val="1"/>
      <w:numFmt w:val="chineseCounting"/>
      <w:suff w:val="nothing"/>
      <w:lvlText w:val="（%1）"/>
      <w:lvlJc w:val="left"/>
      <w:pPr>
        <w:ind w:left="0" w:firstLine="0"/>
      </w:pPr>
      <w:rPr>
        <w:rFonts w:hint="eastAsia"/>
      </w:rPr>
    </w:lvl>
  </w:abstractNum>
  <w:num w:numId="1">
    <w:abstractNumId w:val="28666940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1361389"/>
    <w:rsid w:val="019604A9"/>
    <w:rsid w:val="04CB7FEB"/>
    <w:rsid w:val="05952F37"/>
    <w:rsid w:val="07441979"/>
    <w:rsid w:val="0E5A6B98"/>
    <w:rsid w:val="0EB25028"/>
    <w:rsid w:val="12F02E1F"/>
    <w:rsid w:val="14127455"/>
    <w:rsid w:val="16733D65"/>
    <w:rsid w:val="177D4217"/>
    <w:rsid w:val="18D731CF"/>
    <w:rsid w:val="19BB4AC7"/>
    <w:rsid w:val="1A757778"/>
    <w:rsid w:val="1C294840"/>
    <w:rsid w:val="1CE63CF9"/>
    <w:rsid w:val="1D3E4388"/>
    <w:rsid w:val="1E0E375C"/>
    <w:rsid w:val="1ECC2895"/>
    <w:rsid w:val="202A6055"/>
    <w:rsid w:val="20A943A5"/>
    <w:rsid w:val="21E01635"/>
    <w:rsid w:val="24E87C1C"/>
    <w:rsid w:val="276734B3"/>
    <w:rsid w:val="297D0620"/>
    <w:rsid w:val="2A182A1D"/>
    <w:rsid w:val="2C3A179D"/>
    <w:rsid w:val="2FFB21C9"/>
    <w:rsid w:val="316B3C04"/>
    <w:rsid w:val="32E5510F"/>
    <w:rsid w:val="33AB5DD1"/>
    <w:rsid w:val="349D586A"/>
    <w:rsid w:val="38615E10"/>
    <w:rsid w:val="39041D96"/>
    <w:rsid w:val="3B9D52DD"/>
    <w:rsid w:val="3BDD02C5"/>
    <w:rsid w:val="3DCF6DD7"/>
    <w:rsid w:val="3E322D18"/>
    <w:rsid w:val="3FB23A53"/>
    <w:rsid w:val="40631D33"/>
    <w:rsid w:val="44593EB2"/>
    <w:rsid w:val="44DB3186"/>
    <w:rsid w:val="4743487A"/>
    <w:rsid w:val="4ECF74D9"/>
    <w:rsid w:val="50792AFF"/>
    <w:rsid w:val="50795316"/>
    <w:rsid w:val="53366494"/>
    <w:rsid w:val="54540E6A"/>
    <w:rsid w:val="54DB45C6"/>
    <w:rsid w:val="55F8151B"/>
    <w:rsid w:val="5B1146F6"/>
    <w:rsid w:val="5C1A53E7"/>
    <w:rsid w:val="5C3E3E63"/>
    <w:rsid w:val="5E716381"/>
    <w:rsid w:val="5F793330"/>
    <w:rsid w:val="5FC70EB1"/>
    <w:rsid w:val="5FF129C3"/>
    <w:rsid w:val="60DD09F9"/>
    <w:rsid w:val="63184AA0"/>
    <w:rsid w:val="6A100511"/>
    <w:rsid w:val="6EC12DC3"/>
    <w:rsid w:val="72977F10"/>
    <w:rsid w:val="7A9750AD"/>
    <w:rsid w:val="7E2D0D56"/>
    <w:rsid w:val="7E6C4C1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nhideWhenUsed="0" w:uiPriority="0" w:semiHidden="0"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spacing w:before="340" w:after="330" w:line="578" w:lineRule="auto"/>
      <w:outlineLvl w:val="0"/>
    </w:pPr>
    <w:rPr>
      <w:b/>
      <w:bCs/>
      <w:kern w:val="44"/>
      <w:sz w:val="44"/>
    </w:rPr>
  </w:style>
  <w:style w:type="paragraph" w:styleId="5">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9">
    <w:name w:val="Default Paragraph Font"/>
    <w:uiPriority w:val="0"/>
  </w:style>
  <w:style w:type="table" w:default="1" w:styleId="10">
    <w:name w:val="Normal Table"/>
    <w:unhideWhenUsed/>
    <w:uiPriority w:val="99"/>
    <w:tblPr>
      <w:tblStyle w:val="10"/>
      <w:tblLayout w:type="fixed"/>
      <w:tblCellMar>
        <w:top w:w="0" w:type="dxa"/>
        <w:left w:w="108" w:type="dxa"/>
        <w:bottom w:w="0" w:type="dxa"/>
        <w:right w:w="108" w:type="dxa"/>
      </w:tblCellMar>
    </w:tblPr>
    <w:tcPr>
      <w:textDirection w:val="lrTb"/>
    </w:tcPr>
  </w:style>
  <w:style w:type="paragraph" w:styleId="2">
    <w:name w:val="Body Text First Indent 2"/>
    <w:basedOn w:val="3"/>
    <w:next w:val="1"/>
    <w:unhideWhenUsed/>
    <w:uiPriority w:val="99"/>
    <w:pPr>
      <w:ind w:firstLine="420" w:firstLineChars="200"/>
    </w:pPr>
  </w:style>
  <w:style w:type="paragraph" w:styleId="3">
    <w:name w:val="Body Text Indent"/>
    <w:basedOn w:val="1"/>
    <w:next w:val="2"/>
    <w:unhideWhenUsed/>
    <w:uiPriority w:val="99"/>
    <w:pPr>
      <w:widowControl w:val="0"/>
      <w:spacing w:after="120"/>
      <w:ind w:left="200" w:leftChars="200"/>
      <w:jc w:val="both"/>
    </w:pPr>
    <w:rPr>
      <w:rFonts w:ascii="Calibri" w:hAnsi="Calibri" w:eastAsia="宋体" w:cs="Times New Roman"/>
      <w:kern w:val="2"/>
      <w:sz w:val="21"/>
      <w:szCs w:val="22"/>
      <w:lang w:val="en-US" w:eastAsia="zh-CN" w:bidi="ar-SA"/>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 w:type="paragraph" w:customStyle="1" w:styleId="13">
    <w:name w:val="正文1"/>
    <w:qFormat/>
    <w:uiPriority w:val="0"/>
    <w:pPr>
      <w:widowControl w:val="0"/>
      <w:jc w:val="both"/>
    </w:pPr>
    <w:rPr>
      <w:rFonts w:ascii="Calibri" w:hAnsi="Calibri" w:eastAsia="宋体" w:cs="黑体"/>
      <w:sz w:val="21"/>
      <w:szCs w:val="22"/>
      <w:lang w:val="en-US" w:eastAsia="zh-CN" w:bidi="ar-SA"/>
    </w:rPr>
  </w:style>
  <w:style w:type="character" w:customStyle="1" w:styleId="14">
    <w:name w:val="默认段落字体1"/>
    <w:qFormat/>
    <w:uiPriority w:val="0"/>
    <w:rPr>
      <w:sz w:val="22"/>
    </w:rPr>
  </w:style>
  <w:style w:type="character" w:customStyle="1" w:styleId="15">
    <w:name w:val="默认段落字体2"/>
    <w:qFormat/>
    <w:uiPriority w:val="0"/>
    <w:rPr>
      <w:sz w:val="22"/>
    </w:r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ScaleCrop>false</ScaleCrop>
  <LinksUpToDate>false</LinksUpToDate>
  <CharactersWithSpaces>0</CharactersWithSpaces>
  <Application>WPS Office_9.1.0.5218_F1E327BC-269C-435d-A152-05C5408002CA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2022-01-26T05:45:00Z</cp:lastPrinted>
  <dcterms:modified xsi:type="dcterms:W3CDTF">2024-01-16T09:45:20Z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