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黑体" w:eastAsia="黑体"/>
          <w:color w:val="auto"/>
          <w:sz w:val="44"/>
          <w:szCs w:val="44"/>
        </w:rPr>
      </w:pPr>
    </w:p>
    <w:p>
      <w:pPr>
        <w:jc w:val="center"/>
        <w:rPr>
          <w:rFonts w:hint="eastAsia" w:ascii="黑体" w:eastAsia="黑体"/>
          <w:color w:val="auto"/>
          <w:sz w:val="44"/>
          <w:szCs w:val="44"/>
          <w:lang w:val="en-US" w:eastAsia="zh-CN"/>
        </w:rPr>
      </w:pPr>
      <w:r>
        <w:rPr>
          <w:rFonts w:hint="eastAsia" w:ascii="黑体" w:eastAsia="黑体"/>
          <w:color w:val="auto"/>
          <w:sz w:val="44"/>
          <w:szCs w:val="44"/>
          <w:lang w:val="en-US" w:eastAsia="zh-CN"/>
        </w:rPr>
        <w:t>阿坝州州级机关退休干部驻马尔康休养所</w:t>
      </w:r>
      <w:r>
        <w:rPr>
          <w:rFonts w:ascii="黑体" w:eastAsia="黑体"/>
          <w:color w:val="auto"/>
          <w:sz w:val="44"/>
          <w:szCs w:val="44"/>
        </w:rPr>
        <w:t>2</w:t>
      </w:r>
      <w:r>
        <w:rPr>
          <w:rFonts w:hint="eastAsia" w:ascii="黑体" w:eastAsia="黑体"/>
          <w:color w:val="auto"/>
          <w:sz w:val="44"/>
          <w:szCs w:val="44"/>
        </w:rPr>
        <w:t>02</w:t>
      </w:r>
      <w:r>
        <w:rPr>
          <w:rFonts w:hint="eastAsia" w:ascii="黑体" w:eastAsia="黑体"/>
          <w:color w:val="auto"/>
          <w:sz w:val="44"/>
          <w:szCs w:val="44"/>
          <w:lang w:val="en-US" w:eastAsia="zh-CN"/>
        </w:rPr>
        <w:t>4</w:t>
      </w:r>
      <w:r>
        <w:rPr>
          <w:rFonts w:hint="eastAsia" w:ascii="黑体" w:eastAsia="黑体"/>
          <w:color w:val="auto"/>
          <w:sz w:val="44"/>
          <w:szCs w:val="44"/>
        </w:rPr>
        <w:t>年</w:t>
      </w:r>
      <w:r>
        <w:rPr>
          <w:rFonts w:hint="eastAsia" w:ascii="黑体" w:eastAsia="黑体"/>
          <w:color w:val="auto"/>
          <w:sz w:val="44"/>
          <w:szCs w:val="44"/>
          <w:lang w:val="en-US" w:eastAsia="zh-CN"/>
        </w:rPr>
        <w:t>度</w:t>
      </w:r>
      <w:r>
        <w:rPr>
          <w:rFonts w:hint="eastAsia" w:ascii="黑体" w:eastAsia="黑体"/>
          <w:color w:val="auto"/>
          <w:sz w:val="44"/>
          <w:szCs w:val="44"/>
          <w:lang w:eastAsia="zh-CN"/>
        </w:rPr>
        <w:t>单位</w:t>
      </w:r>
      <w:r>
        <w:rPr>
          <w:rFonts w:hint="eastAsia" w:ascii="黑体" w:eastAsia="黑体"/>
          <w:color w:val="auto"/>
          <w:sz w:val="44"/>
          <w:szCs w:val="44"/>
        </w:rPr>
        <w:t>预算</w:t>
      </w:r>
      <w:r>
        <w:rPr>
          <w:rFonts w:hint="eastAsia" w:ascii="黑体" w:eastAsia="黑体"/>
          <w:color w:val="auto"/>
          <w:sz w:val="44"/>
          <w:szCs w:val="44"/>
          <w:lang w:val="en-US" w:eastAsia="zh-CN"/>
        </w:rPr>
        <w:t>公开</w:t>
      </w:r>
    </w:p>
    <w:p>
      <w:pPr>
        <w:ind w:firstLine="1760" w:firstLineChars="400"/>
        <w:jc w:val="center"/>
        <w:rPr>
          <w:rFonts w:ascii="黑体" w:eastAsia="黑体"/>
          <w:color w:val="auto"/>
          <w:sz w:val="44"/>
          <w:szCs w:val="44"/>
        </w:rPr>
      </w:pPr>
    </w:p>
    <w:p>
      <w:pPr>
        <w:ind w:firstLine="1760" w:firstLineChars="400"/>
        <w:jc w:val="center"/>
        <w:rPr>
          <w:rFonts w:ascii="黑体" w:eastAsia="黑体"/>
          <w:color w:val="auto"/>
          <w:sz w:val="44"/>
          <w:szCs w:val="44"/>
        </w:rPr>
      </w:pPr>
    </w:p>
    <w:p>
      <w:pPr>
        <w:ind w:firstLine="1760" w:firstLineChars="400"/>
        <w:jc w:val="center"/>
        <w:rPr>
          <w:rFonts w:ascii="黑体" w:eastAsia="黑体"/>
          <w:color w:val="auto"/>
          <w:sz w:val="44"/>
          <w:szCs w:val="44"/>
        </w:rPr>
      </w:pPr>
    </w:p>
    <w:p>
      <w:pPr>
        <w:ind w:firstLine="1760" w:firstLineChars="400"/>
        <w:jc w:val="center"/>
        <w:rPr>
          <w:rFonts w:ascii="黑体" w:eastAsia="黑体"/>
          <w:color w:val="auto"/>
          <w:sz w:val="44"/>
          <w:szCs w:val="44"/>
        </w:rPr>
      </w:pPr>
    </w:p>
    <w:p>
      <w:pPr>
        <w:ind w:firstLine="1760" w:firstLineChars="400"/>
        <w:jc w:val="center"/>
        <w:rPr>
          <w:rFonts w:ascii="黑体" w:eastAsia="黑体"/>
          <w:color w:val="auto"/>
          <w:sz w:val="44"/>
          <w:szCs w:val="44"/>
        </w:rPr>
      </w:pPr>
    </w:p>
    <w:p>
      <w:pPr>
        <w:ind w:firstLine="1760" w:firstLineChars="400"/>
        <w:jc w:val="center"/>
        <w:rPr>
          <w:rFonts w:ascii="黑体" w:eastAsia="黑体"/>
          <w:color w:val="auto"/>
          <w:sz w:val="44"/>
          <w:szCs w:val="44"/>
        </w:rPr>
      </w:pPr>
    </w:p>
    <w:p>
      <w:pPr>
        <w:ind w:firstLine="1760" w:firstLineChars="400"/>
        <w:jc w:val="center"/>
        <w:rPr>
          <w:rFonts w:ascii="黑体" w:eastAsia="黑体"/>
          <w:color w:val="auto"/>
          <w:sz w:val="44"/>
          <w:szCs w:val="44"/>
        </w:rPr>
      </w:pPr>
    </w:p>
    <w:p>
      <w:pPr>
        <w:ind w:firstLine="1760" w:firstLineChars="400"/>
        <w:jc w:val="center"/>
        <w:rPr>
          <w:rFonts w:ascii="黑体" w:eastAsia="黑体"/>
          <w:color w:val="auto"/>
          <w:sz w:val="44"/>
          <w:szCs w:val="44"/>
        </w:rPr>
      </w:pPr>
    </w:p>
    <w:p>
      <w:pPr>
        <w:ind w:firstLine="1760" w:firstLineChars="400"/>
        <w:jc w:val="center"/>
        <w:rPr>
          <w:rFonts w:ascii="黑体" w:eastAsia="黑体"/>
          <w:color w:val="auto"/>
          <w:sz w:val="44"/>
          <w:szCs w:val="44"/>
        </w:rPr>
      </w:pPr>
    </w:p>
    <w:p>
      <w:pPr>
        <w:ind w:firstLine="1760" w:firstLineChars="400"/>
        <w:jc w:val="center"/>
        <w:rPr>
          <w:rFonts w:ascii="黑体" w:eastAsia="黑体"/>
          <w:color w:val="auto"/>
          <w:sz w:val="44"/>
          <w:szCs w:val="44"/>
        </w:rPr>
      </w:pPr>
    </w:p>
    <w:p>
      <w:pPr>
        <w:ind w:firstLine="1760" w:firstLineChars="400"/>
        <w:jc w:val="center"/>
        <w:rPr>
          <w:rFonts w:hint="eastAsia" w:ascii="黑体" w:eastAsia="黑体"/>
          <w:color w:val="auto"/>
          <w:sz w:val="44"/>
          <w:szCs w:val="44"/>
        </w:rPr>
      </w:pPr>
    </w:p>
    <w:p>
      <w:pPr>
        <w:ind w:firstLine="1280" w:firstLineChars="400"/>
        <w:jc w:val="center"/>
        <w:rPr>
          <w:rFonts w:ascii="黑体" w:eastAsia="黑体"/>
          <w:color w:val="auto"/>
          <w:sz w:val="44"/>
          <w:szCs w:val="44"/>
        </w:rPr>
      </w:pPr>
      <w:r>
        <w:rPr>
          <w:rFonts w:hint="eastAsia" w:ascii="黑体" w:hAnsi="黑体" w:eastAsia="黑体"/>
          <w:color w:val="auto"/>
          <w:sz w:val="32"/>
          <w:szCs w:val="32"/>
          <w:lang w:val="en-US" w:eastAsia="zh-CN"/>
        </w:rPr>
        <w:t>2024</w:t>
      </w:r>
      <w:r>
        <w:rPr>
          <w:rFonts w:hint="eastAsia" w:ascii="黑体" w:hAnsi="黑体" w:eastAsia="黑体"/>
          <w:color w:val="auto"/>
          <w:sz w:val="32"/>
          <w:szCs w:val="32"/>
        </w:rPr>
        <w:t>年</w:t>
      </w:r>
      <w:r>
        <w:rPr>
          <w:rFonts w:hint="eastAsia" w:ascii="黑体" w:hAnsi="黑体" w:eastAsia="黑体"/>
          <w:color w:val="auto"/>
          <w:sz w:val="32"/>
          <w:szCs w:val="32"/>
          <w:lang w:val="en-US" w:eastAsia="zh-CN"/>
        </w:rPr>
        <w:t>1</w:t>
      </w:r>
      <w:r>
        <w:rPr>
          <w:rFonts w:hint="eastAsia" w:ascii="黑体" w:hAnsi="黑体" w:eastAsia="黑体"/>
          <w:color w:val="auto"/>
          <w:sz w:val="32"/>
          <w:szCs w:val="32"/>
        </w:rPr>
        <w:t>月</w:t>
      </w:r>
      <w:r>
        <w:rPr>
          <w:rFonts w:hint="eastAsia" w:ascii="黑体" w:hAnsi="黑体" w:eastAsia="黑体"/>
          <w:color w:val="auto"/>
          <w:sz w:val="32"/>
          <w:szCs w:val="32"/>
          <w:lang w:val="en-US" w:eastAsia="zh-CN"/>
        </w:rPr>
        <w:t>18</w:t>
      </w:r>
      <w:r>
        <w:rPr>
          <w:rFonts w:hint="eastAsia" w:ascii="黑体" w:hAnsi="黑体" w:eastAsia="黑体"/>
          <w:color w:val="auto"/>
          <w:sz w:val="32"/>
          <w:szCs w:val="32"/>
        </w:rPr>
        <w:t>日</w:t>
      </w:r>
    </w:p>
    <w:p>
      <w:pPr>
        <w:ind w:firstLine="1760" w:firstLineChars="400"/>
        <w:jc w:val="center"/>
        <w:rPr>
          <w:rFonts w:ascii="黑体" w:eastAsia="黑体"/>
          <w:color w:val="auto"/>
          <w:sz w:val="44"/>
          <w:szCs w:val="44"/>
        </w:rPr>
      </w:pPr>
    </w:p>
    <w:p>
      <w:pPr>
        <w:ind w:firstLine="1760" w:firstLineChars="400"/>
        <w:jc w:val="center"/>
        <w:rPr>
          <w:rFonts w:ascii="黑体" w:eastAsia="黑体"/>
          <w:color w:val="auto"/>
          <w:sz w:val="44"/>
          <w:szCs w:val="44"/>
        </w:rPr>
      </w:pPr>
    </w:p>
    <w:p>
      <w:pPr>
        <w:rPr>
          <w:rFonts w:ascii="黑体" w:eastAsia="黑体"/>
          <w:color w:val="auto"/>
          <w:sz w:val="44"/>
          <w:szCs w:val="44"/>
        </w:rPr>
      </w:pPr>
    </w:p>
    <w:p>
      <w:pPr>
        <w:pStyle w:val="8"/>
        <w:rPr>
          <w:rFonts w:ascii="黑体" w:eastAsia="黑体"/>
          <w:color w:val="auto"/>
          <w:sz w:val="44"/>
          <w:szCs w:val="44"/>
        </w:rPr>
      </w:pPr>
    </w:p>
    <w:p>
      <w:pPr>
        <w:rPr>
          <w:rFonts w:ascii="黑体" w:eastAsia="黑体"/>
          <w:color w:val="auto"/>
          <w:sz w:val="44"/>
          <w:szCs w:val="44"/>
        </w:rPr>
      </w:pPr>
    </w:p>
    <w:p>
      <w:pPr>
        <w:pStyle w:val="8"/>
        <w:rPr>
          <w:rFonts w:ascii="黑体" w:eastAsia="黑体"/>
          <w:color w:val="auto"/>
          <w:sz w:val="44"/>
          <w:szCs w:val="44"/>
        </w:rPr>
      </w:pPr>
    </w:p>
    <w:p/>
    <w:p>
      <w:pPr>
        <w:ind w:firstLine="3120" w:firstLineChars="600"/>
        <w:rPr>
          <w:rFonts w:ascii="黑体" w:eastAsia="黑体"/>
          <w:color w:val="auto"/>
          <w:sz w:val="52"/>
          <w:szCs w:val="52"/>
        </w:rPr>
      </w:pPr>
      <w:r>
        <w:rPr>
          <w:rFonts w:hint="eastAsia" w:ascii="黑体" w:eastAsia="黑体"/>
          <w:color w:val="auto"/>
          <w:sz w:val="52"/>
          <w:szCs w:val="52"/>
        </w:rPr>
        <w:t>目录</w:t>
      </w:r>
    </w:p>
    <w:p>
      <w:pPr>
        <w:ind w:firstLine="3080" w:firstLineChars="700"/>
        <w:rPr>
          <w:rFonts w:ascii="黑体" w:eastAsia="黑体"/>
          <w:color w:val="auto"/>
          <w:sz w:val="44"/>
          <w:szCs w:val="44"/>
        </w:rPr>
      </w:pPr>
    </w:p>
    <w:p>
      <w:pPr>
        <w:pStyle w:val="13"/>
        <w:ind w:firstLine="0" w:firstLineChars="0"/>
        <w:rPr>
          <w:rFonts w:ascii="黑体" w:eastAsia="黑体"/>
          <w:color w:val="auto"/>
          <w:sz w:val="32"/>
          <w:szCs w:val="32"/>
        </w:rPr>
      </w:pPr>
      <w:r>
        <w:rPr>
          <w:rFonts w:hint="eastAsia" w:ascii="黑体" w:eastAsia="黑体"/>
          <w:color w:val="auto"/>
          <w:sz w:val="32"/>
          <w:szCs w:val="32"/>
        </w:rPr>
        <w:t>一、基本职能及主要工作</w:t>
      </w:r>
    </w:p>
    <w:p>
      <w:pPr>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单位</w:t>
      </w:r>
      <w:r>
        <w:rPr>
          <w:rFonts w:hint="eastAsia" w:ascii="仿宋_GB2312" w:eastAsia="仿宋_GB2312"/>
          <w:color w:val="auto"/>
          <w:sz w:val="32"/>
          <w:szCs w:val="32"/>
        </w:rPr>
        <w:t>职能简介</w:t>
      </w:r>
    </w:p>
    <w:p>
      <w:pPr>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2024</w:t>
      </w:r>
      <w:r>
        <w:rPr>
          <w:rFonts w:hint="eastAsia" w:ascii="仿宋_GB2312" w:eastAsia="仿宋_GB2312"/>
          <w:color w:val="auto"/>
          <w:sz w:val="32"/>
          <w:szCs w:val="32"/>
        </w:rPr>
        <w:t>年重点工作</w:t>
      </w:r>
    </w:p>
    <w:p>
      <w:pPr>
        <w:rPr>
          <w:rFonts w:ascii="黑体" w:eastAsia="黑体"/>
          <w:color w:val="auto"/>
          <w:sz w:val="32"/>
          <w:szCs w:val="32"/>
        </w:rPr>
      </w:pPr>
      <w:r>
        <w:rPr>
          <w:rFonts w:hint="eastAsia" w:ascii="黑体" w:eastAsia="黑体"/>
          <w:color w:val="auto"/>
          <w:sz w:val="32"/>
          <w:szCs w:val="32"/>
        </w:rPr>
        <w:t>二、</w:t>
      </w:r>
      <w:r>
        <w:rPr>
          <w:rFonts w:hint="eastAsia" w:ascii="黑体" w:eastAsia="黑体"/>
          <w:color w:val="auto"/>
          <w:sz w:val="32"/>
          <w:szCs w:val="32"/>
          <w:lang w:eastAsia="zh-CN"/>
        </w:rPr>
        <w:t>单位</w:t>
      </w:r>
      <w:r>
        <w:rPr>
          <w:rFonts w:hint="eastAsia" w:ascii="黑体" w:eastAsia="黑体"/>
          <w:color w:val="auto"/>
          <w:sz w:val="32"/>
          <w:szCs w:val="32"/>
        </w:rPr>
        <w:t>预算单位构成</w:t>
      </w:r>
    </w:p>
    <w:p>
      <w:pPr>
        <w:rPr>
          <w:rFonts w:ascii="黑体" w:eastAsia="黑体"/>
          <w:color w:val="auto"/>
          <w:sz w:val="32"/>
          <w:szCs w:val="32"/>
        </w:rPr>
      </w:pPr>
      <w:r>
        <w:rPr>
          <w:rFonts w:hint="eastAsia" w:ascii="黑体" w:eastAsia="黑体"/>
          <w:color w:val="auto"/>
          <w:sz w:val="32"/>
          <w:szCs w:val="32"/>
        </w:rPr>
        <w:t>三、收支预算情况说明</w:t>
      </w:r>
    </w:p>
    <w:p>
      <w:pPr>
        <w:rPr>
          <w:rFonts w:ascii="仿宋_GB2312" w:eastAsia="仿宋_GB2312"/>
          <w:color w:val="auto"/>
          <w:sz w:val="32"/>
          <w:szCs w:val="32"/>
        </w:rPr>
      </w:pPr>
      <w:r>
        <w:rPr>
          <w:rFonts w:hint="eastAsia" w:ascii="黑体" w:eastAsia="黑体"/>
          <w:color w:val="auto"/>
          <w:sz w:val="32"/>
          <w:szCs w:val="32"/>
        </w:rPr>
        <w:t>（</w:t>
      </w:r>
      <w:r>
        <w:rPr>
          <w:rFonts w:hint="eastAsia" w:ascii="仿宋_GB2312" w:eastAsia="仿宋_GB2312"/>
          <w:color w:val="auto"/>
          <w:sz w:val="32"/>
          <w:szCs w:val="32"/>
        </w:rPr>
        <w:t>一）收入预算情况</w:t>
      </w:r>
    </w:p>
    <w:p>
      <w:pPr>
        <w:rPr>
          <w:rFonts w:ascii="仿宋_GB2312" w:eastAsia="仿宋_GB2312"/>
          <w:color w:val="auto"/>
          <w:sz w:val="32"/>
          <w:szCs w:val="32"/>
        </w:rPr>
      </w:pPr>
      <w:r>
        <w:rPr>
          <w:rFonts w:hint="eastAsia" w:ascii="仿宋_GB2312" w:eastAsia="仿宋_GB2312"/>
          <w:color w:val="auto"/>
          <w:sz w:val="32"/>
          <w:szCs w:val="32"/>
        </w:rPr>
        <w:t>（二）支出预算情况</w:t>
      </w:r>
    </w:p>
    <w:p>
      <w:pPr>
        <w:rPr>
          <w:rFonts w:ascii="黑体" w:eastAsia="黑体"/>
          <w:color w:val="auto"/>
          <w:sz w:val="32"/>
          <w:szCs w:val="32"/>
        </w:rPr>
      </w:pPr>
      <w:r>
        <w:rPr>
          <w:rFonts w:hint="eastAsia" w:ascii="黑体" w:eastAsia="黑体"/>
          <w:color w:val="auto"/>
          <w:sz w:val="32"/>
          <w:szCs w:val="32"/>
        </w:rPr>
        <w:t>四、财政拨款收支预算情况说明</w:t>
      </w:r>
    </w:p>
    <w:p>
      <w:pPr>
        <w:rPr>
          <w:rFonts w:ascii="黑体" w:eastAsia="黑体"/>
          <w:color w:val="auto"/>
          <w:sz w:val="32"/>
          <w:szCs w:val="32"/>
        </w:rPr>
      </w:pPr>
      <w:r>
        <w:rPr>
          <w:rFonts w:hint="eastAsia" w:ascii="黑体" w:eastAsia="黑体"/>
          <w:color w:val="auto"/>
          <w:sz w:val="32"/>
          <w:szCs w:val="32"/>
        </w:rPr>
        <w:t>五、一般公共预算当年拨款情况说明</w:t>
      </w:r>
    </w:p>
    <w:p>
      <w:pPr>
        <w:rPr>
          <w:rFonts w:hint="eastAsia" w:ascii="仿宋_GB2312" w:eastAsia="仿宋_GB2312"/>
          <w:color w:val="auto"/>
          <w:sz w:val="32"/>
          <w:szCs w:val="32"/>
          <w:lang w:eastAsia="zh-CN"/>
        </w:rPr>
      </w:pPr>
      <w:r>
        <w:rPr>
          <w:rFonts w:hint="eastAsia" w:ascii="仿宋_GB2312" w:eastAsia="仿宋_GB2312"/>
          <w:color w:val="auto"/>
          <w:sz w:val="32"/>
          <w:szCs w:val="32"/>
        </w:rPr>
        <w:t>（一）一般公共预算当年拨款规模变化情况</w:t>
      </w:r>
    </w:p>
    <w:p>
      <w:pPr>
        <w:rPr>
          <w:rFonts w:hint="eastAsia" w:ascii="仿宋_GB2312" w:eastAsia="仿宋_GB2312"/>
          <w:color w:val="auto"/>
          <w:sz w:val="32"/>
          <w:szCs w:val="32"/>
          <w:lang w:eastAsia="zh-CN"/>
        </w:rPr>
      </w:pPr>
      <w:r>
        <w:rPr>
          <w:rFonts w:hint="eastAsia" w:ascii="仿宋_GB2312" w:eastAsia="仿宋_GB2312"/>
          <w:color w:val="auto"/>
          <w:sz w:val="32"/>
          <w:szCs w:val="32"/>
        </w:rPr>
        <w:t>（二）一般公共预算当年拨款结构情况</w:t>
      </w:r>
    </w:p>
    <w:p>
      <w:pPr>
        <w:rPr>
          <w:rFonts w:hint="eastAsia" w:ascii="仿宋_GB2312" w:eastAsia="仿宋_GB2312"/>
          <w:color w:val="auto"/>
          <w:sz w:val="32"/>
          <w:szCs w:val="32"/>
          <w:lang w:eastAsia="zh-CN"/>
        </w:rPr>
      </w:pPr>
      <w:r>
        <w:rPr>
          <w:rFonts w:hint="eastAsia" w:ascii="仿宋_GB2312" w:eastAsia="仿宋_GB2312"/>
          <w:color w:val="auto"/>
          <w:sz w:val="32"/>
          <w:szCs w:val="32"/>
        </w:rPr>
        <w:t>（三）一般公共预算当年拨款具体使用情况</w:t>
      </w:r>
    </w:p>
    <w:p>
      <w:pPr>
        <w:rPr>
          <w:rFonts w:hint="eastAsia" w:ascii="黑体" w:eastAsia="黑体"/>
          <w:color w:val="auto"/>
          <w:sz w:val="32"/>
          <w:szCs w:val="32"/>
          <w:lang w:eastAsia="zh-CN"/>
        </w:rPr>
      </w:pPr>
      <w:r>
        <w:rPr>
          <w:rFonts w:hint="eastAsia" w:ascii="黑体" w:eastAsia="黑体"/>
          <w:color w:val="auto"/>
          <w:sz w:val="32"/>
          <w:szCs w:val="32"/>
        </w:rPr>
        <w:t>六、一般公共预算基本支出情况说明</w:t>
      </w:r>
    </w:p>
    <w:p>
      <w:pPr>
        <w:rPr>
          <w:rFonts w:hint="eastAsia" w:ascii="黑体" w:eastAsia="黑体"/>
          <w:color w:val="auto"/>
          <w:sz w:val="32"/>
          <w:szCs w:val="32"/>
          <w:lang w:eastAsia="zh-CN"/>
        </w:rPr>
      </w:pPr>
      <w:r>
        <w:rPr>
          <w:rFonts w:hint="eastAsia" w:ascii="黑体" w:eastAsia="黑体"/>
          <w:color w:val="auto"/>
          <w:sz w:val="32"/>
          <w:szCs w:val="32"/>
        </w:rPr>
        <w:t>七、“三公”经费财政拨款预算安排情况说明</w:t>
      </w:r>
    </w:p>
    <w:p>
      <w:pPr>
        <w:rPr>
          <w:rFonts w:hint="eastAsia" w:ascii="黑体" w:eastAsia="黑体"/>
          <w:color w:val="auto"/>
          <w:sz w:val="32"/>
          <w:szCs w:val="32"/>
          <w:lang w:eastAsia="zh-CN"/>
        </w:rPr>
      </w:pPr>
      <w:r>
        <w:rPr>
          <w:rFonts w:hint="eastAsia" w:ascii="黑体" w:eastAsia="黑体"/>
          <w:color w:val="auto"/>
          <w:sz w:val="32"/>
          <w:szCs w:val="32"/>
        </w:rPr>
        <w:t>八、政府性基金预算支出情况说明</w:t>
      </w:r>
    </w:p>
    <w:p>
      <w:pPr>
        <w:rPr>
          <w:rFonts w:hint="eastAsia" w:ascii="黑体" w:eastAsia="黑体"/>
          <w:color w:val="auto"/>
          <w:sz w:val="32"/>
          <w:szCs w:val="32"/>
          <w:lang w:eastAsia="zh-CN"/>
        </w:rPr>
      </w:pPr>
      <w:r>
        <w:rPr>
          <w:rFonts w:hint="eastAsia" w:ascii="黑体" w:eastAsia="黑体"/>
          <w:color w:val="auto"/>
          <w:sz w:val="32"/>
          <w:szCs w:val="32"/>
        </w:rPr>
        <w:t>九、其他重要事项的情况说明</w:t>
      </w:r>
    </w:p>
    <w:p>
      <w:pPr>
        <w:rPr>
          <w:rFonts w:ascii="黑体" w:eastAsia="黑体"/>
          <w:color w:val="auto"/>
          <w:sz w:val="32"/>
          <w:szCs w:val="32"/>
        </w:rPr>
      </w:pPr>
      <w:r>
        <w:rPr>
          <w:rFonts w:hint="eastAsia" w:ascii="黑体" w:eastAsia="黑体"/>
          <w:color w:val="auto"/>
          <w:sz w:val="32"/>
          <w:szCs w:val="32"/>
        </w:rPr>
        <w:t>十、名称解释</w:t>
      </w:r>
    </w:p>
    <w:p>
      <w:pPr>
        <w:widowControl/>
        <w:shd w:val="clear" w:color="auto" w:fill="FFFFFF"/>
        <w:spacing w:before="100" w:beforeAutospacing="1" w:after="100" w:afterAutospacing="1" w:line="290" w:lineRule="atLeast"/>
        <w:ind w:right="300"/>
        <w:jc w:val="left"/>
        <w:rPr>
          <w:rFonts w:ascii="??" w:hAnsi="??" w:cs="宋体"/>
          <w:color w:val="auto"/>
          <w:kern w:val="0"/>
          <w:sz w:val="12"/>
          <w:szCs w:val="12"/>
        </w:rPr>
      </w:pPr>
    </w:p>
    <w:p>
      <w:pPr>
        <w:pStyle w:val="2"/>
        <w:rPr>
          <w:rFonts w:ascii="??" w:hAnsi="??" w:cs="宋体"/>
          <w:color w:val="auto"/>
          <w:kern w:val="0"/>
          <w:sz w:val="12"/>
          <w:szCs w:val="12"/>
        </w:rPr>
      </w:pPr>
    </w:p>
    <w:p/>
    <w:p>
      <w:pPr>
        <w:pStyle w:val="13"/>
        <w:ind w:firstLine="0" w:firstLineChars="0"/>
        <w:rPr>
          <w:rFonts w:ascii="黑体" w:eastAsia="黑体"/>
          <w:color w:val="auto"/>
          <w:sz w:val="32"/>
          <w:szCs w:val="32"/>
        </w:rPr>
      </w:pPr>
      <w:r>
        <w:rPr>
          <w:rFonts w:hint="eastAsia" w:ascii="黑体" w:eastAsia="黑体"/>
          <w:color w:val="auto"/>
          <w:sz w:val="32"/>
          <w:szCs w:val="32"/>
        </w:rPr>
        <w:t>一、基本职能及主要工作</w:t>
      </w:r>
    </w:p>
    <w:p>
      <w:pPr>
        <w:numPr>
          <w:ilvl w:val="0"/>
          <w:numId w:val="1"/>
        </w:numPr>
        <w:rPr>
          <w:rFonts w:ascii="仿宋_GB2312" w:eastAsia="仿宋_GB2312"/>
          <w:color w:val="auto"/>
          <w:sz w:val="32"/>
          <w:szCs w:val="32"/>
        </w:rPr>
      </w:pPr>
      <w:r>
        <w:rPr>
          <w:rFonts w:hint="eastAsia" w:ascii="仿宋_GB2312" w:eastAsia="仿宋_GB2312"/>
          <w:color w:val="auto"/>
          <w:sz w:val="32"/>
          <w:szCs w:val="32"/>
          <w:lang w:eastAsia="zh-CN"/>
        </w:rPr>
        <w:t>单位</w:t>
      </w:r>
      <w:r>
        <w:rPr>
          <w:rFonts w:hint="eastAsia" w:ascii="仿宋_GB2312" w:eastAsia="仿宋_GB2312"/>
          <w:color w:val="auto"/>
          <w:sz w:val="32"/>
          <w:szCs w:val="32"/>
        </w:rPr>
        <w:t>职能简介</w:t>
      </w:r>
    </w:p>
    <w:p>
      <w:pPr>
        <w:keepNext w:val="0"/>
        <w:keepLines w:val="0"/>
        <w:pageBreakBefore w:val="0"/>
        <w:kinsoku/>
        <w:wordWrap/>
        <w:overflowPunct/>
        <w:topLinePunct w:val="0"/>
        <w:autoSpaceDE/>
        <w:bidi w:val="0"/>
        <w:adjustRightInd/>
        <w:snapToGrid w:val="0"/>
        <w:spacing w:beforeAutospacing="0" w:afterAutospacing="0" w:line="572" w:lineRule="exact"/>
        <w:ind w:left="0" w:leftChars="0" w:right="0" w:firstLine="640" w:firstLineChars="200"/>
        <w:rPr>
          <w:rFonts w:hint="eastAsia"/>
          <w:color w:val="auto"/>
          <w:lang w:val="en-US" w:eastAsia="zh-CN"/>
        </w:rPr>
      </w:pPr>
      <w:r>
        <w:rPr>
          <w:rFonts w:hint="eastAsia" w:ascii="仿宋_GB2312" w:hAnsi="仿宋" w:eastAsia="仿宋_GB2312"/>
          <w:sz w:val="32"/>
          <w:szCs w:val="32"/>
        </w:rPr>
        <w:t>主要职能。</w:t>
      </w:r>
      <w:r>
        <w:rPr>
          <w:rFonts w:hint="eastAsia" w:ascii="仿宋_GB2312" w:hAnsi="Calibri" w:eastAsia="仿宋_GB2312" w:cs="仿宋_GB2312"/>
          <w:kern w:val="2"/>
          <w:sz w:val="32"/>
          <w:szCs w:val="32"/>
          <w:lang w:val="en-US" w:eastAsia="zh-CN" w:bidi="ar-SA"/>
        </w:rPr>
        <w:t>根据根据阿编发［1997］3号文件规定，按照中办发（2016）3号文件要求，阿坝州州级退休干部驻马尔康修养所主要职责是负责居住在马尔康干休所退休干部及马尔康地区的州级机关离退休党员的管理服务工作；对居住在阿坝州内的离休干部、副厅级退休干部宏观管理；管理好马尔康地区老干部活动中心；贯彻落实宣传好党和国家关于老干部工作的政策。让老干部感到老有所管，老有所学，老有所医，老有所乐；让管辖范围内老同志满意，营造很好的社会敬老氛围。</w:t>
      </w:r>
      <w:bookmarkStart w:id="0" w:name="_GoBack"/>
      <w:bookmarkEnd w:id="0"/>
    </w:p>
    <w:p>
      <w:pPr>
        <w:rPr>
          <w:rFonts w:hint="eastAsia"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2024</w:t>
      </w:r>
      <w:r>
        <w:rPr>
          <w:rFonts w:hint="eastAsia" w:ascii="仿宋_GB2312" w:eastAsia="仿宋_GB2312"/>
          <w:color w:val="auto"/>
          <w:sz w:val="32"/>
          <w:szCs w:val="32"/>
        </w:rPr>
        <w:t>年重点工作</w:t>
      </w:r>
    </w:p>
    <w:p>
      <w:pPr>
        <w:keepNext w:val="0"/>
        <w:keepLines w:val="0"/>
        <w:pageBreakBefore w:val="0"/>
        <w:widowControl w:val="0"/>
        <w:numPr>
          <w:ilvl w:val="0"/>
          <w:numId w:val="0"/>
        </w:numPr>
        <w:kinsoku/>
        <w:wordWrap/>
        <w:overflowPunct/>
        <w:topLinePunct w:val="0"/>
        <w:autoSpaceDE/>
        <w:autoSpaceDN/>
        <w:bidi w:val="0"/>
        <w:adjustRightInd/>
        <w:snapToGrid/>
        <w:spacing w:before="0" w:line="6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2024年主要工作任务是：</w:t>
      </w:r>
    </w:p>
    <w:p>
      <w:pPr>
        <w:keepNext w:val="0"/>
        <w:keepLines w:val="0"/>
        <w:pageBreakBefore w:val="0"/>
        <w:widowControl w:val="0"/>
        <w:numPr>
          <w:ilvl w:val="0"/>
          <w:numId w:val="0"/>
        </w:numPr>
        <w:kinsoku/>
        <w:wordWrap/>
        <w:overflowPunct/>
        <w:topLinePunct w:val="0"/>
        <w:autoSpaceDE/>
        <w:autoSpaceDN/>
        <w:bidi w:val="0"/>
        <w:adjustRightInd/>
        <w:snapToGrid/>
        <w:spacing w:before="0" w:line="62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1.常态化开展离退休老干部服务工作</w:t>
      </w:r>
    </w:p>
    <w:p>
      <w:pPr>
        <w:keepNext w:val="0"/>
        <w:keepLines w:val="0"/>
        <w:pageBreakBefore w:val="0"/>
        <w:widowControl w:val="0"/>
        <w:numPr>
          <w:ilvl w:val="0"/>
          <w:numId w:val="0"/>
        </w:numPr>
        <w:kinsoku/>
        <w:wordWrap/>
        <w:overflowPunct/>
        <w:topLinePunct w:val="0"/>
        <w:autoSpaceDE/>
        <w:autoSpaceDN/>
        <w:bidi w:val="0"/>
        <w:adjustRightInd/>
        <w:snapToGrid/>
        <w:spacing w:before="0" w:line="620" w:lineRule="exact"/>
        <w:ind w:firstLine="640" w:firstLineChars="200"/>
        <w:textAlignment w:val="auto"/>
        <w:rPr>
          <w:rFonts w:ascii="仿宋" w:eastAsia="仿宋"/>
          <w:color w:val="333333"/>
          <w:sz w:val="32"/>
          <w:szCs w:val="28"/>
        </w:rPr>
      </w:pPr>
      <w:r>
        <w:rPr>
          <w:rFonts w:hint="eastAsia" w:ascii="仿宋" w:eastAsia="仿宋"/>
          <w:color w:val="333333"/>
          <w:sz w:val="32"/>
          <w:szCs w:val="28"/>
        </w:rPr>
        <w:t>强化</w:t>
      </w:r>
      <w:r>
        <w:rPr>
          <w:rFonts w:hint="eastAsia" w:ascii="仿宋" w:eastAsia="仿宋"/>
          <w:color w:val="333333"/>
          <w:sz w:val="32"/>
          <w:szCs w:val="28"/>
          <w:lang w:val="en-US" w:eastAsia="zh-CN"/>
        </w:rPr>
        <w:t>阿坝州州级机关退休干部驻马尔康休养所党支部</w:t>
      </w:r>
      <w:r>
        <w:rPr>
          <w:rFonts w:hint="eastAsia" w:ascii="仿宋" w:eastAsia="仿宋"/>
          <w:color w:val="333333"/>
          <w:sz w:val="32"/>
          <w:szCs w:val="28"/>
        </w:rPr>
        <w:t>支部建设。把“三会一课”作为党内工作的重要抓手，确保内容和效果到位</w:t>
      </w:r>
      <w:r>
        <w:rPr>
          <w:rFonts w:ascii="仿宋" w:eastAsia="仿宋"/>
          <w:color w:val="333333"/>
          <w:sz w:val="32"/>
          <w:szCs w:val="28"/>
        </w:rPr>
        <w:t>，同时把学习教育和关心关爱紧密结合。</w:t>
      </w:r>
    </w:p>
    <w:p>
      <w:pPr>
        <w:keepNext w:val="0"/>
        <w:keepLines w:val="0"/>
        <w:pageBreakBefore w:val="0"/>
        <w:widowControl w:val="0"/>
        <w:numPr>
          <w:ilvl w:val="0"/>
          <w:numId w:val="0"/>
        </w:numPr>
        <w:kinsoku/>
        <w:wordWrap/>
        <w:overflowPunct/>
        <w:topLinePunct w:val="0"/>
        <w:autoSpaceDE/>
        <w:autoSpaceDN/>
        <w:bidi w:val="0"/>
        <w:adjustRightInd/>
        <w:snapToGrid/>
        <w:spacing w:before="0" w:line="6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2.加强干部队伍建设</w:t>
      </w:r>
    </w:p>
    <w:p>
      <w:pPr>
        <w:keepNext w:val="0"/>
        <w:keepLines w:val="0"/>
        <w:pageBreakBefore w:val="0"/>
        <w:widowControl w:val="0"/>
        <w:numPr>
          <w:ilvl w:val="0"/>
          <w:numId w:val="0"/>
        </w:numPr>
        <w:kinsoku/>
        <w:wordWrap/>
        <w:overflowPunct/>
        <w:topLinePunct w:val="0"/>
        <w:autoSpaceDE/>
        <w:autoSpaceDN/>
        <w:bidi w:val="0"/>
        <w:adjustRightInd/>
        <w:snapToGrid/>
        <w:spacing w:before="0" w:line="620" w:lineRule="exact"/>
        <w:ind w:firstLine="640" w:firstLineChars="200"/>
        <w:textAlignment w:val="auto"/>
        <w:rPr>
          <w:color w:val="auto"/>
        </w:rPr>
      </w:pPr>
      <w:r>
        <w:rPr>
          <w:rFonts w:hint="eastAsia" w:ascii="仿宋_GB2312" w:hAnsi="仿宋_GB2312" w:eastAsia="仿宋_GB2312" w:cs="仿宋_GB2312"/>
          <w:color w:val="auto"/>
          <w:sz w:val="32"/>
          <w:szCs w:val="32"/>
          <w:lang w:val="en-US" w:eastAsia="zh-CN"/>
        </w:rPr>
        <w:t>着力从“强化规矩意识、提振精神状态、提高工作效能、提升服务水平”四个方面加强作风建设；着力完善制度建设，实现“不能腐”的目标；着力开展“大学习”活动，提高干部队伍业务水平。履行好离退休干部工作职能，确保各项重大决策的贯彻落实和工作的高效运转。</w:t>
      </w:r>
    </w:p>
    <w:p>
      <w:pPr>
        <w:rPr>
          <w:rFonts w:ascii="黑体" w:eastAsia="黑体"/>
          <w:color w:val="auto"/>
          <w:sz w:val="32"/>
          <w:szCs w:val="32"/>
        </w:rPr>
      </w:pPr>
      <w:r>
        <w:rPr>
          <w:rFonts w:hint="eastAsia" w:ascii="黑体" w:eastAsia="黑体"/>
          <w:color w:val="auto"/>
          <w:sz w:val="32"/>
          <w:szCs w:val="32"/>
        </w:rPr>
        <w:t>二、</w:t>
      </w:r>
      <w:r>
        <w:rPr>
          <w:rFonts w:hint="eastAsia" w:ascii="黑体" w:eastAsia="黑体"/>
          <w:color w:val="auto"/>
          <w:sz w:val="32"/>
          <w:szCs w:val="32"/>
          <w:lang w:eastAsia="zh-CN"/>
        </w:rPr>
        <w:t>单位</w:t>
      </w:r>
      <w:r>
        <w:rPr>
          <w:rFonts w:hint="eastAsia" w:ascii="黑体" w:eastAsia="黑体"/>
          <w:color w:val="auto"/>
          <w:sz w:val="32"/>
          <w:szCs w:val="32"/>
        </w:rPr>
        <w:t>预算单位构成</w:t>
      </w:r>
    </w:p>
    <w:p>
      <w:pPr>
        <w:pStyle w:val="13"/>
        <w:numPr>
          <w:ilvl w:val="0"/>
          <w:numId w:val="0"/>
        </w:numPr>
        <w:ind w:leftChars="0" w:firstLine="640" w:firstLineChars="200"/>
        <w:rPr>
          <w:rFonts w:hint="eastAsia" w:ascii="仿宋_GB2312" w:hAnsi="仿宋_GB2312" w:eastAsia="仿宋_GB2312" w:cs="仿宋_GB2312"/>
          <w:color w:val="auto"/>
          <w:sz w:val="32"/>
          <w:szCs w:val="32"/>
          <w:lang w:eastAsia="zh-CN"/>
        </w:rPr>
      </w:pPr>
      <w:r>
        <w:rPr>
          <w:rFonts w:hint="eastAsia" w:ascii="仿宋_GB2312" w:hAnsi="Calibri" w:eastAsia="仿宋_GB2312" w:cs="仿宋_GB2312"/>
          <w:kern w:val="2"/>
          <w:sz w:val="32"/>
          <w:szCs w:val="32"/>
          <w:lang w:val="en-US" w:eastAsia="zh-CN" w:bidi="ar-SA"/>
        </w:rPr>
        <w:t>马尔康干休所属州本级一级预算</w:t>
      </w:r>
      <w:r>
        <w:rPr>
          <w:rFonts w:hint="eastAsia" w:ascii="仿宋_GB2312" w:hAnsi="仿宋_GB2312" w:eastAsia="仿宋_GB2312" w:cs="仿宋_GB2312"/>
          <w:color w:val="auto"/>
          <w:sz w:val="32"/>
          <w:szCs w:val="32"/>
        </w:rPr>
        <w:t>参照公务员法管理的事业</w:t>
      </w:r>
      <w:r>
        <w:rPr>
          <w:rFonts w:hint="eastAsia" w:ascii="仿宋_GB2312" w:hAnsi="Calibri" w:eastAsia="仿宋_GB2312" w:cs="仿宋_GB2312"/>
          <w:kern w:val="2"/>
          <w:sz w:val="32"/>
          <w:szCs w:val="32"/>
          <w:lang w:val="en-US" w:eastAsia="zh-CN" w:bidi="ar-SA"/>
        </w:rPr>
        <w:t>单位，执行行政财会制度，阿坝州委老干部局是上级主管单位，无下属二级预算单。2023年12月新进一名人员，2024年1月起薪。</w:t>
      </w:r>
      <w:r>
        <w:rPr>
          <w:rFonts w:hint="eastAsia" w:ascii="仿宋_GB2312" w:eastAsia="仿宋_GB2312" w:cs="仿宋_GB2312"/>
          <w:kern w:val="2"/>
          <w:sz w:val="32"/>
          <w:szCs w:val="32"/>
          <w:lang w:val="en-US" w:eastAsia="zh-CN" w:bidi="ar-SA"/>
        </w:rPr>
        <w:t>2024年初</w:t>
      </w:r>
      <w:r>
        <w:rPr>
          <w:rFonts w:hint="eastAsia" w:ascii="仿宋_GB2312" w:hAnsi="仿宋_GB2312" w:eastAsia="仿宋_GB2312" w:cs="仿宋_GB2312"/>
          <w:color w:val="auto"/>
          <w:sz w:val="32"/>
          <w:szCs w:val="32"/>
        </w:rPr>
        <w:t>参照公务员法管理的事业单位</w:t>
      </w:r>
      <w:r>
        <w:rPr>
          <w:rFonts w:hint="eastAsia" w:ascii="仿宋_GB2312" w:hAnsi="仿宋_GB2312" w:eastAsia="仿宋_GB2312" w:cs="仿宋_GB2312"/>
          <w:color w:val="auto"/>
          <w:sz w:val="32"/>
          <w:szCs w:val="32"/>
          <w:lang w:val="en-US" w:eastAsia="zh-CN"/>
        </w:rPr>
        <w:t>人员合7名，离休人员1名，退休5人</w:t>
      </w:r>
      <w:r>
        <w:rPr>
          <w:rFonts w:hint="eastAsia" w:ascii="仿宋_GB2312" w:hAnsi="仿宋_GB2312" w:eastAsia="仿宋_GB2312" w:cs="仿宋_GB2312"/>
          <w:color w:val="auto"/>
          <w:sz w:val="32"/>
          <w:szCs w:val="32"/>
          <w:lang w:eastAsia="zh-CN"/>
        </w:rPr>
        <w:t>。</w:t>
      </w:r>
    </w:p>
    <w:p>
      <w:pPr>
        <w:pStyle w:val="13"/>
        <w:numPr>
          <w:ilvl w:val="0"/>
          <w:numId w:val="0"/>
        </w:numPr>
        <w:ind w:leftChars="0" w:firstLine="643" w:firstLineChars="200"/>
        <w:rPr>
          <w:rFonts w:ascii="黑体" w:eastAsia="黑体"/>
          <w:color w:val="auto"/>
          <w:sz w:val="32"/>
          <w:szCs w:val="32"/>
        </w:rPr>
      </w:pPr>
      <w:r>
        <w:rPr>
          <w:rFonts w:hint="eastAsia" w:ascii="黑体" w:hAnsi="黑体" w:eastAsia="黑体" w:cs="黑体"/>
          <w:b/>
          <w:bCs/>
          <w:color w:val="auto"/>
          <w:sz w:val="32"/>
          <w:szCs w:val="32"/>
        </w:rPr>
        <w:t>三、</w:t>
      </w:r>
      <w:r>
        <w:rPr>
          <w:rFonts w:hint="eastAsia" w:ascii="黑体" w:eastAsia="黑体"/>
          <w:color w:val="auto"/>
          <w:sz w:val="32"/>
          <w:szCs w:val="32"/>
        </w:rPr>
        <w:t>收支预算情况说明</w:t>
      </w:r>
    </w:p>
    <w:p>
      <w:pPr>
        <w:numPr>
          <w:ilvl w:val="0"/>
          <w:numId w:val="2"/>
        </w:numPr>
        <w:ind w:left="0" w:firstLine="640" w:firstLineChars="200"/>
        <w:jc w:val="left"/>
        <w:rPr>
          <w:rFonts w:ascii="仿宋_GB2312" w:eastAsia="仿宋_GB2312"/>
          <w:color w:val="auto"/>
          <w:sz w:val="32"/>
          <w:szCs w:val="32"/>
        </w:rPr>
      </w:pPr>
      <w:r>
        <w:rPr>
          <w:rFonts w:hint="eastAsia" w:ascii="仿宋_GB2312" w:eastAsia="仿宋_GB2312"/>
          <w:color w:val="auto"/>
          <w:sz w:val="32"/>
          <w:szCs w:val="32"/>
        </w:rPr>
        <w:t>收入预算情况</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lang w:eastAsia="zh-CN"/>
        </w:rPr>
        <w:drawing>
          <wp:anchor distT="0" distB="0" distL="114300" distR="114300" simplePos="0" relativeHeight="251659264" behindDoc="0" locked="0" layoutInCell="1" allowOverlap="1">
            <wp:simplePos x="0" y="0"/>
            <wp:positionH relativeFrom="column">
              <wp:posOffset>1410970</wp:posOffset>
            </wp:positionH>
            <wp:positionV relativeFrom="paragraph">
              <wp:posOffset>581660</wp:posOffset>
            </wp:positionV>
            <wp:extent cx="3830955" cy="2340610"/>
            <wp:effectExtent l="4445" t="4445" r="5080" b="1714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仿宋_GB2312" w:hAnsi="仿宋_GB2312" w:eastAsia="仿宋_GB2312" w:cs="仿宋_GB2312"/>
          <w:color w:val="auto"/>
          <w:sz w:val="32"/>
          <w:szCs w:val="32"/>
          <w:lang w:eastAsia="zh-CN"/>
        </w:rPr>
        <w:t>我</w:t>
      </w:r>
      <w:r>
        <w:rPr>
          <w:rFonts w:hint="eastAsia" w:ascii="仿宋_GB2312" w:hAnsi="仿宋_GB2312" w:eastAsia="仿宋_GB2312" w:cs="仿宋_GB2312"/>
          <w:color w:val="auto"/>
          <w:sz w:val="32"/>
          <w:szCs w:val="32"/>
        </w:rPr>
        <w:t>单位</w:t>
      </w:r>
      <w:r>
        <w:rPr>
          <w:rFonts w:hint="eastAsia" w:ascii="仿宋_GB2312" w:hAnsi="仿宋_GB2312" w:eastAsia="仿宋_GB2312" w:cs="仿宋_GB2312"/>
          <w:color w:val="auto"/>
          <w:sz w:val="32"/>
          <w:szCs w:val="32"/>
          <w:lang w:eastAsia="zh-CN"/>
        </w:rPr>
        <w:t>2024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度财政拨款预算收入合计为292.29</w:t>
      </w:r>
      <w:r>
        <w:rPr>
          <w:rFonts w:hint="eastAsia" w:ascii="仿宋_GB2312" w:hAnsi="仿宋_GB2312" w:eastAsia="仿宋_GB2312" w:cs="仿宋_GB2312"/>
          <w:color w:val="auto"/>
          <w:sz w:val="32"/>
          <w:szCs w:val="32"/>
        </w:rPr>
        <w:t>万元，一般公共预算拨款收入</w:t>
      </w:r>
      <w:r>
        <w:rPr>
          <w:rFonts w:hint="eastAsia" w:ascii="仿宋_GB2312" w:hAnsi="仿宋_GB2312" w:eastAsia="仿宋_GB2312" w:cs="仿宋_GB2312"/>
          <w:color w:val="auto"/>
          <w:sz w:val="32"/>
          <w:szCs w:val="32"/>
          <w:lang w:val="en-US" w:eastAsia="zh-CN"/>
        </w:rPr>
        <w:t>292.29</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%；事业收入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%；其他收入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w:t>
      </w:r>
    </w:p>
    <w:p>
      <w:pPr>
        <w:numPr>
          <w:ilvl w:val="0"/>
          <w:numId w:val="2"/>
        </w:numPr>
        <w:ind w:left="0" w:leftChars="0" w:firstLine="640" w:firstLineChars="200"/>
        <w:jc w:val="left"/>
        <w:rPr>
          <w:rFonts w:hint="eastAsia" w:ascii="仿宋_GB2312" w:eastAsia="仿宋_GB2312" w:cs="仿宋_GB2312"/>
          <w:color w:val="auto"/>
          <w:sz w:val="32"/>
          <w:szCs w:val="32"/>
        </w:rPr>
      </w:pPr>
      <w:r>
        <w:rPr>
          <w:rFonts w:hint="eastAsia" w:ascii="仿宋_GB2312" w:eastAsia="仿宋_GB2312" w:cs="仿宋_GB2312"/>
          <w:color w:val="auto"/>
          <w:sz w:val="32"/>
          <w:szCs w:val="32"/>
        </w:rPr>
        <w:t>支出预算情况</w:t>
      </w:r>
    </w:p>
    <w:p>
      <w:pPr>
        <w:numPr>
          <w:ilvl w:val="0"/>
          <w:numId w:val="0"/>
        </w:numPr>
        <w:ind w:leftChars="200"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我</w:t>
      </w:r>
      <w:r>
        <w:rPr>
          <w:rFonts w:hint="eastAsia" w:ascii="仿宋_GB2312" w:hAnsi="仿宋_GB2312" w:eastAsia="仿宋_GB2312" w:cs="仿宋_GB2312"/>
          <w:color w:val="auto"/>
          <w:sz w:val="32"/>
          <w:szCs w:val="32"/>
        </w:rPr>
        <w:t>单位</w:t>
      </w:r>
      <w:r>
        <w:rPr>
          <w:rFonts w:hint="eastAsia" w:ascii="仿宋_GB2312" w:hAnsi="仿宋_GB2312" w:eastAsia="仿宋_GB2312" w:cs="仿宋_GB2312"/>
          <w:color w:val="auto"/>
          <w:sz w:val="32"/>
          <w:szCs w:val="32"/>
          <w:lang w:eastAsia="zh-CN"/>
        </w:rPr>
        <w:t>2024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度财政拨款预算收入合计为267.29万元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其中：基本支出</w:t>
      </w:r>
      <w:r>
        <w:rPr>
          <w:rFonts w:hint="eastAsia" w:ascii="仿宋_GB2312" w:hAnsi="仿宋_GB2312" w:eastAsia="仿宋_GB2312" w:cs="仿宋_GB2312"/>
          <w:color w:val="auto"/>
          <w:sz w:val="32"/>
          <w:szCs w:val="32"/>
          <w:lang w:val="en-US" w:eastAsia="zh-CN"/>
        </w:rPr>
        <w:t>225.89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占</w:t>
      </w:r>
      <w:r>
        <w:rPr>
          <w:rFonts w:hint="eastAsia" w:ascii="仿宋_GB2312" w:hAnsi="仿宋_GB2312" w:eastAsia="仿宋_GB2312" w:cs="仿宋_GB2312"/>
          <w:color w:val="auto"/>
          <w:sz w:val="32"/>
          <w:szCs w:val="32"/>
          <w:lang w:val="en-US" w:eastAsia="zh-CN"/>
        </w:rPr>
        <w:t>占总支出84.51</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41.4</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占总支出15.49%</w:t>
      </w:r>
      <w:r>
        <w:rPr>
          <w:rFonts w:hint="eastAsia" w:ascii="仿宋_GB2312" w:hAnsi="仿宋_GB2312" w:eastAsia="仿宋_GB2312" w:cs="仿宋_GB2312"/>
          <w:color w:val="auto"/>
          <w:sz w:val="32"/>
          <w:szCs w:val="32"/>
        </w:rPr>
        <w:t>。</w:t>
      </w:r>
    </w:p>
    <w:p>
      <w:pPr>
        <w:pStyle w:val="2"/>
        <w:ind w:left="0" w:leftChars="0" w:firstLine="0" w:firstLineChars="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drawing>
          <wp:inline distT="0" distB="0" distL="114300" distR="114300">
            <wp:extent cx="5804535" cy="2955925"/>
            <wp:effectExtent l="4445" t="4445" r="12700"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rPr>
          <w:rFonts w:hint="eastAsia" w:ascii="黑体" w:eastAsia="黑体"/>
          <w:color w:val="auto"/>
          <w:sz w:val="32"/>
          <w:szCs w:val="32"/>
          <w:lang w:eastAsia="zh-CN"/>
        </w:rPr>
      </w:pPr>
      <w:r>
        <w:rPr>
          <w:rFonts w:hint="eastAsia" w:ascii="黑体" w:eastAsia="黑体"/>
          <w:color w:val="auto"/>
          <w:sz w:val="32"/>
          <w:szCs w:val="32"/>
        </w:rPr>
        <w:t>四、财政拨款收支预算情况说明</w:t>
      </w:r>
    </w:p>
    <w:p>
      <w:pPr>
        <w:rPr>
          <w:rFonts w:ascii="ˎ̥" w:hAnsi="ˎ̥" w:cs="宋体"/>
          <w:color w:val="auto"/>
          <w:sz w:val="16"/>
        </w:rPr>
      </w:pPr>
      <w:r>
        <w:rPr>
          <w:rFonts w:hint="eastAsia" w:ascii="仿宋_GB2312" w:hAnsi="仿宋_GB2312" w:eastAsia="仿宋_GB2312" w:cs="仿宋_GB2312"/>
          <w:color w:val="auto"/>
          <w:sz w:val="32"/>
          <w:szCs w:val="32"/>
          <w:lang w:val="en-US" w:eastAsia="zh-CN"/>
        </w:rPr>
        <w:t>　2024年，财政预算收入总额267。29万元，较上年略有下降；财政拨款预算支出总额267.29万元，同比上年略有增长，</w:t>
      </w:r>
      <w:r>
        <w:rPr>
          <w:rFonts w:hint="eastAsia" w:ascii="仿宋_GB2312" w:eastAsia="仿宋_GB2312"/>
          <w:color w:val="auto"/>
          <w:sz w:val="32"/>
          <w:szCs w:val="32"/>
        </w:rPr>
        <w:t>主要原因:</w:t>
      </w:r>
      <w:r>
        <w:rPr>
          <w:rFonts w:hint="eastAsia" w:ascii="仿宋_GB2312" w:eastAsia="仿宋_GB2312"/>
          <w:color w:val="auto"/>
          <w:sz w:val="32"/>
          <w:szCs w:val="32"/>
          <w:lang w:val="en-US" w:eastAsia="zh-CN"/>
        </w:rPr>
        <w:t>人员增加及增加一个项目</w:t>
      </w:r>
      <w:r>
        <w:rPr>
          <w:rFonts w:hint="eastAsia" w:ascii="仿宋_GB2312" w:eastAsia="仿宋_GB2312"/>
          <w:color w:val="auto"/>
          <w:sz w:val="32"/>
          <w:szCs w:val="32"/>
          <w:lang w:eastAsia="zh-CN"/>
        </w:rPr>
        <w:t>。</w:t>
      </w:r>
    </w:p>
    <w:p>
      <w:pPr>
        <w:spacing w:line="540" w:lineRule="exact"/>
        <w:ind w:firstLine="640" w:firstLineChars="200"/>
        <w:rPr>
          <w:rFonts w:hint="eastAsia" w:ascii="仿宋_GB2312" w:eastAsia="仿宋_GB2312" w:cs="仿宋_GB2312"/>
          <w:color w:val="auto"/>
          <w:sz w:val="32"/>
          <w:szCs w:val="32"/>
        </w:rPr>
      </w:pPr>
      <w:r>
        <w:rPr>
          <w:rFonts w:hint="eastAsia" w:ascii="仿宋_GB2312" w:eastAsia="仿宋_GB2312" w:cs="仿宋_GB2312"/>
          <w:color w:val="auto"/>
          <w:sz w:val="32"/>
          <w:szCs w:val="32"/>
          <w:lang w:val="en-US" w:eastAsia="zh-CN"/>
        </w:rPr>
        <w:t>财政拨款</w:t>
      </w:r>
      <w:r>
        <w:rPr>
          <w:rFonts w:hint="eastAsia" w:ascii="仿宋_GB2312" w:eastAsia="仿宋_GB2312" w:cs="仿宋_GB2312"/>
          <w:color w:val="auto"/>
          <w:sz w:val="32"/>
          <w:szCs w:val="32"/>
        </w:rPr>
        <w:t>收入包括：</w:t>
      </w:r>
      <w:r>
        <w:rPr>
          <w:rFonts w:hint="eastAsia" w:ascii="仿宋_GB2312" w:hAnsi="仿宋_GB2312" w:eastAsia="仿宋_GB2312" w:cs="仿宋_GB2312"/>
          <w:color w:val="auto"/>
          <w:sz w:val="32"/>
          <w:szCs w:val="32"/>
        </w:rPr>
        <w:t>本年一般公共预算</w:t>
      </w:r>
      <w:r>
        <w:rPr>
          <w:rFonts w:hint="eastAsia" w:ascii="仿宋_GB2312" w:hAnsi="仿宋_GB2312" w:eastAsia="仿宋_GB2312" w:cs="仿宋_GB2312"/>
          <w:color w:val="auto"/>
          <w:sz w:val="32"/>
          <w:szCs w:val="32"/>
          <w:lang w:val="en-US" w:eastAsia="zh-CN"/>
        </w:rPr>
        <w:t>财政</w:t>
      </w:r>
      <w:r>
        <w:rPr>
          <w:rFonts w:hint="eastAsia" w:ascii="仿宋_GB2312" w:hAnsi="仿宋_GB2312" w:eastAsia="仿宋_GB2312" w:cs="仿宋_GB2312"/>
          <w:color w:val="auto"/>
          <w:sz w:val="32"/>
          <w:szCs w:val="32"/>
        </w:rPr>
        <w:t>拨款收入</w:t>
      </w:r>
      <w:r>
        <w:rPr>
          <w:rFonts w:hint="eastAsia" w:ascii="仿宋_GB2312" w:hAnsi="仿宋_GB2312" w:eastAsia="仿宋_GB2312" w:cs="仿宋_GB2312"/>
          <w:color w:val="auto"/>
          <w:sz w:val="32"/>
          <w:szCs w:val="32"/>
          <w:lang w:val="en-US" w:eastAsia="zh-CN"/>
        </w:rPr>
        <w:t>267.29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比</w:t>
      </w:r>
      <w:r>
        <w:rPr>
          <w:rFonts w:hint="eastAsia" w:ascii="仿宋_GB2312" w:hAnsi="仿宋_GB2312" w:eastAsia="仿宋_GB2312" w:cs="仿宋_GB2312"/>
          <w:color w:val="auto"/>
          <w:sz w:val="32"/>
          <w:szCs w:val="32"/>
          <w:lang w:val="en-US" w:eastAsia="zh-CN"/>
        </w:rPr>
        <w:t>2023年</w:t>
      </w:r>
      <w:r>
        <w:rPr>
          <w:rFonts w:hint="eastAsia" w:ascii="仿宋_GB2312" w:hAnsi="仿宋_GB2312" w:eastAsia="仿宋_GB2312" w:cs="仿宋_GB2312"/>
          <w:color w:val="auto"/>
          <w:sz w:val="32"/>
          <w:szCs w:val="32"/>
        </w:rPr>
        <w:t>一般公共预算拨款收入</w:t>
      </w:r>
      <w:r>
        <w:rPr>
          <w:rFonts w:hint="eastAsia" w:ascii="仿宋_GB2312" w:hAnsi="仿宋_GB2312" w:eastAsia="仿宋_GB2312" w:cs="仿宋_GB2312"/>
          <w:color w:val="auto"/>
          <w:sz w:val="32"/>
          <w:szCs w:val="32"/>
          <w:lang w:val="en-US" w:eastAsia="zh-CN"/>
        </w:rPr>
        <w:t>264.58万元增加2.71万元，增长1.01%。</w:t>
      </w:r>
      <w:r>
        <w:rPr>
          <w:rFonts w:hint="eastAsia" w:ascii="仿宋_GB2312" w:eastAsia="仿宋_GB2312" w:cs="仿宋_GB2312"/>
          <w:color w:val="auto"/>
          <w:sz w:val="32"/>
          <w:szCs w:val="32"/>
          <w:lang w:val="en-US" w:eastAsia="zh-CN"/>
        </w:rPr>
        <w:t>财政拨款</w:t>
      </w:r>
      <w:r>
        <w:rPr>
          <w:rFonts w:hint="eastAsia" w:ascii="仿宋_GB2312" w:eastAsia="仿宋_GB2312" w:cs="仿宋_GB2312"/>
          <w:color w:val="auto"/>
          <w:sz w:val="32"/>
          <w:szCs w:val="32"/>
        </w:rPr>
        <w:t>支出包括：</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一般公共服务支出220.00万元，</w:t>
      </w:r>
      <w:r>
        <w:rPr>
          <w:rFonts w:hint="eastAsia" w:ascii="仿宋_GB2312" w:hAnsi="仿宋_GB2312" w:eastAsia="仿宋_GB2312" w:cs="仿宋_GB2312"/>
          <w:color w:val="auto"/>
          <w:sz w:val="32"/>
          <w:szCs w:val="32"/>
        </w:rPr>
        <w:t>主要用于</w:t>
      </w:r>
      <w:r>
        <w:rPr>
          <w:rFonts w:hint="eastAsia" w:ascii="仿宋_GB2312" w:hAnsi="仿宋_GB2312" w:eastAsia="仿宋_GB2312" w:cs="仿宋_GB2312"/>
          <w:color w:val="auto"/>
          <w:sz w:val="32"/>
          <w:szCs w:val="32"/>
          <w:lang w:val="en-US" w:eastAsia="zh-CN"/>
        </w:rPr>
        <w:t>工资支付等。</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社会保障和就业支出</w:t>
      </w:r>
      <w:r>
        <w:rPr>
          <w:rFonts w:hint="eastAsia" w:ascii="仿宋_GB2312" w:hAnsi="仿宋_GB2312" w:eastAsia="仿宋_GB2312" w:cs="仿宋_GB2312"/>
          <w:color w:val="auto"/>
          <w:sz w:val="32"/>
          <w:szCs w:val="32"/>
          <w:lang w:val="en-US" w:eastAsia="zh-CN"/>
        </w:rPr>
        <w:t>24.87</w:t>
      </w:r>
      <w:r>
        <w:rPr>
          <w:rFonts w:hint="eastAsia" w:ascii="仿宋_GB2312" w:hAnsi="仿宋_GB2312" w:eastAsia="仿宋_GB2312" w:cs="仿宋_GB2312"/>
          <w:color w:val="auto"/>
          <w:sz w:val="32"/>
          <w:szCs w:val="32"/>
        </w:rPr>
        <w:t>万元，主要用于</w:t>
      </w:r>
      <w:r>
        <w:rPr>
          <w:rFonts w:hint="eastAsia" w:ascii="仿宋_GB2312" w:hAnsi="仿宋_GB2312" w:eastAsia="仿宋_GB2312" w:cs="仿宋_GB2312"/>
          <w:color w:val="auto"/>
          <w:sz w:val="32"/>
          <w:szCs w:val="32"/>
          <w:lang w:val="en-US" w:eastAsia="zh-CN"/>
        </w:rPr>
        <w:t>保险支付等。</w:t>
      </w:r>
      <w:r>
        <w:rPr>
          <w:rFonts w:hint="eastAsia" w:ascii="仿宋_GB2312" w:hAnsi="仿宋_GB2312" w:eastAsia="仿宋_GB2312" w:cs="仿宋_GB2312"/>
          <w:color w:val="auto"/>
          <w:sz w:val="32"/>
          <w:szCs w:val="32"/>
          <w:lang w:eastAsia="zh-CN"/>
        </w:rPr>
        <w:t>卫生健康</w:t>
      </w:r>
      <w:r>
        <w:rPr>
          <w:rFonts w:hint="eastAsia" w:ascii="仿宋_GB2312" w:hAnsi="仿宋_GB2312" w:eastAsia="仿宋_GB2312" w:cs="仿宋_GB2312"/>
          <w:color w:val="auto"/>
          <w:sz w:val="32"/>
          <w:szCs w:val="32"/>
        </w:rPr>
        <w:t>支出</w:t>
      </w:r>
      <w:r>
        <w:rPr>
          <w:rFonts w:hint="eastAsia" w:ascii="仿宋_GB2312" w:hAnsi="仿宋_GB2312" w:eastAsia="仿宋_GB2312" w:cs="仿宋_GB2312"/>
          <w:color w:val="auto"/>
          <w:sz w:val="32"/>
          <w:szCs w:val="32"/>
          <w:lang w:val="en-US" w:eastAsia="zh-CN"/>
        </w:rPr>
        <w:t>10.28</w:t>
      </w:r>
      <w:r>
        <w:rPr>
          <w:rFonts w:hint="eastAsia" w:ascii="仿宋_GB2312" w:hAnsi="仿宋_GB2312" w:eastAsia="仿宋_GB2312" w:cs="仿宋_GB2312"/>
          <w:color w:val="auto"/>
          <w:sz w:val="32"/>
          <w:szCs w:val="32"/>
        </w:rPr>
        <w:t>万元，主要用于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2101101（行政单位医疗），包括干部职工每月的医疗保险、失业保险、大病保险；2101102（事业单位医疗）；2101103（公务员医疗补助），包括干部职工每月的公务员医疗保险。2101199（其他行政事业单位医疗支出），包括干部职工的其他社会保险，如失业保险、工伤保险、生育保险等。</w:t>
      </w:r>
    </w:p>
    <w:p>
      <w:pPr>
        <w:pStyle w:val="2"/>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drawing>
          <wp:inline distT="0" distB="0" distL="114300" distR="114300">
            <wp:extent cx="5677535" cy="2895600"/>
            <wp:effectExtent l="4445" t="4445" r="17780" b="1079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rPr>
          <w:rFonts w:hint="eastAsia"/>
          <w:lang w:val="en-US" w:eastAsia="zh-CN"/>
        </w:rPr>
      </w:pPr>
    </w:p>
    <w:p>
      <w:pPr>
        <w:pStyle w:val="8"/>
        <w:rPr>
          <w:color w:val="auto"/>
        </w:rPr>
      </w:pPr>
      <w:r>
        <w:rPr>
          <w:rFonts w:hint="eastAsia" w:ascii="仿宋_GB2312" w:hAnsi="仿宋_GB2312" w:eastAsia="仿宋_GB2312" w:cs="仿宋_GB2312"/>
          <w:color w:val="auto"/>
          <w:sz w:val="32"/>
          <w:szCs w:val="32"/>
        </w:rPr>
        <w:t>住房保障支出</w:t>
      </w:r>
      <w:r>
        <w:rPr>
          <w:rFonts w:hint="eastAsia" w:ascii="仿宋_GB2312" w:hAnsi="仿宋_GB2312" w:eastAsia="仿宋_GB2312" w:cs="仿宋_GB2312"/>
          <w:color w:val="auto"/>
          <w:sz w:val="32"/>
          <w:szCs w:val="32"/>
          <w:lang w:val="en-US" w:eastAsia="zh-CN"/>
        </w:rPr>
        <w:t>12.13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用于职工住房公积金</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包括干部职工每月的住房公积金。</w:t>
      </w:r>
    </w:p>
    <w:p>
      <w:pPr>
        <w:rPr>
          <w:rFonts w:ascii="黑体" w:eastAsia="黑体"/>
          <w:color w:val="auto"/>
          <w:sz w:val="32"/>
          <w:szCs w:val="32"/>
        </w:rPr>
      </w:pPr>
      <w:r>
        <w:rPr>
          <w:rFonts w:hint="eastAsia" w:ascii="黑体" w:eastAsia="黑体"/>
          <w:color w:val="auto"/>
          <w:sz w:val="32"/>
          <w:szCs w:val="32"/>
        </w:rPr>
        <w:t>五、一般公共预算当年拨款情况说明</w:t>
      </w:r>
    </w:p>
    <w:p>
      <w:pPr>
        <w:pStyle w:val="14"/>
        <w:spacing w:before="0" w:line="360" w:lineRule="auto"/>
        <w:ind w:firstLine="660"/>
        <w:rPr>
          <w:rFonts w:hint="eastAsia" w:ascii="仿宋_GB2312" w:hAnsi="Calibri" w:eastAsia="仿宋_GB2312" w:cs="仿宋_GB2312"/>
          <w:color w:val="auto"/>
          <w:kern w:val="2"/>
          <w:sz w:val="32"/>
          <w:szCs w:val="32"/>
          <w:lang w:val="en-US" w:eastAsia="zh-CN" w:bidi="ar-SA"/>
        </w:rPr>
      </w:pPr>
      <w:r>
        <w:rPr>
          <w:rFonts w:hint="eastAsia" w:ascii="仿宋_GB2312" w:hAnsi="Calibri" w:eastAsia="仿宋_GB2312" w:cs="仿宋_GB2312"/>
          <w:color w:val="auto"/>
          <w:kern w:val="2"/>
          <w:sz w:val="32"/>
          <w:szCs w:val="32"/>
          <w:lang w:val="en-US" w:eastAsia="zh-CN" w:bidi="ar-SA"/>
        </w:rPr>
        <w:t>（一）一般公共预算当年拨款规模变化情况</w:t>
      </w:r>
    </w:p>
    <w:p>
      <w:pPr>
        <w:spacing w:line="540" w:lineRule="exact"/>
        <w:ind w:firstLine="640" w:firstLineChars="200"/>
        <w:rPr>
          <w:rFonts w:hint="eastAsia" w:ascii="仿宋_GB2312" w:hAnsi="Calibri" w:eastAsia="仿宋_GB2312" w:cs="仿宋_GB2312"/>
          <w:color w:val="auto"/>
          <w:kern w:val="2"/>
          <w:sz w:val="32"/>
          <w:szCs w:val="32"/>
          <w:lang w:val="en-US" w:eastAsia="zh-CN" w:bidi="ar-SA"/>
        </w:rPr>
      </w:pPr>
      <w:r>
        <w:rPr>
          <w:rFonts w:hint="eastAsia" w:ascii="仿宋_GB2312" w:hAnsi="Calibri" w:eastAsia="仿宋_GB2312" w:cs="仿宋_GB2312"/>
          <w:color w:val="auto"/>
          <w:kern w:val="2"/>
          <w:sz w:val="32"/>
          <w:szCs w:val="32"/>
          <w:lang w:val="en-US" w:eastAsia="zh-CN" w:bidi="ar-SA"/>
        </w:rPr>
        <w:t>我单位2024年一般公共预算当年拨款264.58万元，预算项目和本年无新增财返。</w:t>
      </w:r>
    </w:p>
    <w:p>
      <w:pPr>
        <w:pStyle w:val="14"/>
        <w:spacing w:before="0" w:line="360" w:lineRule="auto"/>
        <w:ind w:left="651" w:leftChars="310"/>
        <w:rPr>
          <w:rFonts w:hint="eastAsia" w:eastAsia="仿宋_GB2312" w:cs="宋体"/>
          <w:color w:val="auto"/>
          <w:sz w:val="32"/>
          <w:szCs w:val="32"/>
          <w:lang w:eastAsia="zh-CN"/>
        </w:rPr>
      </w:pPr>
      <w:r>
        <w:rPr>
          <w:rFonts w:hint="eastAsia" w:cs="宋体"/>
          <w:color w:val="auto"/>
          <w:sz w:val="32"/>
          <w:szCs w:val="32"/>
        </w:rPr>
        <w:t>（二）一般公共预算当年拨款结构情况</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一般公共服务支出220.00万元，占总支出83.15%；</w:t>
      </w:r>
      <w:r>
        <w:rPr>
          <w:rFonts w:hint="eastAsia" w:ascii="仿宋_GB2312" w:hAnsi="仿宋_GB2312" w:eastAsia="仿宋_GB2312" w:cs="仿宋_GB2312"/>
          <w:color w:val="auto"/>
          <w:sz w:val="32"/>
          <w:szCs w:val="32"/>
        </w:rPr>
        <w:t>社会保障和就业支出</w:t>
      </w:r>
      <w:r>
        <w:rPr>
          <w:rFonts w:hint="eastAsia" w:ascii="仿宋_GB2312" w:hAnsi="仿宋_GB2312" w:eastAsia="仿宋_GB2312" w:cs="仿宋_GB2312"/>
          <w:color w:val="auto"/>
          <w:sz w:val="32"/>
          <w:szCs w:val="32"/>
          <w:lang w:val="en-US" w:eastAsia="zh-CN"/>
        </w:rPr>
        <w:t>24.87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，占总支出9.4%，卫生健康支出10.28万元，占总支出的3.89%；住房保障支出12.13万元，占3.56%。</w:t>
      </w:r>
    </w:p>
    <w:p>
      <w:pPr>
        <w:pStyle w:val="14"/>
        <w:spacing w:before="0" w:line="360" w:lineRule="auto"/>
        <w:ind w:firstLine="660"/>
        <w:rPr>
          <w:rFonts w:cs="仿宋_GB2312"/>
          <w:color w:val="auto"/>
          <w:kern w:val="2"/>
          <w:sz w:val="32"/>
          <w:szCs w:val="32"/>
        </w:rPr>
      </w:pPr>
      <w:r>
        <w:rPr>
          <w:rFonts w:hint="eastAsia" w:cs="仿宋_GB2312"/>
          <w:color w:val="auto"/>
          <w:kern w:val="2"/>
          <w:sz w:val="32"/>
          <w:szCs w:val="32"/>
        </w:rPr>
        <w:t>（三）一般公共预算当年拨款具体使用情况</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Calibri" w:eastAsia="仿宋_GB2312" w:cs="仿宋_GB2312"/>
          <w:color w:val="auto"/>
          <w:kern w:val="2"/>
          <w:sz w:val="32"/>
          <w:szCs w:val="32"/>
          <w:lang w:val="en-US" w:eastAsia="zh-CN" w:bidi="ar-SA"/>
        </w:rPr>
      </w:pPr>
      <w:r>
        <w:rPr>
          <w:rFonts w:hint="eastAsia" w:ascii="仿宋_GB2312" w:hAnsi="Calibri" w:eastAsia="仿宋_GB2312" w:cs="仿宋_GB2312"/>
          <w:color w:val="auto"/>
          <w:kern w:val="2"/>
          <w:sz w:val="32"/>
          <w:szCs w:val="32"/>
          <w:lang w:val="en-US" w:eastAsia="zh-CN" w:bidi="ar-SA"/>
        </w:rPr>
        <w:t>1.一般公共预算基本支出225.89万元，2024年预算数为41.4万元，主要用于：一是人员经费203.6万元。包括干部职工每月的医疗保险、失业保险、大病保险；2101101（行政单位医疗）7.26万元；2101103（公务员医疗补助）3.03万元。主要包括：基本工资、津贴补贴、奖金、其他社会保障缴费、绩效工资、机关事业单位基本养老保险缴费、职业年金缴费、其他工资福利支出、离休费、奖励金、住房公积金、其他对个人和家庭的补助支出。二是公用经费22.29万元，主要包括：办公费、印刷费、手续费、水费、电费、邮电费、差旅费、维修（护）费、租赁费、会议费、培训费、劳务费、工会经费、福利费、其他交通工具运行维护费、其他商品和服务支出。</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2.一般公共预算项目支出41.4万元。离退休党员活动费、离退休机构运营维修维护费、活动中心阳光棚搭建等费用。</w:t>
      </w:r>
    </w:p>
    <w:p>
      <w:pPr>
        <w:pStyle w:val="14"/>
        <w:spacing w:before="0" w:line="360" w:lineRule="auto"/>
        <w:ind w:firstLine="660"/>
        <w:rPr>
          <w:rFonts w:ascii="黑体" w:eastAsia="黑体"/>
          <w:color w:val="auto"/>
          <w:sz w:val="32"/>
          <w:szCs w:val="32"/>
        </w:rPr>
      </w:pPr>
      <w:r>
        <w:rPr>
          <w:rFonts w:hint="eastAsia" w:ascii="黑体" w:eastAsia="黑体"/>
          <w:color w:val="auto"/>
          <w:sz w:val="32"/>
          <w:szCs w:val="32"/>
        </w:rPr>
        <w:t>六、一般公共预算基本支出情况说明</w:t>
      </w:r>
    </w:p>
    <w:p>
      <w:pPr>
        <w:pStyle w:val="14"/>
        <w:spacing w:before="0" w:line="360" w:lineRule="auto"/>
        <w:ind w:firstLine="640" w:firstLineChars="200"/>
        <w:rPr>
          <w:rFonts w:hint="eastAsia" w:eastAsia="仿宋_GB2312" w:cs="仿宋_GB2312"/>
          <w:color w:val="auto"/>
          <w:kern w:val="2"/>
          <w:sz w:val="32"/>
          <w:szCs w:val="32"/>
          <w:lang w:eastAsia="zh-CN"/>
        </w:rPr>
      </w:pPr>
      <w:r>
        <w:rPr>
          <w:rFonts w:hint="eastAsia" w:ascii="仿宋_GB2312" w:hAnsi="仿宋_GB2312" w:eastAsia="仿宋_GB2312" w:cs="仿宋_GB2312"/>
          <w:color w:val="auto"/>
          <w:sz w:val="32"/>
          <w:szCs w:val="32"/>
        </w:rPr>
        <w:t>一般公共</w:t>
      </w:r>
      <w:r>
        <w:rPr>
          <w:rFonts w:hint="eastAsia" w:ascii="仿宋_GB2312" w:hAnsi="仿宋_GB2312" w:eastAsia="仿宋_GB2312" w:cs="仿宋_GB2312"/>
          <w:color w:val="auto"/>
          <w:sz w:val="32"/>
          <w:szCs w:val="32"/>
          <w:lang w:val="en-US" w:eastAsia="zh-CN"/>
        </w:rPr>
        <w:t>预算基本支出225.89万元，</w:t>
      </w:r>
      <w:r>
        <w:rPr>
          <w:rFonts w:hint="eastAsia" w:ascii="仿宋_GB2312" w:hAnsi="仿宋_GB2312" w:eastAsia="仿宋_GB2312" w:cs="仿宋_GB2312"/>
          <w:color w:val="auto"/>
          <w:sz w:val="32"/>
          <w:szCs w:val="32"/>
          <w:lang w:eastAsia="zh-CN"/>
        </w:rPr>
        <w:t>2024</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41.4</w:t>
      </w:r>
      <w:r>
        <w:rPr>
          <w:rFonts w:hint="eastAsia" w:ascii="仿宋_GB2312" w:hAnsi="仿宋_GB2312" w:eastAsia="仿宋_GB2312" w:cs="仿宋_GB2312"/>
          <w:color w:val="auto"/>
          <w:sz w:val="32"/>
          <w:szCs w:val="32"/>
        </w:rPr>
        <w:t>万元</w:t>
      </w:r>
      <w:r>
        <w:rPr>
          <w:rFonts w:hint="eastAsia" w:hAnsi="仿宋_GB2312" w:cs="仿宋_GB2312"/>
          <w:color w:val="auto"/>
          <w:sz w:val="32"/>
          <w:szCs w:val="32"/>
          <w:lang w:eastAsia="zh-CN"/>
        </w:rPr>
        <w:t>。</w:t>
      </w:r>
    </w:p>
    <w:p>
      <w:pPr>
        <w:pStyle w:val="14"/>
        <w:spacing w:before="0" w:line="360" w:lineRule="auto"/>
        <w:ind w:firstLine="640" w:firstLineChars="200"/>
        <w:rPr>
          <w:rFonts w:ascii="黑体" w:eastAsia="黑体"/>
          <w:color w:val="auto"/>
          <w:sz w:val="32"/>
          <w:szCs w:val="32"/>
        </w:rPr>
      </w:pPr>
      <w:r>
        <w:rPr>
          <w:rFonts w:hint="eastAsia" w:ascii="黑体" w:eastAsia="黑体"/>
          <w:color w:val="auto"/>
          <w:sz w:val="32"/>
          <w:szCs w:val="32"/>
        </w:rPr>
        <w:t>七、“三公”经费财政拨款预算安排情况说明</w:t>
      </w:r>
    </w:p>
    <w:p>
      <w:pPr>
        <w:pStyle w:val="14"/>
        <w:spacing w:before="0" w:line="360" w:lineRule="auto"/>
        <w:ind w:firstLine="640" w:firstLineChars="200"/>
        <w:rPr>
          <w:rFonts w:hint="eastAsia" w:cs="仿宋_GB2312"/>
          <w:color w:val="auto"/>
          <w:kern w:val="2"/>
          <w:sz w:val="32"/>
          <w:szCs w:val="32"/>
        </w:rPr>
      </w:pPr>
      <w:r>
        <w:rPr>
          <w:rFonts w:hint="eastAsia" w:eastAsia="仿宋_GB2312" w:cs="仿宋_GB2312"/>
          <w:color w:val="auto"/>
          <w:kern w:val="2"/>
          <w:sz w:val="32"/>
          <w:szCs w:val="32"/>
          <w:lang w:eastAsia="zh-CN"/>
        </w:rPr>
        <w:drawing>
          <wp:anchor distT="0" distB="0" distL="114300" distR="114300" simplePos="0" relativeHeight="251660288" behindDoc="0" locked="0" layoutInCell="1" allowOverlap="1">
            <wp:simplePos x="0" y="0"/>
            <wp:positionH relativeFrom="column">
              <wp:posOffset>176530</wp:posOffset>
            </wp:positionH>
            <wp:positionV relativeFrom="paragraph">
              <wp:posOffset>118110</wp:posOffset>
            </wp:positionV>
            <wp:extent cx="3164205" cy="2532380"/>
            <wp:effectExtent l="4445" t="4445" r="16510" b="825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cs="仿宋_GB2312"/>
          <w:color w:val="auto"/>
          <w:kern w:val="2"/>
          <w:sz w:val="32"/>
          <w:szCs w:val="32"/>
          <w:lang w:val="en-US" w:eastAsia="zh-CN"/>
        </w:rPr>
        <w:t>我</w:t>
      </w:r>
      <w:r>
        <w:rPr>
          <w:rFonts w:hint="eastAsia" w:cs="仿宋_GB2312"/>
          <w:color w:val="auto"/>
          <w:kern w:val="2"/>
          <w:sz w:val="32"/>
          <w:szCs w:val="32"/>
          <w:lang w:eastAsia="zh-CN"/>
        </w:rPr>
        <w:t>单位2024</w:t>
      </w:r>
      <w:r>
        <w:rPr>
          <w:rFonts w:hint="eastAsia" w:cs="仿宋_GB2312"/>
          <w:color w:val="auto"/>
          <w:kern w:val="2"/>
          <w:sz w:val="32"/>
          <w:szCs w:val="32"/>
        </w:rPr>
        <w:t>年“三公”经费财政拨款预算</w:t>
      </w:r>
      <w:r>
        <w:rPr>
          <w:rFonts w:hint="eastAsia" w:cs="仿宋_GB2312"/>
          <w:color w:val="auto"/>
          <w:kern w:val="2"/>
          <w:sz w:val="32"/>
          <w:szCs w:val="32"/>
          <w:lang w:val="en-US" w:eastAsia="zh-CN"/>
        </w:rPr>
        <w:t>收入5.37</w:t>
      </w:r>
      <w:r>
        <w:rPr>
          <w:rFonts w:hint="eastAsia" w:cs="仿宋_GB2312"/>
          <w:color w:val="auto"/>
          <w:kern w:val="2"/>
          <w:sz w:val="32"/>
          <w:szCs w:val="32"/>
        </w:rPr>
        <w:t>万元，其中：因公出国（境）经费</w:t>
      </w:r>
      <w:r>
        <w:rPr>
          <w:rFonts w:hint="eastAsia" w:cs="仿宋_GB2312"/>
          <w:color w:val="auto"/>
          <w:kern w:val="2"/>
          <w:sz w:val="32"/>
          <w:szCs w:val="32"/>
          <w:lang w:val="en-US" w:eastAsia="zh-CN"/>
        </w:rPr>
        <w:t>0</w:t>
      </w:r>
      <w:r>
        <w:rPr>
          <w:rFonts w:hint="eastAsia" w:cs="仿宋_GB2312"/>
          <w:color w:val="auto"/>
          <w:kern w:val="2"/>
          <w:sz w:val="32"/>
          <w:szCs w:val="32"/>
        </w:rPr>
        <w:t>万元，公务接待费</w:t>
      </w:r>
      <w:r>
        <w:rPr>
          <w:rFonts w:hint="eastAsia" w:cs="仿宋_GB2312"/>
          <w:color w:val="auto"/>
          <w:kern w:val="2"/>
          <w:sz w:val="32"/>
          <w:szCs w:val="32"/>
          <w:lang w:val="en-US" w:eastAsia="zh-CN"/>
        </w:rPr>
        <w:t>0.33</w:t>
      </w:r>
      <w:r>
        <w:rPr>
          <w:rFonts w:hint="eastAsia" w:cs="仿宋_GB2312"/>
          <w:color w:val="auto"/>
          <w:kern w:val="2"/>
          <w:sz w:val="32"/>
          <w:szCs w:val="32"/>
        </w:rPr>
        <w:t>万元，公务用车购置及运行维护费</w:t>
      </w:r>
      <w:r>
        <w:rPr>
          <w:rFonts w:hint="eastAsia" w:cs="仿宋_GB2312"/>
          <w:color w:val="auto"/>
          <w:kern w:val="2"/>
          <w:sz w:val="32"/>
          <w:szCs w:val="32"/>
          <w:lang w:val="en-US" w:eastAsia="zh-CN"/>
        </w:rPr>
        <w:t>5.04</w:t>
      </w:r>
      <w:r>
        <w:rPr>
          <w:rFonts w:hint="eastAsia" w:cs="仿宋_GB2312"/>
          <w:color w:val="auto"/>
          <w:kern w:val="2"/>
          <w:sz w:val="32"/>
          <w:szCs w:val="32"/>
        </w:rPr>
        <w:t>万元。</w:t>
      </w:r>
    </w:p>
    <w:p>
      <w:pPr>
        <w:pStyle w:val="14"/>
        <w:spacing w:before="0" w:line="360" w:lineRule="auto"/>
        <w:ind w:firstLine="640" w:firstLineChars="200"/>
        <w:rPr>
          <w:rFonts w:cs="仿宋_GB2312"/>
          <w:color w:val="auto"/>
          <w:kern w:val="2"/>
          <w:sz w:val="32"/>
          <w:szCs w:val="32"/>
        </w:rPr>
      </w:pPr>
      <w:r>
        <w:rPr>
          <w:rFonts w:hint="eastAsia" w:cs="仿宋_GB2312"/>
          <w:color w:val="auto"/>
          <w:kern w:val="2"/>
          <w:sz w:val="32"/>
          <w:szCs w:val="32"/>
        </w:rPr>
        <w:t>（一）</w:t>
      </w:r>
      <w:r>
        <w:rPr>
          <w:rFonts w:hint="eastAsia" w:cs="仿宋_GB2312"/>
          <w:color w:val="auto"/>
          <w:kern w:val="2"/>
          <w:sz w:val="32"/>
          <w:szCs w:val="32"/>
          <w:lang w:eastAsia="zh-CN"/>
        </w:rPr>
        <w:t>2024</w:t>
      </w:r>
      <w:r>
        <w:rPr>
          <w:rFonts w:hint="eastAsia" w:cs="仿宋_GB2312"/>
          <w:color w:val="auto"/>
          <w:kern w:val="2"/>
          <w:sz w:val="32"/>
          <w:szCs w:val="32"/>
        </w:rPr>
        <w:t>年因公出国（境）经费</w:t>
      </w:r>
      <w:r>
        <w:rPr>
          <w:rFonts w:hint="eastAsia" w:cs="仿宋_GB2312"/>
          <w:color w:val="auto"/>
          <w:kern w:val="2"/>
          <w:sz w:val="32"/>
          <w:szCs w:val="32"/>
          <w:lang w:val="en-US" w:eastAsia="zh-CN"/>
        </w:rPr>
        <w:t>0</w:t>
      </w:r>
      <w:r>
        <w:rPr>
          <w:rFonts w:hint="eastAsia" w:cs="仿宋_GB2312"/>
          <w:color w:val="auto"/>
          <w:kern w:val="2"/>
          <w:sz w:val="32"/>
          <w:szCs w:val="32"/>
        </w:rPr>
        <w:t>万元。</w:t>
      </w:r>
    </w:p>
    <w:p>
      <w:pPr>
        <w:pStyle w:val="14"/>
        <w:spacing w:before="0" w:line="360" w:lineRule="auto"/>
        <w:ind w:firstLine="640" w:firstLineChars="200"/>
        <w:rPr>
          <w:rFonts w:hint="default" w:eastAsia="仿宋_GB2312" w:cs="仿宋_GB2312"/>
          <w:color w:val="auto"/>
          <w:kern w:val="2"/>
          <w:sz w:val="32"/>
          <w:szCs w:val="32"/>
          <w:lang w:val="en-US" w:eastAsia="zh-CN"/>
        </w:rPr>
      </w:pPr>
      <w:r>
        <w:rPr>
          <w:rFonts w:hint="eastAsia" w:cs="仿宋_GB2312"/>
          <w:color w:val="auto"/>
          <w:kern w:val="2"/>
          <w:sz w:val="32"/>
          <w:szCs w:val="32"/>
        </w:rPr>
        <w:t>（二）</w:t>
      </w:r>
      <w:r>
        <w:rPr>
          <w:rFonts w:hint="eastAsia" w:cs="仿宋_GB2312"/>
          <w:color w:val="auto"/>
          <w:kern w:val="2"/>
          <w:sz w:val="32"/>
          <w:szCs w:val="32"/>
          <w:lang w:eastAsia="zh-CN"/>
        </w:rPr>
        <w:t>2024</w:t>
      </w:r>
      <w:r>
        <w:rPr>
          <w:rFonts w:hint="eastAsia" w:cs="仿宋_GB2312"/>
          <w:color w:val="auto"/>
          <w:kern w:val="2"/>
          <w:sz w:val="32"/>
          <w:szCs w:val="32"/>
        </w:rPr>
        <w:t>年公务接待经费</w:t>
      </w:r>
      <w:r>
        <w:rPr>
          <w:rFonts w:hint="eastAsia" w:cs="仿宋_GB2312"/>
          <w:color w:val="auto"/>
          <w:kern w:val="2"/>
          <w:sz w:val="32"/>
          <w:szCs w:val="32"/>
          <w:lang w:val="en-US" w:eastAsia="zh-CN"/>
        </w:rPr>
        <w:t>0.33</w:t>
      </w:r>
      <w:r>
        <w:rPr>
          <w:rFonts w:hint="eastAsia" w:cs="仿宋_GB2312"/>
          <w:color w:val="auto"/>
          <w:kern w:val="2"/>
          <w:sz w:val="32"/>
          <w:szCs w:val="32"/>
        </w:rPr>
        <w:t>万元。较202</w:t>
      </w:r>
      <w:r>
        <w:rPr>
          <w:rFonts w:hint="eastAsia" w:cs="仿宋_GB2312"/>
          <w:color w:val="auto"/>
          <w:kern w:val="2"/>
          <w:sz w:val="32"/>
          <w:szCs w:val="32"/>
          <w:lang w:val="en-US" w:eastAsia="zh-CN"/>
        </w:rPr>
        <w:t>3</w:t>
      </w:r>
      <w:r>
        <w:rPr>
          <w:rFonts w:hint="eastAsia" w:cs="仿宋_GB2312"/>
          <w:color w:val="auto"/>
          <w:kern w:val="2"/>
          <w:sz w:val="32"/>
          <w:szCs w:val="32"/>
        </w:rPr>
        <w:t>年预算经费</w:t>
      </w:r>
      <w:r>
        <w:rPr>
          <w:rFonts w:hint="eastAsia" w:cs="仿宋_GB2312"/>
          <w:color w:val="auto"/>
          <w:kern w:val="2"/>
          <w:sz w:val="32"/>
          <w:szCs w:val="32"/>
          <w:highlight w:val="none"/>
          <w:lang w:val="en-US" w:eastAsia="zh-CN"/>
        </w:rPr>
        <w:t>0.28</w:t>
      </w:r>
      <w:r>
        <w:rPr>
          <w:rFonts w:hint="eastAsia" w:cs="仿宋_GB2312"/>
          <w:color w:val="auto"/>
          <w:kern w:val="2"/>
          <w:sz w:val="32"/>
          <w:szCs w:val="32"/>
          <w:lang w:val="en-US" w:eastAsia="zh-CN"/>
        </w:rPr>
        <w:t>万元，增加0.05</w:t>
      </w:r>
      <w:r>
        <w:rPr>
          <w:rFonts w:hint="eastAsia" w:cs="仿宋_GB2312"/>
          <w:color w:val="auto"/>
          <w:kern w:val="2"/>
          <w:sz w:val="32"/>
          <w:szCs w:val="32"/>
        </w:rPr>
        <w:t>万元，</w:t>
      </w:r>
      <w:r>
        <w:rPr>
          <w:rFonts w:hint="eastAsia" w:cs="仿宋_GB2312"/>
          <w:color w:val="auto"/>
          <w:kern w:val="2"/>
          <w:sz w:val="32"/>
          <w:szCs w:val="32"/>
          <w:lang w:val="en-US" w:eastAsia="zh-CN"/>
        </w:rPr>
        <w:t>上升17.85</w:t>
      </w:r>
      <w:r>
        <w:rPr>
          <w:rFonts w:hint="eastAsia" w:cs="仿宋_GB2312"/>
          <w:color w:val="auto"/>
          <w:kern w:val="2"/>
          <w:sz w:val="32"/>
          <w:szCs w:val="32"/>
        </w:rPr>
        <w:t>%。</w:t>
      </w:r>
      <w:r>
        <w:rPr>
          <w:rFonts w:hint="eastAsia" w:cs="仿宋_GB2312"/>
          <w:color w:val="auto"/>
          <w:kern w:val="2"/>
          <w:sz w:val="32"/>
          <w:szCs w:val="32"/>
          <w:lang w:val="en-US" w:eastAsia="zh-CN"/>
        </w:rPr>
        <w:t>由于2023年度阿坝州州级机关退休干部驻马尔康休养所接待费人次为0，接待费为0万元。</w:t>
      </w:r>
    </w:p>
    <w:p>
      <w:pPr>
        <w:pStyle w:val="14"/>
        <w:spacing w:before="0" w:line="360" w:lineRule="auto"/>
        <w:ind w:firstLine="640" w:firstLineChars="200"/>
        <w:rPr>
          <w:rFonts w:hint="default" w:eastAsia="仿宋_GB2312" w:cs="仿宋_GB2312"/>
          <w:color w:val="auto"/>
          <w:kern w:val="2"/>
          <w:sz w:val="32"/>
          <w:szCs w:val="32"/>
          <w:lang w:val="en-US" w:eastAsia="zh-CN"/>
        </w:rPr>
      </w:pPr>
      <w:r>
        <w:rPr>
          <w:rFonts w:hint="eastAsia" w:cs="仿宋_GB2312"/>
          <w:color w:val="auto"/>
          <w:kern w:val="2"/>
          <w:sz w:val="32"/>
          <w:szCs w:val="32"/>
        </w:rPr>
        <w:t>（三）</w:t>
      </w:r>
      <w:r>
        <w:rPr>
          <w:rFonts w:hint="eastAsia" w:cs="仿宋_GB2312"/>
          <w:color w:val="auto"/>
          <w:kern w:val="2"/>
          <w:sz w:val="32"/>
          <w:szCs w:val="32"/>
          <w:lang w:eastAsia="zh-CN"/>
        </w:rPr>
        <w:t>2024</w:t>
      </w:r>
      <w:r>
        <w:rPr>
          <w:rFonts w:hint="eastAsia" w:cs="仿宋_GB2312"/>
          <w:color w:val="auto"/>
          <w:kern w:val="2"/>
          <w:sz w:val="32"/>
          <w:szCs w:val="32"/>
        </w:rPr>
        <w:t>年公务用车购置及运行维护费</w:t>
      </w:r>
      <w:r>
        <w:rPr>
          <w:rFonts w:hint="eastAsia" w:cs="仿宋_GB2312"/>
          <w:color w:val="auto"/>
          <w:kern w:val="2"/>
          <w:sz w:val="32"/>
          <w:szCs w:val="32"/>
          <w:lang w:val="en-US" w:eastAsia="zh-CN"/>
        </w:rPr>
        <w:t>5.04</w:t>
      </w:r>
      <w:r>
        <w:rPr>
          <w:rFonts w:hint="eastAsia" w:cs="仿宋_GB2312"/>
          <w:color w:val="auto"/>
          <w:kern w:val="2"/>
          <w:sz w:val="32"/>
          <w:szCs w:val="32"/>
        </w:rPr>
        <w:t>万元。较202</w:t>
      </w:r>
      <w:r>
        <w:rPr>
          <w:rFonts w:hint="eastAsia" w:cs="仿宋_GB2312"/>
          <w:color w:val="auto"/>
          <w:kern w:val="2"/>
          <w:sz w:val="32"/>
          <w:szCs w:val="32"/>
          <w:lang w:val="en-US" w:eastAsia="zh-CN"/>
        </w:rPr>
        <w:t>3</w:t>
      </w:r>
      <w:r>
        <w:rPr>
          <w:rFonts w:hint="eastAsia" w:cs="仿宋_GB2312"/>
          <w:color w:val="auto"/>
          <w:kern w:val="2"/>
          <w:sz w:val="32"/>
          <w:szCs w:val="32"/>
        </w:rPr>
        <w:t>年预算经费</w:t>
      </w:r>
      <w:r>
        <w:rPr>
          <w:rFonts w:hint="eastAsia" w:cs="仿宋_GB2312"/>
          <w:color w:val="auto"/>
          <w:kern w:val="2"/>
          <w:sz w:val="32"/>
          <w:szCs w:val="32"/>
          <w:lang w:val="en-US" w:eastAsia="zh-CN"/>
        </w:rPr>
        <w:t>5.04万元,较上年无变化。</w:t>
      </w:r>
    </w:p>
    <w:p>
      <w:pPr>
        <w:pStyle w:val="14"/>
        <w:spacing w:before="0" w:line="360" w:lineRule="auto"/>
        <w:ind w:firstLine="640" w:firstLineChars="200"/>
        <w:rPr>
          <w:rFonts w:ascii="黑体" w:eastAsia="黑体"/>
          <w:color w:val="auto"/>
          <w:sz w:val="32"/>
          <w:szCs w:val="32"/>
        </w:rPr>
      </w:pPr>
      <w:r>
        <w:rPr>
          <w:rFonts w:hint="eastAsia" w:ascii="黑体" w:eastAsia="黑体"/>
          <w:color w:val="auto"/>
          <w:sz w:val="32"/>
          <w:szCs w:val="32"/>
        </w:rPr>
        <w:t>八、政府性基金</w:t>
      </w:r>
      <w:r>
        <w:rPr>
          <w:rFonts w:hint="eastAsia" w:cs="仿宋_GB2312"/>
          <w:color w:val="auto"/>
          <w:kern w:val="2"/>
          <w:sz w:val="32"/>
          <w:szCs w:val="32"/>
        </w:rPr>
        <w:t>预算</w:t>
      </w:r>
      <w:r>
        <w:rPr>
          <w:rFonts w:hint="eastAsia" w:ascii="黑体" w:eastAsia="黑体"/>
          <w:color w:val="auto"/>
          <w:sz w:val="32"/>
          <w:szCs w:val="32"/>
        </w:rPr>
        <w:t>支出情况说明</w:t>
      </w:r>
    </w:p>
    <w:p>
      <w:pPr>
        <w:pStyle w:val="14"/>
        <w:spacing w:before="0" w:line="360" w:lineRule="auto"/>
        <w:ind w:firstLine="640" w:firstLineChars="200"/>
        <w:rPr>
          <w:rFonts w:cs="仿宋_GB2312"/>
          <w:color w:val="auto"/>
          <w:kern w:val="2"/>
          <w:sz w:val="32"/>
          <w:szCs w:val="32"/>
        </w:rPr>
      </w:pPr>
      <w:r>
        <w:rPr>
          <w:rFonts w:hint="eastAsia" w:cs="仿宋_GB2312"/>
          <w:color w:val="auto"/>
          <w:kern w:val="2"/>
          <w:sz w:val="32"/>
          <w:szCs w:val="32"/>
          <w:lang w:eastAsia="zh-CN"/>
        </w:rPr>
        <w:t>单位</w:t>
      </w:r>
      <w:r>
        <w:rPr>
          <w:rFonts w:hint="eastAsia" w:cs="仿宋_GB2312"/>
          <w:color w:val="auto"/>
          <w:kern w:val="2"/>
          <w:sz w:val="32"/>
          <w:szCs w:val="32"/>
        </w:rPr>
        <w:t>（单位）</w:t>
      </w:r>
      <w:r>
        <w:rPr>
          <w:rFonts w:hint="eastAsia" w:cs="仿宋_GB2312"/>
          <w:color w:val="auto"/>
          <w:kern w:val="2"/>
          <w:sz w:val="32"/>
          <w:szCs w:val="32"/>
          <w:lang w:eastAsia="zh-CN"/>
        </w:rPr>
        <w:t>2024</w:t>
      </w:r>
      <w:r>
        <w:rPr>
          <w:rFonts w:hint="eastAsia" w:cs="仿宋_GB2312"/>
          <w:color w:val="auto"/>
          <w:kern w:val="2"/>
          <w:sz w:val="32"/>
          <w:szCs w:val="32"/>
        </w:rPr>
        <w:t>年政府性基金预算拨款安排的支出</w:t>
      </w:r>
      <w:r>
        <w:rPr>
          <w:rFonts w:hint="eastAsia" w:cs="仿宋_GB2312"/>
          <w:color w:val="auto"/>
          <w:kern w:val="2"/>
          <w:sz w:val="32"/>
          <w:szCs w:val="32"/>
          <w:lang w:val="en-US" w:eastAsia="zh-CN"/>
        </w:rPr>
        <w:t>0</w:t>
      </w:r>
      <w:r>
        <w:rPr>
          <w:rFonts w:hint="eastAsia" w:cs="仿宋_GB2312"/>
          <w:color w:val="auto"/>
          <w:kern w:val="2"/>
          <w:sz w:val="32"/>
          <w:szCs w:val="32"/>
        </w:rPr>
        <w:t>万元。较202</w:t>
      </w:r>
      <w:r>
        <w:rPr>
          <w:rFonts w:hint="eastAsia" w:cs="仿宋_GB2312"/>
          <w:color w:val="auto"/>
          <w:kern w:val="2"/>
          <w:sz w:val="32"/>
          <w:szCs w:val="32"/>
          <w:lang w:val="en-US" w:eastAsia="zh-CN"/>
        </w:rPr>
        <w:t>3</w:t>
      </w:r>
      <w:r>
        <w:rPr>
          <w:rFonts w:hint="eastAsia" w:cs="仿宋_GB2312"/>
          <w:color w:val="auto"/>
          <w:kern w:val="2"/>
          <w:sz w:val="32"/>
          <w:szCs w:val="32"/>
        </w:rPr>
        <w:t>年预算经费</w:t>
      </w:r>
      <w:r>
        <w:rPr>
          <w:rFonts w:hint="eastAsia" w:cs="宋体"/>
          <w:color w:val="auto"/>
          <w:sz w:val="32"/>
          <w:szCs w:val="32"/>
        </w:rPr>
        <w:t>增加/</w:t>
      </w:r>
      <w:r>
        <w:rPr>
          <w:rFonts w:hint="eastAsia" w:cs="仿宋_GB2312"/>
          <w:color w:val="auto"/>
          <w:kern w:val="2"/>
          <w:sz w:val="32"/>
          <w:szCs w:val="32"/>
        </w:rPr>
        <w:t>减少</w:t>
      </w:r>
      <w:r>
        <w:rPr>
          <w:rFonts w:hint="eastAsia" w:cs="仿宋_GB2312"/>
          <w:color w:val="auto"/>
          <w:kern w:val="2"/>
          <w:sz w:val="32"/>
          <w:szCs w:val="32"/>
          <w:lang w:val="en-US" w:eastAsia="zh-CN"/>
        </w:rPr>
        <w:t>0</w:t>
      </w:r>
      <w:r>
        <w:rPr>
          <w:rFonts w:hint="eastAsia" w:cs="仿宋_GB2312"/>
          <w:color w:val="auto"/>
          <w:kern w:val="2"/>
          <w:sz w:val="32"/>
          <w:szCs w:val="32"/>
        </w:rPr>
        <w:t>万元，增长</w:t>
      </w:r>
      <w:r>
        <w:rPr>
          <w:rFonts w:hint="eastAsia" w:cs="仿宋_GB2312"/>
          <w:color w:val="auto"/>
          <w:kern w:val="2"/>
          <w:sz w:val="32"/>
          <w:szCs w:val="32"/>
          <w:lang w:val="en-US" w:eastAsia="zh-CN"/>
        </w:rPr>
        <w:t>0</w:t>
      </w:r>
      <w:r>
        <w:rPr>
          <w:rFonts w:hint="eastAsia" w:cs="仿宋_GB2312"/>
          <w:color w:val="auto"/>
          <w:kern w:val="2"/>
          <w:sz w:val="32"/>
          <w:szCs w:val="32"/>
        </w:rPr>
        <w:t>%。</w:t>
      </w:r>
    </w:p>
    <w:p>
      <w:pPr>
        <w:pStyle w:val="14"/>
        <w:spacing w:before="0" w:line="360" w:lineRule="auto"/>
        <w:rPr>
          <w:rFonts w:ascii="黑体" w:eastAsia="黑体"/>
          <w:color w:val="auto"/>
          <w:sz w:val="32"/>
          <w:szCs w:val="32"/>
        </w:rPr>
      </w:pPr>
      <w:r>
        <w:rPr>
          <w:rFonts w:hint="eastAsia" w:ascii="黑体" w:eastAsia="黑体"/>
          <w:color w:val="auto"/>
          <w:sz w:val="32"/>
          <w:szCs w:val="32"/>
        </w:rPr>
        <w:t>九、其他重要事项的情况说明</w:t>
      </w:r>
    </w:p>
    <w:p>
      <w:pPr>
        <w:pStyle w:val="14"/>
        <w:spacing w:before="0" w:line="360" w:lineRule="auto"/>
        <w:ind w:firstLine="640" w:firstLineChars="200"/>
        <w:rPr>
          <w:rFonts w:hint="eastAsia" w:eastAsia="仿宋_GB2312" w:cs="仿宋_GB2312"/>
          <w:color w:val="auto"/>
          <w:kern w:val="2"/>
          <w:sz w:val="32"/>
          <w:szCs w:val="32"/>
          <w:lang w:eastAsia="zh-CN"/>
        </w:rPr>
      </w:pPr>
      <w:r>
        <w:rPr>
          <w:rFonts w:hint="eastAsia" w:cs="仿宋_GB2312"/>
          <w:color w:val="auto"/>
          <w:kern w:val="2"/>
          <w:sz w:val="32"/>
          <w:szCs w:val="32"/>
        </w:rPr>
        <w:t>（一）机关运行经费</w:t>
      </w:r>
    </w:p>
    <w:p>
      <w:pPr>
        <w:pStyle w:val="14"/>
        <w:spacing w:before="0" w:line="360" w:lineRule="auto"/>
        <w:ind w:firstLine="640" w:firstLineChars="200"/>
        <w:rPr>
          <w:rFonts w:hint="eastAsia" w:eastAsia="仿宋_GB2312" w:cs="仿宋_GB2312"/>
          <w:color w:val="auto"/>
          <w:kern w:val="2"/>
          <w:sz w:val="32"/>
          <w:szCs w:val="32"/>
          <w:lang w:eastAsia="zh-CN"/>
        </w:rPr>
      </w:pPr>
      <w:r>
        <w:rPr>
          <w:rFonts w:hint="eastAsia" w:cs="仿宋_GB2312"/>
          <w:color w:val="auto"/>
          <w:kern w:val="2"/>
          <w:sz w:val="32"/>
          <w:szCs w:val="32"/>
        </w:rPr>
        <w:t>（二）政府采购情况</w:t>
      </w:r>
    </w:p>
    <w:p>
      <w:pPr>
        <w:pStyle w:val="14"/>
        <w:spacing w:before="0" w:line="360" w:lineRule="auto"/>
        <w:ind w:left="958" w:leftChars="304" w:hanging="320" w:hangingChars="100"/>
        <w:rPr>
          <w:rFonts w:hint="eastAsia" w:cs="仿宋_GB2312"/>
          <w:color w:val="auto"/>
          <w:kern w:val="2"/>
          <w:sz w:val="32"/>
          <w:szCs w:val="32"/>
        </w:rPr>
      </w:pPr>
      <w:r>
        <w:rPr>
          <w:rFonts w:hint="eastAsia" w:cs="仿宋_GB2312"/>
          <w:color w:val="auto"/>
          <w:kern w:val="2"/>
          <w:sz w:val="32"/>
          <w:szCs w:val="32"/>
          <w:lang w:eastAsia="zh-CN"/>
        </w:rPr>
        <w:t>2024</w:t>
      </w:r>
      <w:r>
        <w:rPr>
          <w:rFonts w:hint="eastAsia" w:cs="仿宋_GB2312"/>
          <w:color w:val="auto"/>
          <w:kern w:val="2"/>
          <w:sz w:val="32"/>
          <w:szCs w:val="32"/>
        </w:rPr>
        <w:t>年</w:t>
      </w:r>
      <w:r>
        <w:rPr>
          <w:rFonts w:hint="eastAsia" w:cs="仿宋_GB2312"/>
          <w:color w:val="auto"/>
          <w:kern w:val="2"/>
          <w:sz w:val="32"/>
          <w:szCs w:val="32"/>
          <w:lang w:eastAsia="zh-CN"/>
        </w:rPr>
        <w:t>单位</w:t>
      </w:r>
      <w:r>
        <w:rPr>
          <w:rFonts w:hint="eastAsia" w:cs="仿宋_GB2312"/>
          <w:color w:val="auto"/>
          <w:kern w:val="2"/>
          <w:sz w:val="32"/>
          <w:szCs w:val="32"/>
        </w:rPr>
        <w:t>（单位）安排政府采购预算</w:t>
      </w:r>
      <w:r>
        <w:rPr>
          <w:rFonts w:hint="eastAsia" w:cs="仿宋_GB2312"/>
          <w:color w:val="auto"/>
          <w:kern w:val="2"/>
          <w:sz w:val="32"/>
          <w:szCs w:val="32"/>
          <w:lang w:val="en-US" w:eastAsia="zh-CN"/>
        </w:rPr>
        <w:t>0</w:t>
      </w:r>
      <w:r>
        <w:rPr>
          <w:rFonts w:hint="eastAsia" w:cs="仿宋_GB2312"/>
          <w:color w:val="auto"/>
          <w:kern w:val="2"/>
          <w:sz w:val="32"/>
          <w:szCs w:val="32"/>
        </w:rPr>
        <w:t>万元</w:t>
      </w:r>
    </w:p>
    <w:p>
      <w:pPr>
        <w:pStyle w:val="14"/>
        <w:spacing w:before="0" w:line="360" w:lineRule="auto"/>
        <w:ind w:left="958" w:leftChars="304" w:hanging="320" w:hangingChars="100"/>
        <w:rPr>
          <w:rFonts w:cs="仿宋_GB2312"/>
          <w:color w:val="auto"/>
          <w:kern w:val="2"/>
          <w:sz w:val="32"/>
          <w:szCs w:val="32"/>
        </w:rPr>
      </w:pPr>
      <w:r>
        <w:rPr>
          <w:rFonts w:hint="eastAsia" w:cs="仿宋_GB2312"/>
          <w:color w:val="auto"/>
          <w:kern w:val="2"/>
          <w:sz w:val="32"/>
          <w:szCs w:val="32"/>
        </w:rPr>
        <w:t>（三）国有资产占有使用情况</w:t>
      </w:r>
    </w:p>
    <w:p>
      <w:pPr>
        <w:pStyle w:val="14"/>
        <w:spacing w:before="0" w:line="360" w:lineRule="auto"/>
        <w:ind w:firstLine="640" w:firstLineChars="200"/>
        <w:rPr>
          <w:rFonts w:hint="default" w:eastAsia="仿宋_GB2312" w:cs="仿宋_GB2312"/>
          <w:color w:val="auto"/>
          <w:kern w:val="2"/>
          <w:sz w:val="32"/>
          <w:szCs w:val="32"/>
          <w:lang w:val="en-US" w:eastAsia="zh-CN"/>
        </w:rPr>
      </w:pPr>
      <w:r>
        <w:rPr>
          <w:rFonts w:hint="eastAsia" w:cs="仿宋_GB2312"/>
          <w:color w:val="auto"/>
          <w:kern w:val="2"/>
          <w:sz w:val="32"/>
          <w:szCs w:val="32"/>
        </w:rPr>
        <w:t>截至202</w:t>
      </w:r>
      <w:r>
        <w:rPr>
          <w:rFonts w:hint="eastAsia" w:cs="仿宋_GB2312"/>
          <w:color w:val="auto"/>
          <w:kern w:val="2"/>
          <w:sz w:val="32"/>
          <w:szCs w:val="32"/>
          <w:lang w:val="en-US" w:eastAsia="zh-CN"/>
        </w:rPr>
        <w:t>3</w:t>
      </w:r>
      <w:r>
        <w:rPr>
          <w:rFonts w:hint="eastAsia" w:cs="仿宋_GB2312"/>
          <w:color w:val="auto"/>
          <w:kern w:val="2"/>
          <w:sz w:val="32"/>
          <w:szCs w:val="32"/>
        </w:rPr>
        <w:t>年12月31日，我单位固定资产</w:t>
      </w:r>
      <w:r>
        <w:rPr>
          <w:rFonts w:hint="eastAsia" w:cs="仿宋_GB2312"/>
          <w:color w:val="auto"/>
          <w:kern w:val="2"/>
          <w:sz w:val="32"/>
          <w:szCs w:val="32"/>
          <w:lang w:val="en-US" w:eastAsia="zh-CN"/>
        </w:rPr>
        <w:t>51.07</w:t>
      </w:r>
      <w:r>
        <w:rPr>
          <w:rFonts w:hint="eastAsia" w:cs="仿宋_GB2312"/>
          <w:color w:val="auto"/>
          <w:kern w:val="2"/>
          <w:sz w:val="32"/>
          <w:szCs w:val="32"/>
        </w:rPr>
        <w:t>万元。</w:t>
      </w:r>
      <w:r>
        <w:rPr>
          <w:rFonts w:hint="eastAsia" w:cs="仿宋_GB2312"/>
          <w:color w:val="auto"/>
          <w:kern w:val="2"/>
          <w:sz w:val="32"/>
          <w:szCs w:val="32"/>
          <w:lang w:val="en-US" w:eastAsia="zh-CN"/>
        </w:rPr>
        <w:t>固定资产累计折旧为11.98万元，固定资产净值为39.09万元。</w:t>
      </w:r>
    </w:p>
    <w:p>
      <w:pPr>
        <w:pStyle w:val="14"/>
        <w:numPr>
          <w:ilvl w:val="0"/>
          <w:numId w:val="3"/>
        </w:numPr>
        <w:spacing w:before="0" w:line="360" w:lineRule="auto"/>
        <w:ind w:left="0" w:firstLine="640" w:firstLineChars="200"/>
        <w:rPr>
          <w:rFonts w:ascii="黑体" w:eastAsia="黑体"/>
          <w:color w:val="auto"/>
          <w:sz w:val="32"/>
          <w:szCs w:val="32"/>
        </w:rPr>
      </w:pPr>
      <w:r>
        <w:rPr>
          <w:rFonts w:hint="eastAsia" w:cs="仿宋_GB2312"/>
          <w:b w:val="0"/>
          <w:bCs w:val="0"/>
          <w:color w:val="auto"/>
          <w:kern w:val="2"/>
          <w:sz w:val="32"/>
          <w:szCs w:val="32"/>
        </w:rPr>
        <w:t>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ascii="黑体" w:eastAsia="黑体"/>
          <w:color w:val="auto"/>
          <w:sz w:val="32"/>
          <w:szCs w:val="32"/>
        </w:rPr>
      </w:pPr>
      <w:r>
        <w:rPr>
          <w:rFonts w:hint="eastAsia" w:ascii="仿宋_GB2312" w:hAnsi="仿宋_GB2312" w:eastAsia="仿宋_GB2312" w:cs="仿宋_GB2312"/>
          <w:color w:val="auto"/>
          <w:sz w:val="32"/>
          <w:szCs w:val="32"/>
          <w:lang w:val="en-US" w:eastAsia="zh-CN"/>
        </w:rPr>
        <w:t>2024年我单位通用项目和专用项目均按要求实行绩效目标管理，其中单位整体支出绩效评价涉及</w:t>
      </w:r>
      <w:r>
        <w:rPr>
          <w:rFonts w:hint="eastAsia" w:ascii="仿宋_GB2312" w:hAnsi="仿宋_GB2312" w:eastAsia="仿宋_GB2312" w:cs="仿宋_GB2312"/>
          <w:color w:val="auto"/>
          <w:sz w:val="32"/>
          <w:szCs w:val="32"/>
        </w:rPr>
        <w:t>一般公共</w:t>
      </w:r>
      <w:r>
        <w:rPr>
          <w:rFonts w:hint="eastAsia" w:ascii="仿宋_GB2312" w:hAnsi="仿宋_GB2312" w:eastAsia="仿宋_GB2312" w:cs="仿宋_GB2312"/>
          <w:color w:val="auto"/>
          <w:sz w:val="32"/>
          <w:szCs w:val="32"/>
          <w:lang w:val="en-US" w:eastAsia="zh-CN"/>
        </w:rPr>
        <w:t>预算基本支出225.89万元，</w:t>
      </w:r>
      <w:r>
        <w:rPr>
          <w:rFonts w:hint="eastAsia" w:ascii="仿宋_GB2312" w:hAnsi="仿宋_GB2312" w:eastAsia="仿宋_GB2312" w:cs="仿宋_GB2312"/>
          <w:color w:val="auto"/>
          <w:sz w:val="32"/>
          <w:szCs w:val="32"/>
          <w:lang w:eastAsia="zh-CN"/>
        </w:rPr>
        <w:t>2024</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41.4</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  活动中心阳光棚搭建30万元，离退休机构运营及维修维护3.4万元，离退休党员\干部活动费8万元）。</w:t>
      </w:r>
    </w:p>
    <w:p>
      <w:pPr>
        <w:pStyle w:val="14"/>
        <w:numPr>
          <w:ilvl w:val="0"/>
          <w:numId w:val="3"/>
        </w:numPr>
        <w:spacing w:before="0" w:line="360" w:lineRule="auto"/>
        <w:ind w:left="0" w:firstLine="640" w:firstLineChars="200"/>
        <w:rPr>
          <w:rFonts w:ascii="黑体" w:eastAsia="黑体"/>
          <w:color w:val="auto"/>
          <w:sz w:val="32"/>
          <w:szCs w:val="32"/>
        </w:rPr>
      </w:pPr>
      <w:r>
        <w:rPr>
          <w:rFonts w:hint="eastAsia" w:cs="仿宋_GB2312"/>
          <w:color w:val="auto"/>
          <w:kern w:val="2"/>
          <w:sz w:val="32"/>
          <w:szCs w:val="32"/>
          <w:lang w:eastAsia="zh-CN"/>
        </w:rPr>
        <w:t>2024</w:t>
      </w:r>
      <w:r>
        <w:rPr>
          <w:rFonts w:hint="eastAsia" w:cs="仿宋_GB2312"/>
          <w:color w:val="auto"/>
          <w:kern w:val="2"/>
          <w:sz w:val="32"/>
          <w:szCs w:val="32"/>
        </w:rPr>
        <w:t>年</w:t>
      </w:r>
      <w:r>
        <w:rPr>
          <w:rFonts w:hint="eastAsia" w:cs="仿宋_GB2312"/>
          <w:color w:val="auto"/>
          <w:kern w:val="2"/>
          <w:sz w:val="32"/>
          <w:szCs w:val="32"/>
          <w:lang w:eastAsia="zh-CN"/>
        </w:rPr>
        <w:t>单位</w:t>
      </w:r>
      <w:r>
        <w:rPr>
          <w:rFonts w:hint="eastAsia" w:cs="仿宋_GB2312"/>
          <w:color w:val="auto"/>
          <w:kern w:val="2"/>
          <w:sz w:val="32"/>
          <w:szCs w:val="32"/>
        </w:rPr>
        <w:t>（单位）通用项目和专用项目均按要求实行绩效目标管理，涉及一般公共预算当年拨款</w:t>
      </w:r>
      <w:r>
        <w:rPr>
          <w:rFonts w:hint="eastAsia" w:cs="仿宋_GB2312"/>
          <w:color w:val="auto"/>
          <w:kern w:val="2"/>
          <w:sz w:val="32"/>
          <w:szCs w:val="32"/>
          <w:lang w:val="en-US" w:eastAsia="zh-CN"/>
        </w:rPr>
        <w:t>41.4</w:t>
      </w:r>
      <w:r>
        <w:rPr>
          <w:rFonts w:hint="eastAsia" w:cs="仿宋_GB2312"/>
          <w:color w:val="auto"/>
          <w:kern w:val="2"/>
          <w:sz w:val="32"/>
          <w:szCs w:val="32"/>
        </w:rPr>
        <w:t>万元。</w:t>
      </w:r>
    </w:p>
    <w:p>
      <w:pPr>
        <w:pStyle w:val="14"/>
        <w:spacing w:before="0" w:line="360" w:lineRule="auto"/>
        <w:rPr>
          <w:rFonts w:hint="eastAsia" w:ascii="黑体" w:eastAsia="黑体"/>
          <w:color w:val="auto"/>
          <w:sz w:val="32"/>
          <w:szCs w:val="32"/>
          <w:lang w:eastAsia="zh-CN"/>
        </w:rPr>
      </w:pPr>
      <w:r>
        <w:rPr>
          <w:rFonts w:hint="eastAsia" w:ascii="黑体" w:eastAsia="黑体"/>
          <w:color w:val="auto"/>
          <w:sz w:val="32"/>
          <w:szCs w:val="32"/>
        </w:rPr>
        <w:t xml:space="preserve">十、名称解释 </w:t>
      </w:r>
    </w:p>
    <w:p>
      <w:pPr>
        <w:pStyle w:val="14"/>
        <w:spacing w:before="0" w:line="360" w:lineRule="auto"/>
        <w:rPr>
          <w:rFonts w:hint="eastAsia" w:eastAsia="仿宋_GB2312" w:cs="仿宋_GB2312"/>
          <w:color w:val="auto"/>
          <w:kern w:val="2"/>
          <w:sz w:val="32"/>
          <w:szCs w:val="32"/>
          <w:lang w:eastAsia="zh-CN"/>
        </w:rPr>
      </w:pPr>
      <w:r>
        <w:rPr>
          <w:rFonts w:hint="eastAsia" w:ascii="??" w:hAnsi="??" w:eastAsia="宋体" w:cs="宋体"/>
          <w:color w:val="auto"/>
          <w:sz w:val="16"/>
        </w:rPr>
        <w:t>　</w:t>
      </w:r>
      <w:r>
        <w:rPr>
          <w:rFonts w:hint="eastAsia" w:ascii="??" w:hAnsi="??" w:eastAsia="宋体" w:cs="宋体"/>
          <w:color w:val="auto"/>
          <w:sz w:val="16"/>
          <w:lang w:val="en-US" w:eastAsia="zh-CN"/>
        </w:rPr>
        <w:t xml:space="preserve">    </w:t>
      </w:r>
      <w:r>
        <w:rPr>
          <w:rFonts w:hint="eastAsia" w:ascii="??" w:hAnsi="??" w:eastAsia="宋体" w:cs="宋体"/>
          <w:color w:val="auto"/>
          <w:sz w:val="16"/>
        </w:rPr>
        <w:t>　</w:t>
      </w:r>
      <w:r>
        <w:rPr>
          <w:rFonts w:hint="eastAsia" w:cs="仿宋_GB2312"/>
          <w:color w:val="auto"/>
          <w:kern w:val="2"/>
          <w:sz w:val="32"/>
          <w:szCs w:val="32"/>
        </w:rPr>
        <w:t>（一）财政拨款收入：指由财政拨款形成的</w:t>
      </w:r>
      <w:r>
        <w:rPr>
          <w:rFonts w:hint="eastAsia" w:cs="仿宋_GB2312"/>
          <w:color w:val="auto"/>
          <w:kern w:val="2"/>
          <w:sz w:val="32"/>
          <w:szCs w:val="32"/>
          <w:lang w:eastAsia="zh-CN"/>
        </w:rPr>
        <w:t>单位</w:t>
      </w:r>
      <w:r>
        <w:rPr>
          <w:rFonts w:hint="eastAsia" w:cs="仿宋_GB2312"/>
          <w:color w:val="auto"/>
          <w:kern w:val="2"/>
          <w:sz w:val="32"/>
          <w:szCs w:val="32"/>
        </w:rPr>
        <w:t>收入。按现行管理制度，</w:t>
      </w:r>
      <w:r>
        <w:rPr>
          <w:rFonts w:hint="eastAsia" w:cs="仿宋_GB2312"/>
          <w:color w:val="auto"/>
          <w:kern w:val="2"/>
          <w:sz w:val="32"/>
          <w:szCs w:val="32"/>
          <w:lang w:eastAsia="zh-CN"/>
        </w:rPr>
        <w:t>单位</w:t>
      </w:r>
      <w:r>
        <w:rPr>
          <w:rFonts w:hint="eastAsia" w:cs="仿宋_GB2312"/>
          <w:color w:val="auto"/>
          <w:kern w:val="2"/>
          <w:sz w:val="32"/>
          <w:szCs w:val="32"/>
        </w:rPr>
        <w:t>预算中反映的财政拨款仅包括一般公共预算拨款和政府性基金预算拨款。</w:t>
      </w:r>
    </w:p>
    <w:p>
      <w:pPr>
        <w:pStyle w:val="14"/>
        <w:spacing w:before="0" w:line="360" w:lineRule="auto"/>
        <w:rPr>
          <w:rFonts w:hint="eastAsia" w:eastAsia="仿宋_GB2312" w:cs="仿宋_GB2312"/>
          <w:color w:val="auto"/>
          <w:kern w:val="2"/>
          <w:sz w:val="32"/>
          <w:szCs w:val="32"/>
          <w:lang w:eastAsia="zh-CN"/>
        </w:rPr>
      </w:pPr>
      <w:r>
        <w:rPr>
          <w:rFonts w:hint="eastAsia" w:cs="仿宋_GB2312"/>
          <w:color w:val="auto"/>
          <w:kern w:val="2"/>
          <w:sz w:val="32"/>
          <w:szCs w:val="32"/>
        </w:rPr>
        <w:t>　　（二）事业收入：指所属事业单位开展专业业务活动及辅助活动所取得的收入。</w:t>
      </w:r>
    </w:p>
    <w:p>
      <w:pPr>
        <w:pStyle w:val="14"/>
        <w:spacing w:before="0" w:line="360" w:lineRule="auto"/>
        <w:rPr>
          <w:rFonts w:hint="eastAsia" w:eastAsia="仿宋_GB2312" w:cs="仿宋_GB2312"/>
          <w:color w:val="auto"/>
          <w:kern w:val="2"/>
          <w:sz w:val="32"/>
          <w:szCs w:val="32"/>
          <w:lang w:eastAsia="zh-CN"/>
        </w:rPr>
      </w:pPr>
      <w:r>
        <w:rPr>
          <w:rFonts w:hint="eastAsia" w:cs="仿宋_GB2312"/>
          <w:color w:val="auto"/>
          <w:kern w:val="2"/>
          <w:sz w:val="32"/>
          <w:szCs w:val="32"/>
        </w:rPr>
        <w:t>　　（三）事业单位经营收入：指所属事业单位在专业业务活动及其辅助活动之外开展非独立核算经营活动取得的收入。</w:t>
      </w:r>
    </w:p>
    <w:p>
      <w:pPr>
        <w:pStyle w:val="14"/>
        <w:spacing w:before="0" w:line="360" w:lineRule="auto"/>
        <w:rPr>
          <w:rFonts w:hint="eastAsia" w:eastAsia="仿宋_GB2312" w:cs="仿宋_GB2312"/>
          <w:color w:val="auto"/>
          <w:kern w:val="2"/>
          <w:sz w:val="32"/>
          <w:szCs w:val="32"/>
          <w:lang w:eastAsia="zh-CN"/>
        </w:rPr>
      </w:pPr>
      <w:r>
        <w:rPr>
          <w:rFonts w:hint="eastAsia" w:cs="仿宋_GB2312"/>
          <w:color w:val="auto"/>
          <w:kern w:val="2"/>
          <w:sz w:val="32"/>
          <w:szCs w:val="32"/>
        </w:rPr>
        <w:t>　　（四）其他收入：指除上述</w:t>
      </w:r>
      <w:r>
        <w:rPr>
          <w:rFonts w:cs="仿宋_GB2312"/>
          <w:color w:val="auto"/>
          <w:kern w:val="2"/>
          <w:sz w:val="32"/>
          <w:szCs w:val="32"/>
        </w:rPr>
        <w:t>“</w:t>
      </w:r>
      <w:r>
        <w:rPr>
          <w:rFonts w:hint="eastAsia" w:cs="仿宋_GB2312"/>
          <w:color w:val="auto"/>
          <w:kern w:val="2"/>
          <w:sz w:val="32"/>
          <w:szCs w:val="32"/>
        </w:rPr>
        <w:t>财政拨款收入</w:t>
      </w:r>
      <w:r>
        <w:rPr>
          <w:rFonts w:cs="仿宋_GB2312"/>
          <w:color w:val="auto"/>
          <w:kern w:val="2"/>
          <w:sz w:val="32"/>
          <w:szCs w:val="32"/>
        </w:rPr>
        <w:t>”</w:t>
      </w:r>
      <w:r>
        <w:rPr>
          <w:rFonts w:hint="eastAsia" w:cs="仿宋_GB2312"/>
          <w:color w:val="auto"/>
          <w:kern w:val="2"/>
          <w:sz w:val="32"/>
          <w:szCs w:val="32"/>
        </w:rPr>
        <w:t>、</w:t>
      </w:r>
      <w:r>
        <w:rPr>
          <w:rFonts w:cs="仿宋_GB2312"/>
          <w:color w:val="auto"/>
          <w:kern w:val="2"/>
          <w:sz w:val="32"/>
          <w:szCs w:val="32"/>
        </w:rPr>
        <w:t>“</w:t>
      </w:r>
      <w:r>
        <w:rPr>
          <w:rFonts w:hint="eastAsia" w:cs="仿宋_GB2312"/>
          <w:color w:val="auto"/>
          <w:kern w:val="2"/>
          <w:sz w:val="32"/>
          <w:szCs w:val="32"/>
        </w:rPr>
        <w:t>事业收入</w:t>
      </w:r>
      <w:r>
        <w:rPr>
          <w:rFonts w:cs="仿宋_GB2312"/>
          <w:color w:val="auto"/>
          <w:kern w:val="2"/>
          <w:sz w:val="32"/>
          <w:szCs w:val="32"/>
        </w:rPr>
        <w:t>”</w:t>
      </w:r>
      <w:r>
        <w:rPr>
          <w:rFonts w:hint="eastAsia" w:cs="仿宋_GB2312"/>
          <w:color w:val="auto"/>
          <w:kern w:val="2"/>
          <w:sz w:val="32"/>
          <w:szCs w:val="32"/>
        </w:rPr>
        <w:t>、</w:t>
      </w:r>
      <w:r>
        <w:rPr>
          <w:rFonts w:cs="仿宋_GB2312"/>
          <w:color w:val="auto"/>
          <w:kern w:val="2"/>
          <w:sz w:val="32"/>
          <w:szCs w:val="32"/>
        </w:rPr>
        <w:t>“</w:t>
      </w:r>
      <w:r>
        <w:rPr>
          <w:rFonts w:hint="eastAsia" w:cs="仿宋_GB2312"/>
          <w:color w:val="auto"/>
          <w:kern w:val="2"/>
          <w:sz w:val="32"/>
          <w:szCs w:val="32"/>
        </w:rPr>
        <w:t>事业单位经营收入</w:t>
      </w:r>
      <w:r>
        <w:rPr>
          <w:rFonts w:cs="仿宋_GB2312"/>
          <w:color w:val="auto"/>
          <w:kern w:val="2"/>
          <w:sz w:val="32"/>
          <w:szCs w:val="32"/>
        </w:rPr>
        <w:t>”</w:t>
      </w:r>
      <w:r>
        <w:rPr>
          <w:rFonts w:hint="eastAsia" w:cs="仿宋_GB2312"/>
          <w:color w:val="auto"/>
          <w:kern w:val="2"/>
          <w:sz w:val="32"/>
          <w:szCs w:val="32"/>
        </w:rPr>
        <w:t>等以外的收入，主要是所属行政事业单位按规定动用的售房收入、存款利息收入等。</w:t>
      </w:r>
    </w:p>
    <w:p>
      <w:pPr>
        <w:pStyle w:val="14"/>
        <w:spacing w:before="0" w:line="360" w:lineRule="auto"/>
        <w:rPr>
          <w:rFonts w:hint="eastAsia" w:eastAsia="仿宋_GB2312" w:cs="仿宋_GB2312"/>
          <w:color w:val="auto"/>
          <w:kern w:val="2"/>
          <w:sz w:val="32"/>
          <w:szCs w:val="32"/>
          <w:lang w:eastAsia="zh-CN"/>
        </w:rPr>
      </w:pPr>
      <w:r>
        <w:rPr>
          <w:rFonts w:hint="eastAsia" w:cs="仿宋_GB2312"/>
          <w:color w:val="auto"/>
          <w:kern w:val="2"/>
          <w:sz w:val="32"/>
          <w:szCs w:val="32"/>
        </w:rPr>
        <w:t>　　（五）用事业基金弥补收支差额：指所属事业单位在预计用当年的</w:t>
      </w:r>
      <w:r>
        <w:rPr>
          <w:rFonts w:cs="仿宋_GB2312"/>
          <w:color w:val="auto"/>
          <w:kern w:val="2"/>
          <w:sz w:val="32"/>
          <w:szCs w:val="32"/>
        </w:rPr>
        <w:t>“</w:t>
      </w:r>
      <w:r>
        <w:rPr>
          <w:rFonts w:hint="eastAsia" w:cs="仿宋_GB2312"/>
          <w:color w:val="auto"/>
          <w:kern w:val="2"/>
          <w:sz w:val="32"/>
          <w:szCs w:val="32"/>
        </w:rPr>
        <w:t>财政拨款收入</w:t>
      </w:r>
      <w:r>
        <w:rPr>
          <w:rFonts w:cs="仿宋_GB2312"/>
          <w:color w:val="auto"/>
          <w:kern w:val="2"/>
          <w:sz w:val="32"/>
          <w:szCs w:val="32"/>
        </w:rPr>
        <w:t>”</w:t>
      </w:r>
      <w:r>
        <w:rPr>
          <w:rFonts w:hint="eastAsia" w:cs="仿宋_GB2312"/>
          <w:color w:val="auto"/>
          <w:kern w:val="2"/>
          <w:sz w:val="32"/>
          <w:szCs w:val="32"/>
        </w:rPr>
        <w:t>、</w:t>
      </w:r>
      <w:r>
        <w:rPr>
          <w:rFonts w:cs="仿宋_GB2312"/>
          <w:color w:val="auto"/>
          <w:kern w:val="2"/>
          <w:sz w:val="32"/>
          <w:szCs w:val="32"/>
        </w:rPr>
        <w:t>“</w:t>
      </w:r>
      <w:r>
        <w:rPr>
          <w:rFonts w:hint="eastAsia" w:cs="仿宋_GB2312"/>
          <w:color w:val="auto"/>
          <w:kern w:val="2"/>
          <w:sz w:val="32"/>
          <w:szCs w:val="32"/>
        </w:rPr>
        <w:t>事业收入</w:t>
      </w:r>
      <w:r>
        <w:rPr>
          <w:rFonts w:cs="仿宋_GB2312"/>
          <w:color w:val="auto"/>
          <w:kern w:val="2"/>
          <w:sz w:val="32"/>
          <w:szCs w:val="32"/>
        </w:rPr>
        <w:t>”</w:t>
      </w:r>
      <w:r>
        <w:rPr>
          <w:rFonts w:hint="eastAsia" w:cs="仿宋_GB2312"/>
          <w:color w:val="auto"/>
          <w:kern w:val="2"/>
          <w:sz w:val="32"/>
          <w:szCs w:val="32"/>
        </w:rPr>
        <w:t>、</w:t>
      </w:r>
      <w:r>
        <w:rPr>
          <w:rFonts w:cs="仿宋_GB2312"/>
          <w:color w:val="auto"/>
          <w:kern w:val="2"/>
          <w:sz w:val="32"/>
          <w:szCs w:val="32"/>
        </w:rPr>
        <w:t>“</w:t>
      </w:r>
      <w:r>
        <w:rPr>
          <w:rFonts w:hint="eastAsia" w:cs="仿宋_GB2312"/>
          <w:color w:val="auto"/>
          <w:kern w:val="2"/>
          <w:sz w:val="32"/>
          <w:szCs w:val="32"/>
        </w:rPr>
        <w:t>事业单位经营收入</w:t>
      </w:r>
      <w:r>
        <w:rPr>
          <w:rFonts w:cs="仿宋_GB2312"/>
          <w:color w:val="auto"/>
          <w:kern w:val="2"/>
          <w:sz w:val="32"/>
          <w:szCs w:val="32"/>
        </w:rPr>
        <w:t>”</w:t>
      </w:r>
      <w:r>
        <w:rPr>
          <w:rFonts w:hint="eastAsia" w:cs="仿宋_GB2312"/>
          <w:color w:val="auto"/>
          <w:kern w:val="2"/>
          <w:sz w:val="32"/>
          <w:szCs w:val="32"/>
        </w:rPr>
        <w:t>、</w:t>
      </w:r>
      <w:r>
        <w:rPr>
          <w:rFonts w:cs="仿宋_GB2312"/>
          <w:color w:val="auto"/>
          <w:kern w:val="2"/>
          <w:sz w:val="32"/>
          <w:szCs w:val="32"/>
        </w:rPr>
        <w:t>“</w:t>
      </w:r>
      <w:r>
        <w:rPr>
          <w:rFonts w:hint="eastAsia" w:cs="仿宋_GB2312"/>
          <w:color w:val="auto"/>
          <w:kern w:val="2"/>
          <w:sz w:val="32"/>
          <w:szCs w:val="32"/>
        </w:rPr>
        <w:t>其他收入</w:t>
      </w:r>
      <w:r>
        <w:rPr>
          <w:rFonts w:cs="仿宋_GB2312"/>
          <w:color w:val="auto"/>
          <w:kern w:val="2"/>
          <w:sz w:val="32"/>
          <w:szCs w:val="32"/>
        </w:rPr>
        <w:t>”</w:t>
      </w:r>
      <w:r>
        <w:rPr>
          <w:rFonts w:hint="eastAsia" w:cs="仿宋_GB2312"/>
          <w:color w:val="auto"/>
          <w:kern w:val="2"/>
          <w:sz w:val="32"/>
          <w:szCs w:val="32"/>
        </w:rPr>
        <w:t>不足以安排当年支出的情况下，使用以前年度积累的事业基金弥补本年度收支缺口的资金。</w:t>
      </w:r>
    </w:p>
    <w:p>
      <w:pPr>
        <w:pStyle w:val="14"/>
        <w:spacing w:before="0" w:line="360" w:lineRule="auto"/>
        <w:rPr>
          <w:rFonts w:ascii="仿宋_GB2312" w:eastAsia="仿宋_GB2312" w:cs="仿宋_GB2312"/>
          <w:color w:val="auto"/>
          <w:sz w:val="32"/>
          <w:szCs w:val="32"/>
        </w:rPr>
      </w:pPr>
      <w:r>
        <w:rPr>
          <w:rFonts w:hint="eastAsia" w:cs="仿宋_GB2312"/>
          <w:color w:val="auto"/>
          <w:kern w:val="2"/>
          <w:sz w:val="32"/>
          <w:szCs w:val="32"/>
        </w:rPr>
        <w:t>　　（六）上年结转：指所属行政事业单位以前年度尚未完成、结转至本年按原规定用途继续使用的资金和以前年度已完成项目剩余资金经批准用于新用途使用的资金。</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ADD0"/>
    <w:multiLevelType w:val="singleLevel"/>
    <w:tmpl w:val="A474ADD0"/>
    <w:lvl w:ilvl="0" w:tentative="0">
      <w:start w:val="4"/>
      <w:numFmt w:val="chineseCounting"/>
      <w:suff w:val="nothing"/>
      <w:lvlText w:val="（%1）"/>
      <w:lvlJc w:val="left"/>
      <w:pPr>
        <w:ind w:left="0" w:firstLine="0"/>
      </w:pPr>
      <w:rPr>
        <w:rFonts w:hint="eastAsia"/>
      </w:rPr>
    </w:lvl>
  </w:abstractNum>
  <w:abstractNum w:abstractNumId="1">
    <w:nsid w:val="AADE4796"/>
    <w:multiLevelType w:val="singleLevel"/>
    <w:tmpl w:val="AADE4796"/>
    <w:lvl w:ilvl="0" w:tentative="0">
      <w:start w:val="1"/>
      <w:numFmt w:val="chineseCounting"/>
      <w:suff w:val="nothing"/>
      <w:lvlText w:val="（%1）"/>
      <w:lvlJc w:val="left"/>
      <w:pPr>
        <w:ind w:left="0" w:firstLine="0"/>
      </w:pPr>
      <w:rPr>
        <w:rFonts w:hint="eastAsia"/>
      </w:rPr>
    </w:lvl>
  </w:abstractNum>
  <w:abstractNum w:abstractNumId="2">
    <w:nsid w:val="C36BF6F4"/>
    <w:multiLevelType w:val="singleLevel"/>
    <w:tmpl w:val="C36BF6F4"/>
    <w:lvl w:ilvl="0" w:tentative="0">
      <w:start w:val="1"/>
      <w:numFmt w:val="chineseCounting"/>
      <w:suff w:val="nothing"/>
      <w:lvlText w:val="（%1）"/>
      <w:lvlJc w:val="left"/>
      <w:pPr>
        <w:ind w:left="0" w:firstLine="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00000"/>
    <w:rsid w:val="000964D3"/>
    <w:rsid w:val="017B396F"/>
    <w:rsid w:val="017F7AC3"/>
    <w:rsid w:val="01B54CE9"/>
    <w:rsid w:val="038A2818"/>
    <w:rsid w:val="047379B1"/>
    <w:rsid w:val="04802170"/>
    <w:rsid w:val="06203760"/>
    <w:rsid w:val="067D11CE"/>
    <w:rsid w:val="097618DE"/>
    <w:rsid w:val="09F633B1"/>
    <w:rsid w:val="0B116EBC"/>
    <w:rsid w:val="0E053029"/>
    <w:rsid w:val="0E720386"/>
    <w:rsid w:val="0EA72DDB"/>
    <w:rsid w:val="0FC05C73"/>
    <w:rsid w:val="10890612"/>
    <w:rsid w:val="10BA7366"/>
    <w:rsid w:val="11C33C5A"/>
    <w:rsid w:val="148B138B"/>
    <w:rsid w:val="14AF2177"/>
    <w:rsid w:val="16267A56"/>
    <w:rsid w:val="176B4B05"/>
    <w:rsid w:val="17F85A51"/>
    <w:rsid w:val="1832739C"/>
    <w:rsid w:val="1A6456B6"/>
    <w:rsid w:val="1AEA581E"/>
    <w:rsid w:val="1AF169B7"/>
    <w:rsid w:val="1B5A4903"/>
    <w:rsid w:val="1DBB453B"/>
    <w:rsid w:val="1DF86991"/>
    <w:rsid w:val="1FFD776B"/>
    <w:rsid w:val="20CF4274"/>
    <w:rsid w:val="20E4165F"/>
    <w:rsid w:val="22D9529C"/>
    <w:rsid w:val="22DC703D"/>
    <w:rsid w:val="22EC5BCE"/>
    <w:rsid w:val="22FD21E6"/>
    <w:rsid w:val="236342AA"/>
    <w:rsid w:val="246D107D"/>
    <w:rsid w:val="24BB79C6"/>
    <w:rsid w:val="26036ECE"/>
    <w:rsid w:val="264E236C"/>
    <w:rsid w:val="27236C73"/>
    <w:rsid w:val="27610F19"/>
    <w:rsid w:val="27B32D6B"/>
    <w:rsid w:val="299036D8"/>
    <w:rsid w:val="29B7301C"/>
    <w:rsid w:val="2AB32336"/>
    <w:rsid w:val="2AD62EC4"/>
    <w:rsid w:val="2AFA15B6"/>
    <w:rsid w:val="2AFB4CC7"/>
    <w:rsid w:val="2C8333BB"/>
    <w:rsid w:val="2DA21B44"/>
    <w:rsid w:val="2EF0602E"/>
    <w:rsid w:val="2EFE4199"/>
    <w:rsid w:val="30804EB3"/>
    <w:rsid w:val="30860A16"/>
    <w:rsid w:val="319E75BF"/>
    <w:rsid w:val="32145F54"/>
    <w:rsid w:val="32554E84"/>
    <w:rsid w:val="32A408B2"/>
    <w:rsid w:val="33D13C11"/>
    <w:rsid w:val="34C15F66"/>
    <w:rsid w:val="351A7949"/>
    <w:rsid w:val="352C0815"/>
    <w:rsid w:val="35A937E4"/>
    <w:rsid w:val="36831ED6"/>
    <w:rsid w:val="39A90DA9"/>
    <w:rsid w:val="39BA7706"/>
    <w:rsid w:val="3A2F46BD"/>
    <w:rsid w:val="3A2F55AA"/>
    <w:rsid w:val="3BA4558B"/>
    <w:rsid w:val="3C3C6B4B"/>
    <w:rsid w:val="3D0F5A98"/>
    <w:rsid w:val="3D500949"/>
    <w:rsid w:val="3E4D1C6E"/>
    <w:rsid w:val="3E7277D4"/>
    <w:rsid w:val="3ED92111"/>
    <w:rsid w:val="40655D1B"/>
    <w:rsid w:val="40CA48EF"/>
    <w:rsid w:val="41062DB6"/>
    <w:rsid w:val="41A5682E"/>
    <w:rsid w:val="42E8577D"/>
    <w:rsid w:val="44FD7473"/>
    <w:rsid w:val="466E2692"/>
    <w:rsid w:val="472139F1"/>
    <w:rsid w:val="47B76903"/>
    <w:rsid w:val="48190086"/>
    <w:rsid w:val="48215E44"/>
    <w:rsid w:val="489E6264"/>
    <w:rsid w:val="4A5B7C8A"/>
    <w:rsid w:val="4BB755EE"/>
    <w:rsid w:val="4C63405E"/>
    <w:rsid w:val="4CA9403B"/>
    <w:rsid w:val="4D0E6DB1"/>
    <w:rsid w:val="4D2C5D95"/>
    <w:rsid w:val="4F12642D"/>
    <w:rsid w:val="5112629A"/>
    <w:rsid w:val="517148EF"/>
    <w:rsid w:val="524D4229"/>
    <w:rsid w:val="5284347B"/>
    <w:rsid w:val="52C2231F"/>
    <w:rsid w:val="52C25F89"/>
    <w:rsid w:val="53AC37BA"/>
    <w:rsid w:val="55E90642"/>
    <w:rsid w:val="56D808C6"/>
    <w:rsid w:val="576B0BC1"/>
    <w:rsid w:val="5896451C"/>
    <w:rsid w:val="58ED5140"/>
    <w:rsid w:val="58F92290"/>
    <w:rsid w:val="59EE3D0F"/>
    <w:rsid w:val="59F907ED"/>
    <w:rsid w:val="5A8B03B1"/>
    <w:rsid w:val="5B3300A3"/>
    <w:rsid w:val="5C2E0107"/>
    <w:rsid w:val="5C7204F4"/>
    <w:rsid w:val="5E3B71BF"/>
    <w:rsid w:val="5F1C0377"/>
    <w:rsid w:val="60BE2CB8"/>
    <w:rsid w:val="60CD0C4D"/>
    <w:rsid w:val="629B6C82"/>
    <w:rsid w:val="62BB39F8"/>
    <w:rsid w:val="634B1966"/>
    <w:rsid w:val="64317459"/>
    <w:rsid w:val="66A605FE"/>
    <w:rsid w:val="69AA1412"/>
    <w:rsid w:val="69C3050D"/>
    <w:rsid w:val="69FA5D79"/>
    <w:rsid w:val="6A5B630C"/>
    <w:rsid w:val="6A634D16"/>
    <w:rsid w:val="6A8536B4"/>
    <w:rsid w:val="6B1A31AC"/>
    <w:rsid w:val="6B2E1106"/>
    <w:rsid w:val="6B7A0A73"/>
    <w:rsid w:val="6C526E31"/>
    <w:rsid w:val="6E260257"/>
    <w:rsid w:val="6E832CB1"/>
    <w:rsid w:val="6EEE3B2C"/>
    <w:rsid w:val="71993E7A"/>
    <w:rsid w:val="73A40BFC"/>
    <w:rsid w:val="74DE2104"/>
    <w:rsid w:val="75885E35"/>
    <w:rsid w:val="777021CE"/>
    <w:rsid w:val="778812D2"/>
    <w:rsid w:val="786228DC"/>
    <w:rsid w:val="79352B80"/>
    <w:rsid w:val="796A11C5"/>
    <w:rsid w:val="7AC7532E"/>
    <w:rsid w:val="7ADA3BA0"/>
    <w:rsid w:val="7B7D0F4C"/>
    <w:rsid w:val="7CCC791E"/>
    <w:rsid w:val="7CDB41BD"/>
    <w:rsid w:val="7E381AA2"/>
    <w:rsid w:val="7E8F308D"/>
    <w:rsid w:val="7F080308"/>
    <w:rsid w:val="7F2F1A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6">
    <w:name w:val="Body Text"/>
    <w:basedOn w:val="1"/>
    <w:qFormat/>
    <w:uiPriority w:val="0"/>
    <w:pPr>
      <w:spacing w:after="120"/>
    </w:pPr>
  </w:style>
  <w:style w:type="paragraph" w:styleId="7">
    <w:name w:val="Body Text Indent"/>
    <w:basedOn w:val="1"/>
    <w:next w:val="8"/>
    <w:qFormat/>
    <w:uiPriority w:val="0"/>
    <w:pPr>
      <w:widowControl/>
      <w:spacing w:before="100" w:beforeAutospacing="1" w:after="100" w:afterAutospacing="1"/>
      <w:jc w:val="left"/>
    </w:pPr>
    <w:rPr>
      <w:rFonts w:ascii="宋体" w:cs="宋体"/>
      <w:kern w:val="0"/>
      <w:sz w:val="24"/>
    </w:rPr>
  </w:style>
  <w:style w:type="paragraph" w:styleId="8">
    <w:name w:val="Body Text First Indent 2"/>
    <w:basedOn w:val="7"/>
    <w:next w:val="1"/>
    <w:qFormat/>
    <w:uiPriority w:val="0"/>
    <w:pPr>
      <w:widowControl w:val="0"/>
      <w:spacing w:before="0" w:beforeAutospacing="0" w:after="120" w:afterAutospacing="0"/>
      <w:ind w:left="420" w:leftChars="200" w:firstLine="420" w:firstLineChars="200"/>
      <w:jc w:val="both"/>
    </w:pPr>
    <w:rPr>
      <w:rFonts w:ascii="Times New Roman" w:hAnsi="Times New Roman" w:cs="Times New Roman"/>
      <w:kern w:val="2"/>
      <w:sz w:val="21"/>
      <w:szCs w:val="21"/>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a:t>
            </a:r>
            <a:r>
              <a:rPr lang="en-US" altLang="zh-CN"/>
              <a:t>2024</a:t>
            </a:r>
            <a:r>
              <a:rPr altLang="en-US"/>
              <a:t>年收入支出总表</a:t>
            </a:r>
            <a:endParaRPr lang="en-US" altLang="zh-CN"/>
          </a:p>
        </c:rich>
      </c:tx>
      <c:layout/>
      <c:overlay val="0"/>
      <c:spPr>
        <a:noFill/>
        <a:ln>
          <a:noFill/>
        </a:ln>
        <a:effectLst/>
      </c:spPr>
    </c:title>
    <c:autoTitleDeleted val="0"/>
    <c:plotArea>
      <c:layout>
        <c:manualLayout>
          <c:layoutTarget val="inner"/>
          <c:xMode val="edge"/>
          <c:yMode val="edge"/>
          <c:x val="0.126870971984743"/>
          <c:y val="0.248780487804878"/>
          <c:w val="0.791056162041299"/>
          <c:h val="0.408325203252032"/>
        </c:manualLayout>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收入（万元）</c:v>
                </c:pt>
                <c:pt idx="1">
                  <c:v>支出（万元）</c:v>
                </c:pt>
              </c:strCache>
            </c:strRef>
          </c:cat>
          <c:val>
            <c:numRef>
              <c:f>Sheet1!$B$2:$B$3</c:f>
              <c:numCache>
                <c:formatCode>General</c:formatCode>
                <c:ptCount val="2"/>
                <c:pt idx="0">
                  <c:v>292.29</c:v>
                </c:pt>
                <c:pt idx="1">
                  <c:v>267.29</c:v>
                </c:pt>
              </c:numCache>
            </c:numRef>
          </c:val>
        </c:ser>
        <c:dLbls>
          <c:showLegendKey val="0"/>
          <c:showVal val="1"/>
          <c:showCatName val="0"/>
          <c:showSerName val="0"/>
          <c:showPercent val="0"/>
          <c:showBubbleSize val="0"/>
        </c:dLbls>
        <c:gapWidth val="219"/>
        <c:overlap val="-27"/>
        <c:axId val="193079695"/>
        <c:axId val="631490875"/>
      </c:barChart>
      <c:catAx>
        <c:axId val="193079695"/>
        <c:scaling>
          <c:orientation val="minMax"/>
        </c:scaling>
        <c:delete val="0"/>
        <c:axPos val="b"/>
        <c:title>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1490875"/>
        <c:crosses val="autoZero"/>
        <c:auto val="1"/>
        <c:lblAlgn val="ctr"/>
        <c:lblOffset val="100"/>
        <c:noMultiLvlLbl val="0"/>
      </c:catAx>
      <c:valAx>
        <c:axId val="6314908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307969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财政拨款预算支出</a:t>
            </a:r>
          </a:p>
        </c:rich>
      </c:tx>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基本支出（万元）</c:v>
                </c:pt>
                <c:pt idx="1">
                  <c:v>项目支出（万元）</c:v>
                </c:pt>
              </c:strCache>
            </c:strRef>
          </c:cat>
          <c:val>
            <c:numRef>
              <c:f>Sheet1!$B$2:$B$3</c:f>
              <c:numCache>
                <c:formatCode>General</c:formatCode>
                <c:ptCount val="2"/>
                <c:pt idx="0">
                  <c:v>225.89</c:v>
                </c:pt>
                <c:pt idx="1">
                  <c:v>41.4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财政拨款收入支出表</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一般公共服务支出（万元）</c:v>
                </c:pt>
                <c:pt idx="1">
                  <c:v>社会保障和就业支出（万元）</c:v>
                </c:pt>
                <c:pt idx="2">
                  <c:v>卫生健康支出（万元）</c:v>
                </c:pt>
                <c:pt idx="3">
                  <c:v>住房保障支出（万元）</c:v>
                </c:pt>
              </c:strCache>
            </c:strRef>
          </c:cat>
          <c:val>
            <c:numRef>
              <c:f>Sheet1!$B$2:$B$5</c:f>
              <c:numCache>
                <c:formatCode>General</c:formatCode>
                <c:ptCount val="4"/>
                <c:pt idx="0">
                  <c:v>220</c:v>
                </c:pt>
                <c:pt idx="1">
                  <c:v>24.87</c:v>
                </c:pt>
                <c:pt idx="2">
                  <c:v>10.28</c:v>
                </c:pt>
                <c:pt idx="3">
                  <c:v>12.13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t>三公经费</a:t>
            </a:r>
            <a:r>
              <a:rPr lang="en-US" altLang="zh-CN"/>
              <a:t>”</a:t>
            </a:r>
            <a:r>
              <a:t>预算情况</a:t>
            </a:r>
          </a:p>
        </c:rich>
      </c:tx>
      <c:layout/>
      <c:overlay val="0"/>
      <c:spPr>
        <a:noFill/>
        <a:ln>
          <a:noFill/>
        </a:ln>
        <a:effectLst/>
      </c:spPr>
    </c:title>
    <c:autoTitleDeleted val="0"/>
    <c:plotArea>
      <c:layout>
        <c:manualLayout>
          <c:layoutTarget val="inner"/>
          <c:xMode val="edge"/>
          <c:yMode val="edge"/>
          <c:x val="0.24909"/>
          <c:y val="0.17462"/>
          <c:w val="0.50182"/>
          <c:h val="0.669093333333333"/>
        </c:manualLayout>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公务用车运行维护费</c:v>
                </c:pt>
                <c:pt idx="1">
                  <c:v>接待费</c:v>
                </c:pt>
                <c:pt idx="2">
                  <c:v>因公出入境费</c:v>
                </c:pt>
              </c:strCache>
            </c:strRef>
          </c:cat>
          <c:val>
            <c:numRef>
              <c:f>Sheet1!$B$2:$B$5</c:f>
              <c:numCache>
                <c:formatCode>General</c:formatCode>
                <c:ptCount val="4"/>
                <c:pt idx="0">
                  <c:v>5.04</c:v>
                </c:pt>
                <c:pt idx="1">
                  <c:v>0.33</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Pages>
  <Words>3</Words>
  <Characters>3</Characters>
  <Lines>1</Lines>
  <Paragraphs>1</Paragraphs>
  <TotalTime>7</TotalTime>
  <ScaleCrop>false</ScaleCrop>
  <LinksUpToDate>false</LinksUpToDate>
  <CharactersWithSpaces>3</CharactersWithSpaces>
  <Application>WPS Office_11.1.0.10356_F1E327BC-269C-435d-A152-05C5408002CA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华为</cp:lastModifiedBy>
  <cp:lastPrinted>2018-01-30T09:39:00Z</cp:lastPrinted>
  <dcterms:modified xsi:type="dcterms:W3CDTF">2024-01-22T02:01:52Z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DA5EEDE8947045A984D03B79D01436BC</vt:lpwstr>
  </property>
</Properties>
</file>