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eastAsia" w:ascii="Times New Roman" w:hAnsi="Times New Roman" w:eastAsia="方正黑体_GBK" w:cs="Times New Roman"/>
          <w:sz w:val="52"/>
          <w:szCs w:val="52"/>
          <w:lang w:eastAsia="zh-CN"/>
        </w:rPr>
      </w:pPr>
      <w:r>
        <w:rPr>
          <w:rFonts w:hint="default" w:ascii="Times New Roman" w:hAnsi="Times New Roman" w:eastAsia="方正黑体_GBK" w:cs="Times New Roman"/>
          <w:sz w:val="52"/>
          <w:szCs w:val="52"/>
          <w:lang w:eastAsia="zh-CN"/>
        </w:rPr>
        <w:t>阿坝州</w:t>
      </w:r>
      <w:r>
        <w:rPr>
          <w:rFonts w:hint="eastAsia" w:ascii="Times New Roman" w:hAnsi="Times New Roman" w:eastAsia="方正黑体_GBK" w:cs="Times New Roman"/>
          <w:sz w:val="52"/>
          <w:szCs w:val="52"/>
          <w:lang w:eastAsia="zh-CN"/>
        </w:rPr>
        <w:t>改革研究中心</w:t>
      </w:r>
    </w:p>
    <w:p>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w:t>
      </w:r>
      <w:r>
        <w:rPr>
          <w:rFonts w:hint="eastAsia" w:ascii="Times New Roman" w:hAnsi="Times New Roman" w:eastAsia="方正黑体_GBK" w:cs="Times New Roman"/>
          <w:sz w:val="52"/>
          <w:szCs w:val="52"/>
          <w:lang w:val="en-US" w:eastAsia="zh-CN"/>
        </w:rPr>
        <w:t>1</w:t>
      </w:r>
      <w:r>
        <w:rPr>
          <w:rFonts w:hint="default" w:ascii="Times New Roman" w:hAnsi="Times New Roman" w:eastAsia="方正黑体_GBK" w:cs="Times New Roman"/>
          <w:sz w:val="52"/>
          <w:szCs w:val="52"/>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w:t>
      </w:r>
      <w:r>
        <w:rPr>
          <w:rFonts w:hint="eastAsia" w:ascii="Times New Roman" w:hAnsi="Times New Roman" w:eastAsia="方正黑体_GBK" w:cs="Times New Roman"/>
          <w:sz w:val="52"/>
          <w:szCs w:val="52"/>
          <w:lang w:val="en-US" w:eastAsia="zh-CN"/>
        </w:rPr>
        <w:t>21</w:t>
      </w:r>
      <w:r>
        <w:rPr>
          <w:rFonts w:hint="default" w:ascii="Times New Roman" w:hAnsi="Times New Roman" w:eastAsia="方正黑体_GBK" w:cs="Times New Roman"/>
          <w:sz w:val="52"/>
          <w:szCs w:val="52"/>
        </w:rPr>
        <w:t xml:space="preserve">年 </w:t>
      </w:r>
      <w:r>
        <w:rPr>
          <w:rFonts w:hint="eastAsia" w:ascii="Times New Roman" w:hAnsi="Times New Roman" w:eastAsia="方正黑体_GBK" w:cs="Times New Roman"/>
          <w:sz w:val="52"/>
          <w:szCs w:val="52"/>
          <w:lang w:val="en-US" w:eastAsia="zh-CN"/>
        </w:rPr>
        <w:t>2</w:t>
      </w:r>
      <w:r>
        <w:rPr>
          <w:rFonts w:hint="default" w:ascii="Times New Roman" w:hAnsi="Times New Roman" w:eastAsia="方正黑体_GBK" w:cs="Times New Roman"/>
          <w:sz w:val="52"/>
          <w:szCs w:val="52"/>
        </w:rPr>
        <w:t>月</w:t>
      </w:r>
      <w:r>
        <w:rPr>
          <w:rFonts w:hint="default" w:ascii="Times New Roman" w:hAnsi="Times New Roman" w:eastAsia="方正黑体_GBK" w:cs="Times New Roman"/>
          <w:sz w:val="52"/>
          <w:szCs w:val="52"/>
          <w:lang w:val="en-US" w:eastAsia="zh-CN"/>
        </w:rPr>
        <w:t>1</w:t>
      </w:r>
      <w:r>
        <w:rPr>
          <w:rFonts w:hint="default" w:ascii="Times New Roman" w:hAnsi="Times New Roman" w:eastAsia="方正黑体_GBK" w:cs="Times New Roman"/>
          <w:sz w:val="52"/>
          <w:szCs w:val="52"/>
        </w:rPr>
        <w:t>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3120" w:firstLineChars="600"/>
        <w:rPr>
          <w:rFonts w:hint="default" w:ascii="Times New Roman" w:hAnsi="Times New Roman" w:eastAsia="方正黑体_GBK" w:cs="Times New Roman"/>
          <w:sz w:val="52"/>
          <w:szCs w:val="52"/>
        </w:rPr>
        <w:sectPr>
          <w:footerReference r:id="rId3" w:type="default"/>
          <w:pgSz w:w="11906" w:h="16838"/>
          <w:pgMar w:top="2120" w:right="1463" w:bottom="2007" w:left="1576" w:header="851" w:footer="992" w:gutter="0"/>
          <w:pgNumType w:fmt="numberInDash"/>
          <w:cols w:space="425" w:num="1"/>
          <w:docGrid w:type="lines" w:linePitch="312" w:charSpace="0"/>
        </w:sectPr>
      </w:pPr>
    </w:p>
    <w:p>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pPr>
        <w:keepNext w:val="0"/>
        <w:keepLines w:val="0"/>
        <w:pageBreakBefore w:val="0"/>
        <w:kinsoku/>
        <w:wordWrap/>
        <w:overflowPunct/>
        <w:topLinePunct w:val="0"/>
        <w:autoSpaceDE/>
        <w:autoSpaceDN/>
        <w:bidi w:val="0"/>
        <w:adjustRightInd/>
        <w:snapToGrid/>
        <w:ind w:right="0" w:firstLine="880" w:firstLineChars="200"/>
        <w:textAlignment w:val="auto"/>
        <w:rPr>
          <w:rFonts w:hint="default" w:ascii="Times New Roman" w:hAnsi="Times New Roman" w:eastAsia="黑体" w:cs="Times New Roman"/>
          <w:sz w:val="44"/>
          <w:szCs w:val="44"/>
        </w:rPr>
      </w:pPr>
    </w:p>
    <w:p>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p>
    <w:p>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（一）部门职能简介</w:t>
      </w:r>
    </w:p>
    <w:p>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年重点工作</w:t>
      </w:r>
    </w:p>
    <w:p>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二、部门预算单位构成</w:t>
      </w:r>
    </w:p>
    <w:p>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三、收支预算情况说明</w:t>
      </w:r>
    </w:p>
    <w:p>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（一）收入预算情况</w:t>
      </w:r>
    </w:p>
    <w:p>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（二）支出预算情况</w:t>
      </w:r>
    </w:p>
    <w:p>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四、财政拨款收支预算情况说明</w:t>
      </w:r>
    </w:p>
    <w:p>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五、一般公共预算当年拨款情况说明</w:t>
      </w:r>
    </w:p>
    <w:p>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六、一般公共预算基本支出情况说明</w:t>
      </w:r>
    </w:p>
    <w:p>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七、“三公”经费财政拨款预算安排情况说明</w:t>
      </w:r>
    </w:p>
    <w:p>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八、政府性基金预算支出情况说明</w:t>
      </w:r>
    </w:p>
    <w:p>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九、其他重要事项的情况说明</w:t>
      </w:r>
    </w:p>
    <w:p>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方正黑体_GBK" w:cs="Times New Roman"/>
          <w:kern w:val="2"/>
          <w:sz w:val="32"/>
          <w:szCs w:val="32"/>
          <w:lang w:val="en-US" w:eastAsia="zh-CN" w:bidi="ar-SA"/>
        </w:rPr>
        <w:t>十、名称解释</w:t>
      </w: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290" w:lineRule="atLeast"/>
        <w:ind w:right="0" w:firstLine="240" w:firstLineChars="200"/>
        <w:jc w:val="left"/>
        <w:textAlignment w:val="auto"/>
        <w:rPr>
          <w:rFonts w:hint="default" w:ascii="Times New Roman" w:hAnsi="Times New Roman" w:eastAsia="方正黑体_GBK" w:cs="Times New Roman"/>
          <w:kern w:val="0"/>
          <w:sz w:val="12"/>
          <w:szCs w:val="12"/>
        </w:rPr>
      </w:pP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按照州委全面深化改革委员会的安排，收集9个改革专项小组开展全面深化改革重大问题的政策研究问题及成果；汇总有关改革问题的信息资料，及时跟踪改革热点、追踪理论前沿、解读重大政策、展示基层亮点；收集编发州内外深化改革工作经验；协调或参与有关研究机构和专家学者就改革重要问题进行研究和咨询；完成州委全面深化改革委员会交办的其他工作。</w:t>
      </w:r>
    </w:p>
    <w:p>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1</w:t>
      </w:r>
      <w:r>
        <w:rPr>
          <w:rFonts w:hint="default" w:ascii="Times New Roman" w:hAnsi="Times New Roman" w:eastAsia="方正楷体_GBK" w:cs="Times New Roman"/>
          <w:b/>
          <w:bCs/>
          <w:sz w:val="32"/>
          <w:szCs w:val="32"/>
        </w:rPr>
        <w:t>年重点工作</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2021年，</w:t>
      </w:r>
      <w:r>
        <w:rPr>
          <w:rFonts w:hint="default" w:ascii="Times New Roman" w:hAnsi="Times New Roman" w:eastAsia="方正仿宋_GBK" w:cs="Times New Roman"/>
          <w:sz w:val="32"/>
          <w:szCs w:val="32"/>
          <w:lang w:val="en-US" w:eastAsia="zh-CN"/>
        </w:rPr>
        <w:t>我</w:t>
      </w:r>
      <w:r>
        <w:rPr>
          <w:rFonts w:hint="eastAsia" w:ascii="Times New Roman" w:hAnsi="Times New Roman" w:eastAsia="方正仿宋_GBK" w:cs="Times New Roman"/>
          <w:sz w:val="32"/>
          <w:szCs w:val="32"/>
          <w:lang w:val="en-US" w:eastAsia="zh-CN"/>
        </w:rPr>
        <w:t>中心</w:t>
      </w:r>
      <w:r>
        <w:rPr>
          <w:rFonts w:hint="default" w:ascii="Times New Roman" w:hAnsi="Times New Roman" w:eastAsia="方正仿宋_GBK" w:cs="Times New Roman"/>
          <w:sz w:val="32"/>
          <w:szCs w:val="32"/>
          <w:lang w:val="en-US" w:eastAsia="zh-CN"/>
        </w:rPr>
        <w:t>将紧紧围绕州委中心工作和全州工作大局，</w:t>
      </w:r>
      <w:r>
        <w:rPr>
          <w:rFonts w:hint="eastAsia" w:ascii="Times New Roman" w:hAnsi="Times New Roman" w:eastAsia="方正仿宋_GBK" w:cs="Times New Roman"/>
          <w:sz w:val="32"/>
          <w:szCs w:val="32"/>
          <w:lang w:val="en-US" w:eastAsia="zh-CN"/>
        </w:rPr>
        <w:t>结合工作职责，着力抓好以下工作。</w:t>
      </w:r>
      <w:r>
        <w:rPr>
          <w:rFonts w:hint="eastAsia" w:ascii="方正楷体_GBK" w:hAnsi="方正楷体_GBK" w:eastAsia="方正楷体_GBK" w:cs="方正楷体_GBK"/>
          <w:b/>
          <w:bCs/>
          <w:sz w:val="32"/>
          <w:szCs w:val="32"/>
          <w:lang w:val="en-US" w:eastAsia="zh-CN"/>
        </w:rPr>
        <w:t>一是强化改革工作谋划。</w:t>
      </w:r>
      <w:r>
        <w:rPr>
          <w:rFonts w:hint="eastAsia" w:ascii="Times New Roman" w:hAnsi="Times New Roman" w:eastAsia="方正仿宋_GBK" w:cs="Times New Roman"/>
          <w:sz w:val="32"/>
          <w:szCs w:val="32"/>
          <w:lang w:val="en-US" w:eastAsia="zh-CN"/>
        </w:rPr>
        <w:t>对标中央、省委改革决策部署和州委改革要求，聚焦重点领域和关键环节，结合州“十四五”规划</w:t>
      </w:r>
      <w:r>
        <w:rPr>
          <w:rFonts w:hint="default" w:ascii="Times New Roman" w:hAnsi="Times New Roman" w:eastAsia="方正仿宋_GBK" w:cs="Times New Roman"/>
          <w:sz w:val="32"/>
          <w:szCs w:val="32"/>
          <w:lang w:val="en-US" w:eastAsia="zh-CN"/>
        </w:rPr>
        <w:t>纲</w:t>
      </w:r>
      <w:r>
        <w:rPr>
          <w:rFonts w:hint="eastAsia" w:ascii="Times New Roman" w:hAnsi="Times New Roman" w:eastAsia="方正仿宋_GBK" w:cs="Times New Roman"/>
          <w:sz w:val="32"/>
          <w:szCs w:val="32"/>
          <w:lang w:val="en-US" w:eastAsia="zh-CN"/>
        </w:rPr>
        <w:t>要</w:t>
      </w:r>
      <w:r>
        <w:rPr>
          <w:rFonts w:hint="default" w:ascii="Times New Roman" w:hAnsi="Times New Roman" w:eastAsia="方正仿宋_GBK" w:cs="Times New Roman"/>
          <w:sz w:val="32"/>
          <w:szCs w:val="32"/>
          <w:lang w:val="en-US" w:eastAsia="zh-CN"/>
        </w:rPr>
        <w:t>谋划</w:t>
      </w:r>
      <w:r>
        <w:rPr>
          <w:rFonts w:hint="eastAsia" w:ascii="Times New Roman" w:hAnsi="Times New Roman" w:eastAsia="方正仿宋_GBK" w:cs="Times New Roman"/>
          <w:sz w:val="32"/>
          <w:szCs w:val="32"/>
          <w:lang w:val="en-US" w:eastAsia="zh-CN"/>
        </w:rPr>
        <w:t>重大改革</w:t>
      </w:r>
      <w:r>
        <w:rPr>
          <w:rFonts w:hint="default" w:ascii="Times New Roman" w:hAnsi="Times New Roman" w:eastAsia="方正仿宋_GBK" w:cs="Times New Roman"/>
          <w:sz w:val="32"/>
          <w:szCs w:val="32"/>
          <w:lang w:val="en-US" w:eastAsia="zh-CN"/>
        </w:rPr>
        <w:t>工作</w:t>
      </w:r>
      <w:r>
        <w:rPr>
          <w:rFonts w:hint="eastAsia" w:ascii="Times New Roman" w:hAnsi="Times New Roman" w:eastAsia="方正仿宋_GBK" w:cs="Times New Roman"/>
          <w:sz w:val="32"/>
          <w:szCs w:val="32"/>
          <w:lang w:val="en-US" w:eastAsia="zh-CN"/>
        </w:rPr>
        <w:t>，提出年度改革工作要点、重大改革事项、工作台账等。加强对改革方案的审核把关和改革工作督察，认真做好改革考核，努力提升服务改革能力和水平。</w:t>
      </w:r>
      <w:r>
        <w:rPr>
          <w:rFonts w:hint="eastAsia" w:ascii="方正楷体_GBK" w:hAnsi="方正楷体_GBK" w:eastAsia="方正楷体_GBK" w:cs="方正楷体_GBK"/>
          <w:b/>
          <w:bCs/>
          <w:sz w:val="32"/>
          <w:szCs w:val="32"/>
          <w:lang w:val="en-US" w:eastAsia="zh-CN"/>
        </w:rPr>
        <w:t>二是增强调查研究深度。</w:t>
      </w:r>
      <w:r>
        <w:rPr>
          <w:rFonts w:hint="eastAsia" w:ascii="Times New Roman" w:hAnsi="Times New Roman" w:eastAsia="方正仿宋_GBK" w:cs="Times New Roman"/>
          <w:sz w:val="32"/>
          <w:szCs w:val="32"/>
          <w:lang w:val="en-US" w:eastAsia="zh-CN"/>
        </w:rPr>
        <w:t>紧扣州委重大战略调整和年度调研工作安排，聚焦村级建制调整、基层治理、乡村振兴等关键环节和重要领域，锁定群众关注的热点、领导关注的重点，有针对性的开展调研，为州委决策提供参考服务。</w:t>
      </w:r>
      <w:r>
        <w:rPr>
          <w:rFonts w:hint="eastAsia" w:ascii="方正楷体_GBK" w:hAnsi="方正楷体_GBK" w:eastAsia="方正楷体_GBK" w:cs="方正楷体_GBK"/>
          <w:b/>
          <w:bCs/>
          <w:sz w:val="32"/>
          <w:szCs w:val="32"/>
          <w:lang w:val="en-US" w:eastAsia="zh-CN"/>
        </w:rPr>
        <w:t>三是提升文稿服务质量。</w:t>
      </w:r>
      <w:r>
        <w:rPr>
          <w:rFonts w:hint="eastAsia" w:ascii="Times New Roman" w:hAnsi="Times New Roman" w:eastAsia="方正仿宋_GBK" w:cs="Times New Roman"/>
          <w:sz w:val="32"/>
          <w:szCs w:val="32"/>
          <w:lang w:val="en-US" w:eastAsia="zh-CN"/>
        </w:rPr>
        <w:t>加强文稿队伍建设，树立主动服务意识、精品意识，高质量完成领导讲话、重要综合性文稿起草工作。</w:t>
      </w:r>
      <w:r>
        <w:rPr>
          <w:rFonts w:hint="default" w:ascii="Times New Roman" w:hAnsi="Times New Roman" w:eastAsia="方正仿宋_GBK" w:cs="Times New Roman"/>
          <w:sz w:val="32"/>
          <w:szCs w:val="32"/>
          <w:lang w:val="en-US" w:eastAsia="zh-CN"/>
        </w:rPr>
        <w:t>用好</w:t>
      </w:r>
      <w:r>
        <w:rPr>
          <w:rFonts w:hint="eastAsia" w:ascii="Times New Roman" w:hAnsi="Times New Roman" w:eastAsia="方正仿宋_GBK" w:cs="Times New Roman"/>
          <w:sz w:val="32"/>
          <w:szCs w:val="32"/>
          <w:lang w:val="en-US" w:eastAsia="zh-CN"/>
        </w:rPr>
        <w:t>用活</w:t>
      </w:r>
      <w:r>
        <w:rPr>
          <w:rFonts w:hint="default" w:ascii="Times New Roman" w:hAnsi="Times New Roman" w:eastAsia="方正仿宋_GBK" w:cs="Times New Roman"/>
          <w:sz w:val="32"/>
          <w:szCs w:val="32"/>
          <w:lang w:val="en-US" w:eastAsia="zh-CN"/>
        </w:rPr>
        <w:t>《阿坝研究》和《领导要参》刊物平台</w:t>
      </w:r>
      <w:r>
        <w:rPr>
          <w:rFonts w:hint="eastAsia" w:ascii="Times New Roman" w:hAnsi="Times New Roman" w:eastAsia="方正仿宋_GBK" w:cs="Times New Roman"/>
          <w:sz w:val="32"/>
          <w:szCs w:val="32"/>
          <w:lang w:val="en-US" w:eastAsia="zh-CN"/>
        </w:rPr>
        <w:t>，突出《领导要参》的前瞻性和敏锐性，树立好阿坝政研整体形象。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w:t>
      </w:r>
      <w:r>
        <w:rPr>
          <w:rFonts w:hint="default" w:ascii="Times New Roman" w:hAnsi="Times New Roman" w:eastAsia="方正仿宋_GBK" w:cs="Times New Roman"/>
          <w:sz w:val="32"/>
          <w:szCs w:val="32"/>
          <w:lang w:eastAsia="zh-CN"/>
        </w:rPr>
        <w:t>属一级预算单位</w:t>
      </w:r>
      <w:r>
        <w:rPr>
          <w:rFonts w:hint="eastAsia"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总编制4名</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在职人员总数</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名。</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w:t>
      </w:r>
      <w:r>
        <w:rPr>
          <w:rFonts w:hint="eastAsia" w:ascii="Times New Roman" w:hAnsi="Times New Roman" w:eastAsia="方正仿宋_GBK" w:cs="Times New Roman"/>
          <w:sz w:val="32"/>
          <w:szCs w:val="32"/>
          <w:lang w:eastAsia="zh-CN"/>
        </w:rPr>
        <w:t>中心</w:t>
      </w:r>
      <w:r>
        <w:rPr>
          <w:rFonts w:hint="default" w:ascii="Times New Roman" w:hAnsi="Times New Roman" w:eastAsia="方正仿宋_GBK" w:cs="Times New Roman"/>
          <w:sz w:val="32"/>
          <w:szCs w:val="32"/>
        </w:rPr>
        <w:t>所有收入和支出均纳入部门预算管理。收入包括：一般公共预算拨款收入</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11.22</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eastAsia" w:ascii="Times New Roman" w:hAnsi="Times New Roman" w:eastAsia="方正仿宋_GBK" w:cs="Times New Roman"/>
          <w:sz w:val="32"/>
          <w:szCs w:val="32"/>
          <w:lang w:val="en-US" w:eastAsia="zh-CN"/>
        </w:rPr>
        <w:t>2.42</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0.77</w:t>
      </w:r>
      <w:r>
        <w:rPr>
          <w:rFonts w:hint="default" w:ascii="Times New Roman" w:hAnsi="Times New Roman" w:eastAsia="方正仿宋_GBK" w:cs="Times New Roman"/>
          <w:sz w:val="32"/>
          <w:szCs w:val="32"/>
        </w:rPr>
        <w:t>万元，住房保出</w:t>
      </w:r>
      <w:r>
        <w:rPr>
          <w:rFonts w:hint="eastAsia" w:ascii="Times New Roman" w:hAnsi="Times New Roman" w:eastAsia="方正仿宋_GBK" w:cs="Times New Roman"/>
          <w:sz w:val="32"/>
          <w:szCs w:val="32"/>
          <w:lang w:val="en-US" w:eastAsia="zh-CN"/>
        </w:rPr>
        <w:t>1.58</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万元，其中：一般公共预算拨款收入</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8.79</w:t>
      </w:r>
      <w:r>
        <w:rPr>
          <w:rFonts w:hint="default" w:ascii="Times New Roman" w:hAnsi="Times New Roman" w:eastAsia="方正仿宋_GBK" w:cs="Times New Roman"/>
          <w:sz w:val="32"/>
          <w:szCs w:val="32"/>
        </w:rPr>
        <w:t>万元，主要原因:</w:t>
      </w:r>
      <w:r>
        <w:rPr>
          <w:rFonts w:hint="eastAsia" w:ascii="Times New Roman" w:hAnsi="Times New Roman" w:eastAsia="方正仿宋_GBK" w:cs="Times New Roman"/>
          <w:sz w:val="32"/>
          <w:szCs w:val="32"/>
          <w:lang w:eastAsia="zh-CN"/>
        </w:rPr>
        <w:t>一般公共服务支出减少</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sz w:val="32"/>
          <w:szCs w:val="32"/>
        </w:rPr>
        <w:t>收入包括：本年一般公共预算拨款收入</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11.22</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eastAsia" w:ascii="Times New Roman" w:hAnsi="Times New Roman" w:eastAsia="方正仿宋_GBK" w:cs="Times New Roman"/>
          <w:sz w:val="32"/>
          <w:szCs w:val="32"/>
          <w:lang w:val="en-US" w:eastAsia="zh-CN"/>
        </w:rPr>
        <w:t>2.42</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0.77</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1.58</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bookmarkStart w:id="0" w:name="_GoBack"/>
      <w:bookmarkEnd w:id="0"/>
      <w:r>
        <w:rPr>
          <w:rFonts w:hint="default" w:ascii="Times New Roman" w:hAnsi="Times New Roman" w:eastAsia="方正仿宋_GBK" w:cs="Times New Roman"/>
          <w:sz w:val="32"/>
          <w:szCs w:val="32"/>
        </w:rPr>
        <w:t>年一般公共预算当年拨款</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年预算数</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8.79</w:t>
      </w:r>
      <w:r>
        <w:rPr>
          <w:rFonts w:hint="default" w:ascii="Times New Roman" w:hAnsi="Times New Roman" w:eastAsia="方正仿宋_GBK" w:cs="Times New Roman"/>
          <w:sz w:val="32"/>
          <w:szCs w:val="32"/>
        </w:rPr>
        <w:t>万元，主要是</w:t>
      </w:r>
      <w:r>
        <w:rPr>
          <w:rFonts w:hint="eastAsia" w:ascii="Times New Roman" w:hAnsi="Times New Roman" w:eastAsia="方正仿宋_GBK" w:cs="Times New Roman"/>
          <w:sz w:val="32"/>
          <w:szCs w:val="32"/>
          <w:lang w:eastAsia="zh-CN"/>
        </w:rPr>
        <w:t>一般公共服务</w:t>
      </w:r>
      <w:r>
        <w:rPr>
          <w:rFonts w:hint="default" w:ascii="Times New Roman" w:hAnsi="Times New Roman" w:eastAsia="方正仿宋_GBK" w:cs="Times New Roman"/>
          <w:sz w:val="32"/>
          <w:szCs w:val="32"/>
        </w:rPr>
        <w:t>支出</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9.29</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，社会保障和就业支出增加</w:t>
      </w:r>
      <w:r>
        <w:rPr>
          <w:rFonts w:hint="eastAsia" w:ascii="Times New Roman" w:hAnsi="Times New Roman" w:eastAsia="方正仿宋_GBK" w:cs="Times New Roman"/>
          <w:sz w:val="32"/>
          <w:szCs w:val="32"/>
          <w:lang w:val="en-US" w:eastAsia="zh-CN"/>
        </w:rPr>
        <w:t>2.42，主要原因是2020年度社会保障和就业支出与行政（州委政研室）一并预算</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eastAsia" w:ascii="Times New Roman" w:hAnsi="Times New Roman" w:eastAsia="方正仿宋_GBK" w:cs="Times New Roman"/>
          <w:sz w:val="32"/>
          <w:szCs w:val="32"/>
          <w:lang w:val="en-US" w:eastAsia="zh-CN"/>
        </w:rPr>
        <w:t>11.22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70.17</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eastAsia" w:ascii="Times New Roman" w:hAnsi="Times New Roman" w:eastAsia="方正仿宋_GBK" w:cs="Times New Roman"/>
          <w:sz w:val="32"/>
          <w:szCs w:val="32"/>
          <w:lang w:val="en-US" w:eastAsia="zh-CN"/>
        </w:rPr>
        <w:t>2.42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15.13</w:t>
      </w:r>
      <w:r>
        <w:rPr>
          <w:rFonts w:hint="default" w:ascii="Times New Roman" w:hAnsi="Times New Roman" w:eastAsia="方正仿宋_GBK" w:cs="Times New Roman"/>
          <w:sz w:val="32"/>
          <w:szCs w:val="32"/>
        </w:rPr>
        <w:t>%；医疗卫生与计划生育支出</w:t>
      </w:r>
      <w:r>
        <w:rPr>
          <w:rFonts w:hint="eastAsia" w:ascii="Times New Roman" w:hAnsi="Times New Roman" w:eastAsia="方正仿宋_GBK" w:cs="Times New Roman"/>
          <w:sz w:val="32"/>
          <w:szCs w:val="32"/>
          <w:lang w:val="en-US" w:eastAsia="zh-CN"/>
        </w:rPr>
        <w:t>0.77</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4.82</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1.58</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9.88</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w:t>
      </w:r>
      <w:r>
        <w:rPr>
          <w:rFonts w:hint="eastAsia" w:ascii="Times New Roman" w:hAnsi="Times New Roman" w:eastAsia="方正楷体_GBK" w:cs="Times New Roman"/>
          <w:b/>
          <w:bCs/>
          <w:sz w:val="32"/>
          <w:szCs w:val="32"/>
          <w:lang w:eastAsia="zh-CN"/>
        </w:rPr>
        <w:t>服务</w:t>
      </w:r>
      <w:r>
        <w:rPr>
          <w:rFonts w:hint="default" w:ascii="Times New Roman" w:hAnsi="Times New Roman" w:eastAsia="方正楷体_GBK" w:cs="Times New Roman"/>
          <w:b/>
          <w:bCs/>
          <w:sz w:val="32"/>
          <w:szCs w:val="32"/>
        </w:rPr>
        <w:t>（类）预算当年拨款具体使用情况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我中心无</w:t>
      </w:r>
      <w:r>
        <w:rPr>
          <w:rFonts w:hint="default" w:ascii="Times New Roman" w:hAnsi="Times New Roman" w:eastAsia="方正仿宋_GBK" w:cs="Times New Roman"/>
          <w:sz w:val="32"/>
          <w:szCs w:val="32"/>
        </w:rPr>
        <w:t>一般公共服务（类）</w:t>
      </w:r>
      <w:r>
        <w:rPr>
          <w:rFonts w:hint="eastAsia" w:ascii="Times New Roman" w:hAnsi="Times New Roman" w:eastAsia="方正仿宋_GBK" w:cs="Times New Roman"/>
          <w:sz w:val="32"/>
          <w:szCs w:val="32"/>
          <w:lang w:eastAsia="zh-CN"/>
        </w:rPr>
        <w:t>项目</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年一般公共预算基本支出</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13.75</w:t>
      </w:r>
      <w:r>
        <w:rPr>
          <w:rFonts w:hint="default" w:ascii="Times New Roman" w:hAnsi="Times New Roman" w:eastAsia="方正仿宋_GBK" w:cs="Times New Roman"/>
          <w:sz w:val="32"/>
          <w:szCs w:val="32"/>
        </w:rPr>
        <w:t>万元，主要包括：基本工资</w:t>
      </w:r>
      <w:r>
        <w:rPr>
          <w:rFonts w:hint="eastAsia" w:ascii="Times New Roman" w:hAnsi="Times New Roman" w:eastAsia="方正仿宋_GBK" w:cs="Times New Roman"/>
          <w:sz w:val="32"/>
          <w:szCs w:val="32"/>
          <w:lang w:val="en-US" w:eastAsia="zh-CN"/>
        </w:rPr>
        <w:t>3.77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、津贴补贴</w:t>
      </w:r>
      <w:r>
        <w:rPr>
          <w:rFonts w:hint="eastAsia" w:ascii="Times New Roman" w:hAnsi="Times New Roman" w:eastAsia="方正仿宋_GBK" w:cs="Times New Roman"/>
          <w:sz w:val="32"/>
          <w:szCs w:val="32"/>
          <w:lang w:val="en-US" w:eastAsia="zh-CN"/>
        </w:rPr>
        <w:t>2.49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、绩效工资</w:t>
      </w:r>
      <w:r>
        <w:rPr>
          <w:rFonts w:hint="eastAsia" w:ascii="Times New Roman" w:hAnsi="Times New Roman" w:eastAsia="方正仿宋_GBK" w:cs="Times New Roman"/>
          <w:sz w:val="32"/>
          <w:szCs w:val="32"/>
          <w:lang w:val="en-US" w:eastAsia="zh-CN"/>
        </w:rPr>
        <w:t>2.37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、机关事业单位基本养老保险缴费</w:t>
      </w:r>
      <w:r>
        <w:rPr>
          <w:rFonts w:hint="eastAsia" w:ascii="Times New Roman" w:hAnsi="Times New Roman" w:eastAsia="方正仿宋_GBK" w:cs="Times New Roman"/>
          <w:sz w:val="32"/>
          <w:szCs w:val="32"/>
          <w:lang w:val="en-US" w:eastAsia="zh-CN"/>
        </w:rPr>
        <w:t>1.73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、职业年金缴费</w:t>
      </w:r>
      <w:r>
        <w:rPr>
          <w:rFonts w:hint="eastAsia" w:ascii="Times New Roman" w:hAnsi="Times New Roman" w:eastAsia="方正仿宋_GBK" w:cs="Times New Roman"/>
          <w:sz w:val="32"/>
          <w:szCs w:val="32"/>
          <w:lang w:val="en-US" w:eastAsia="zh-CN"/>
        </w:rPr>
        <w:t>0.69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eastAsia" w:ascii="Times New Roman" w:hAnsi="Times New Roman" w:eastAsia="方正仿宋_GBK" w:cs="Times New Roman"/>
          <w:sz w:val="32"/>
          <w:szCs w:val="32"/>
          <w:lang w:val="en-US" w:eastAsia="zh-CN"/>
        </w:rPr>
        <w:t>0.59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其他社会保障缴费</w:t>
      </w:r>
      <w:r>
        <w:rPr>
          <w:rFonts w:hint="eastAsia" w:ascii="Times New Roman" w:hAnsi="Times New Roman" w:eastAsia="方正仿宋_GBK" w:cs="Times New Roman"/>
          <w:sz w:val="32"/>
          <w:szCs w:val="32"/>
          <w:lang w:val="en-US" w:eastAsia="zh-CN"/>
        </w:rPr>
        <w:t>0.54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lang w:val="en-US" w:eastAsia="zh-CN"/>
        </w:rPr>
        <w:t>1.58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。公用经费</w:t>
      </w:r>
      <w:r>
        <w:rPr>
          <w:rFonts w:hint="eastAsia" w:ascii="Times New Roman" w:hAnsi="Times New Roman" w:eastAsia="方正仿宋_GBK" w:cs="Times New Roman"/>
          <w:sz w:val="32"/>
          <w:szCs w:val="32"/>
          <w:lang w:val="en-US" w:eastAsia="zh-CN"/>
        </w:rPr>
        <w:t>2.23</w:t>
      </w:r>
      <w:r>
        <w:rPr>
          <w:rFonts w:hint="default" w:ascii="Times New Roman" w:hAnsi="Times New Roman" w:eastAsia="方正仿宋_GBK" w:cs="Times New Roman"/>
          <w:sz w:val="32"/>
          <w:szCs w:val="32"/>
        </w:rPr>
        <w:t>万元，主要包括：办公费</w:t>
      </w:r>
      <w:r>
        <w:rPr>
          <w:rFonts w:hint="eastAsia" w:ascii="Times New Roman" w:hAnsi="Times New Roman" w:eastAsia="方正仿宋_GBK" w:cs="Times New Roman"/>
          <w:sz w:val="32"/>
          <w:szCs w:val="32"/>
          <w:lang w:val="en-US" w:eastAsia="zh-CN"/>
        </w:rPr>
        <w:t>0.11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、水电费</w:t>
      </w:r>
      <w:r>
        <w:rPr>
          <w:rFonts w:hint="default"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03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、邮电费</w:t>
      </w:r>
      <w:r>
        <w:rPr>
          <w:rFonts w:hint="eastAsia" w:ascii="Times New Roman" w:hAnsi="Times New Roman" w:eastAsia="方正仿宋_GBK" w:cs="Times New Roman"/>
          <w:sz w:val="32"/>
          <w:szCs w:val="32"/>
          <w:lang w:val="en-US" w:eastAsia="zh-CN"/>
        </w:rPr>
        <w:t>0.27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eastAsia" w:ascii="Times New Roman" w:hAnsi="Times New Roman" w:eastAsia="方正仿宋_GBK" w:cs="Times New Roman"/>
          <w:sz w:val="32"/>
          <w:szCs w:val="32"/>
          <w:lang w:val="en-US" w:eastAsia="zh-CN"/>
        </w:rPr>
        <w:t>0.04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差旅费</w:t>
      </w:r>
      <w:r>
        <w:rPr>
          <w:rFonts w:hint="eastAsia" w:ascii="Times New Roman" w:hAnsi="Times New Roman" w:eastAsia="方正仿宋_GBK" w:cs="Times New Roman"/>
          <w:sz w:val="32"/>
          <w:szCs w:val="32"/>
          <w:lang w:val="en-US" w:eastAsia="zh-CN"/>
        </w:rPr>
        <w:t>0.96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、培训费</w:t>
      </w:r>
      <w:r>
        <w:rPr>
          <w:rFonts w:hint="eastAsia" w:ascii="Times New Roman" w:hAnsi="Times New Roman" w:eastAsia="方正仿宋_GBK" w:cs="Times New Roman"/>
          <w:sz w:val="32"/>
          <w:szCs w:val="32"/>
          <w:lang w:val="en-US" w:eastAsia="zh-CN"/>
        </w:rPr>
        <w:t>0.11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公务接待费</w:t>
      </w:r>
      <w:r>
        <w:rPr>
          <w:rFonts w:hint="eastAsia" w:ascii="Times New Roman" w:hAnsi="Times New Roman" w:eastAsia="方正仿宋_GBK" w:cs="Times New Roman"/>
          <w:sz w:val="32"/>
          <w:szCs w:val="32"/>
          <w:lang w:val="en-US" w:eastAsia="zh-CN"/>
        </w:rPr>
        <w:t>0.04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福利费</w:t>
      </w:r>
      <w:r>
        <w:rPr>
          <w:rFonts w:hint="eastAsia" w:ascii="Times New Roman" w:hAnsi="Times New Roman" w:eastAsia="方正仿宋_GBK" w:cs="Times New Roman"/>
          <w:sz w:val="32"/>
          <w:szCs w:val="32"/>
          <w:lang w:val="en-US" w:eastAsia="zh-CN"/>
        </w:rPr>
        <w:t>0.21</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0.46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年“三公”经费财政拨款预算数</w:t>
      </w:r>
      <w:r>
        <w:rPr>
          <w:rFonts w:hint="eastAsia" w:ascii="Times New Roman" w:hAnsi="Times New Roman" w:eastAsia="方正仿宋_GBK" w:cs="Times New Roman"/>
          <w:sz w:val="32"/>
          <w:szCs w:val="32"/>
          <w:lang w:val="en-US" w:eastAsia="zh-CN"/>
        </w:rPr>
        <w:t>0.04</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eastAsia" w:ascii="Times New Roman" w:hAnsi="Times New Roman" w:eastAsia="方正仿宋_GBK" w:cs="Times New Roman"/>
          <w:sz w:val="32"/>
          <w:szCs w:val="32"/>
          <w:lang w:val="en-US" w:eastAsia="zh-CN"/>
        </w:rPr>
        <w:t>0.04</w:t>
      </w:r>
      <w:r>
        <w:rPr>
          <w:rFonts w:hint="default" w:ascii="Times New Roman" w:hAnsi="Times New Roman" w:eastAsia="方正仿宋_GBK" w:cs="Times New Roman"/>
          <w:sz w:val="32"/>
          <w:szCs w:val="32"/>
        </w:rPr>
        <w:t>万元，公务用车购置及运行维护费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公务接待</w:t>
      </w:r>
      <w:r>
        <w:rPr>
          <w:rFonts w:hint="default" w:ascii="Times New Roman" w:hAnsi="Times New Roman" w:eastAsia="方正仿宋_GBK" w:cs="Times New Roman"/>
          <w:sz w:val="32"/>
          <w:szCs w:val="32"/>
        </w:rPr>
        <w:t>经费</w:t>
      </w:r>
      <w:r>
        <w:rPr>
          <w:rFonts w:hint="eastAsia" w:ascii="Times New Roman" w:hAnsi="Times New Roman" w:eastAsia="方正仿宋_GBK" w:cs="Times New Roman"/>
          <w:sz w:val="32"/>
          <w:szCs w:val="32"/>
          <w:lang w:val="en-US" w:eastAsia="zh-CN"/>
        </w:rPr>
        <w:t>0.04</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0.07</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75</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年公务用车购置及运行维护费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u w:val="none"/>
          <w:lang w:eastAsia="zh-CN"/>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8.79</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54.97</w:t>
      </w:r>
      <w:r>
        <w:rPr>
          <w:rFonts w:hint="default"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u w:val="none"/>
          <w:lang w:eastAsia="zh-CN"/>
        </w:rPr>
        <w:t>一般公共服务</w:t>
      </w:r>
      <w:r>
        <w:rPr>
          <w:rFonts w:hint="default" w:ascii="Times New Roman" w:hAnsi="Times New Roman" w:eastAsia="方正仿宋_GBK" w:cs="Times New Roman"/>
          <w:sz w:val="32"/>
          <w:szCs w:val="32"/>
          <w:u w:val="none"/>
          <w:lang w:eastAsia="zh-CN"/>
        </w:rPr>
        <w:t>支出经费减少。</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年国有资产总数为</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en-US" w:eastAsia="zh-CN"/>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15.99</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（一）财政拨款收入：指由财政拨款形成的部门收入。按现行管理制度，部门预算中反映的财政拨款仅包括一般公共预算拨款和政府性基金预算拨款。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（二）事业收入：指所属事业单位开展专业业务活动及辅助活动所取得的收入。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（三）事业单位经营收入：指所属事业单位在专业业务活动及其辅助活动之外开展非独立核算经营活动取得的收入。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（四）其他收入：指除上述“财政拨款收入”、“事业收入”、“事业单位经营收入”等以外的收入，主要是所属行政事业单位按规定动用的售房收入、存款利息收入等。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4" w:type="default"/>
      <w:pgSz w:w="11906" w:h="16838"/>
      <w:pgMar w:top="2120" w:right="1463" w:bottom="2007" w:left="1576"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433"/>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433"/>
        <w:tab w:val="clear" w:pos="4153"/>
      </w:tabs>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52854"/>
    <w:rsid w:val="00085137"/>
    <w:rsid w:val="00352854"/>
    <w:rsid w:val="003762A5"/>
    <w:rsid w:val="007B3677"/>
    <w:rsid w:val="008F63EB"/>
    <w:rsid w:val="00987B5A"/>
    <w:rsid w:val="00C8183B"/>
    <w:rsid w:val="00F743F0"/>
    <w:rsid w:val="00FF11B9"/>
    <w:rsid w:val="01A1102C"/>
    <w:rsid w:val="04ED4EFA"/>
    <w:rsid w:val="05CD39AD"/>
    <w:rsid w:val="060450D8"/>
    <w:rsid w:val="07E13314"/>
    <w:rsid w:val="08CC674C"/>
    <w:rsid w:val="0C7104A1"/>
    <w:rsid w:val="0CE92D26"/>
    <w:rsid w:val="0E724E0A"/>
    <w:rsid w:val="0F086F9A"/>
    <w:rsid w:val="0FE16BBB"/>
    <w:rsid w:val="10086FF4"/>
    <w:rsid w:val="10EA5A40"/>
    <w:rsid w:val="11C62B12"/>
    <w:rsid w:val="12300067"/>
    <w:rsid w:val="12982917"/>
    <w:rsid w:val="12A0172D"/>
    <w:rsid w:val="1341448C"/>
    <w:rsid w:val="14A71073"/>
    <w:rsid w:val="15AA63B0"/>
    <w:rsid w:val="16895E6C"/>
    <w:rsid w:val="175E32BA"/>
    <w:rsid w:val="1A936B27"/>
    <w:rsid w:val="1B9E7AFB"/>
    <w:rsid w:val="1BD53E33"/>
    <w:rsid w:val="1C9429C6"/>
    <w:rsid w:val="1D1441F1"/>
    <w:rsid w:val="1D194042"/>
    <w:rsid w:val="1E171D0D"/>
    <w:rsid w:val="1EEA60DD"/>
    <w:rsid w:val="213F6C84"/>
    <w:rsid w:val="248676A6"/>
    <w:rsid w:val="24921CFB"/>
    <w:rsid w:val="25E77972"/>
    <w:rsid w:val="2746301C"/>
    <w:rsid w:val="27874A8E"/>
    <w:rsid w:val="27BD578F"/>
    <w:rsid w:val="28F00D1D"/>
    <w:rsid w:val="29B76263"/>
    <w:rsid w:val="2A2D1714"/>
    <w:rsid w:val="2A610972"/>
    <w:rsid w:val="2CD07B7E"/>
    <w:rsid w:val="2D053DBA"/>
    <w:rsid w:val="2D481F04"/>
    <w:rsid w:val="2D5215DD"/>
    <w:rsid w:val="2D5A789B"/>
    <w:rsid w:val="2E9F6D1D"/>
    <w:rsid w:val="30811367"/>
    <w:rsid w:val="314D4DE4"/>
    <w:rsid w:val="323D7A4F"/>
    <w:rsid w:val="34773045"/>
    <w:rsid w:val="35BA511F"/>
    <w:rsid w:val="3602144E"/>
    <w:rsid w:val="364E617B"/>
    <w:rsid w:val="36A42D27"/>
    <w:rsid w:val="36B65C8A"/>
    <w:rsid w:val="37727F15"/>
    <w:rsid w:val="37A63E3C"/>
    <w:rsid w:val="37F04954"/>
    <w:rsid w:val="37F73DF8"/>
    <w:rsid w:val="385211B4"/>
    <w:rsid w:val="38747E2A"/>
    <w:rsid w:val="3AEA1565"/>
    <w:rsid w:val="3BFF2F88"/>
    <w:rsid w:val="3C631C04"/>
    <w:rsid w:val="3F0A54C7"/>
    <w:rsid w:val="3F4A2B93"/>
    <w:rsid w:val="422523DE"/>
    <w:rsid w:val="432974F4"/>
    <w:rsid w:val="4411172D"/>
    <w:rsid w:val="44D05A57"/>
    <w:rsid w:val="47245161"/>
    <w:rsid w:val="47D359D3"/>
    <w:rsid w:val="48454C09"/>
    <w:rsid w:val="4919720F"/>
    <w:rsid w:val="49765AD4"/>
    <w:rsid w:val="4B6949B7"/>
    <w:rsid w:val="4CAB4D77"/>
    <w:rsid w:val="4CB3748E"/>
    <w:rsid w:val="4D1430B4"/>
    <w:rsid w:val="4D3D4C1A"/>
    <w:rsid w:val="4DAB6C16"/>
    <w:rsid w:val="4E5233E9"/>
    <w:rsid w:val="4F211768"/>
    <w:rsid w:val="4F527E94"/>
    <w:rsid w:val="5023740B"/>
    <w:rsid w:val="50673B37"/>
    <w:rsid w:val="50702269"/>
    <w:rsid w:val="51C45B3C"/>
    <w:rsid w:val="54A75BA3"/>
    <w:rsid w:val="557D70C9"/>
    <w:rsid w:val="55846196"/>
    <w:rsid w:val="57880794"/>
    <w:rsid w:val="580D2C7D"/>
    <w:rsid w:val="59B67683"/>
    <w:rsid w:val="5A1C296B"/>
    <w:rsid w:val="5BCD4FD3"/>
    <w:rsid w:val="5D0B59E5"/>
    <w:rsid w:val="5E8814CF"/>
    <w:rsid w:val="5FB0143D"/>
    <w:rsid w:val="60012505"/>
    <w:rsid w:val="601A1CE9"/>
    <w:rsid w:val="605A070E"/>
    <w:rsid w:val="61516D76"/>
    <w:rsid w:val="617475D8"/>
    <w:rsid w:val="61C41C86"/>
    <w:rsid w:val="63D93B77"/>
    <w:rsid w:val="64E028A3"/>
    <w:rsid w:val="65366A09"/>
    <w:rsid w:val="663352A3"/>
    <w:rsid w:val="66DF7B6B"/>
    <w:rsid w:val="697A218E"/>
    <w:rsid w:val="699442FB"/>
    <w:rsid w:val="6BD043E2"/>
    <w:rsid w:val="6DB62961"/>
    <w:rsid w:val="6F53665C"/>
    <w:rsid w:val="703775BE"/>
    <w:rsid w:val="70D71FFC"/>
    <w:rsid w:val="70DB7DEE"/>
    <w:rsid w:val="72756FA3"/>
    <w:rsid w:val="737F4D8A"/>
    <w:rsid w:val="73D2458C"/>
    <w:rsid w:val="74966DAA"/>
    <w:rsid w:val="769510AB"/>
    <w:rsid w:val="76D45B32"/>
    <w:rsid w:val="784829C2"/>
    <w:rsid w:val="78EC51B7"/>
    <w:rsid w:val="790C3DA9"/>
    <w:rsid w:val="7A67070C"/>
    <w:rsid w:val="7BC454F7"/>
    <w:rsid w:val="7BD02AC7"/>
    <w:rsid w:val="7C457197"/>
    <w:rsid w:val="7E06686F"/>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381</Words>
  <Characters>2178</Characters>
  <Lines>18</Lines>
  <Paragraphs>5</Paragraphs>
  <TotalTime>2</TotalTime>
  <ScaleCrop>false</ScaleCrop>
  <LinksUpToDate>false</LinksUpToDate>
  <CharactersWithSpaces>2554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C^_^H</cp:lastModifiedBy>
  <cp:lastPrinted>2020-02-13T06:41:00Z</cp:lastPrinted>
  <dcterms:modified xsi:type="dcterms:W3CDTF">2021-02-04T01:27:36Z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342094753_btnclosed</vt:lpwstr>
  </property>
</Properties>
</file>