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r>
        <w:rPr>
          <w:rFonts w:hint="eastAsia" w:ascii="黑体" w:hAnsi="黑体" w:eastAsia="黑体"/>
          <w:sz w:val="44"/>
          <w:szCs w:val="44"/>
        </w:rPr>
        <w:t>州委政法委</w:t>
      </w:r>
      <w:r>
        <w:rPr>
          <w:rFonts w:ascii="黑体" w:hAnsi="黑体" w:eastAsia="黑体"/>
          <w:sz w:val="44"/>
          <w:szCs w:val="44"/>
        </w:rPr>
        <w:t>202</w:t>
      </w:r>
      <w:r>
        <w:rPr>
          <w:rFonts w:hint="default" w:ascii="黑体" w:hAnsi="黑体" w:eastAsia="黑体"/>
          <w:sz w:val="44"/>
          <w:szCs w:val="44"/>
          <w:lang w:val="en-US"/>
        </w:rPr>
        <w:t>3</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2560" w:firstLineChars="800"/>
        <w:rPr>
          <w:rFonts w:ascii="黑体" w:hAnsi="黑体" w:eastAsia="黑体"/>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年1月2</w:t>
      </w:r>
      <w:r>
        <w:rPr>
          <w:rFonts w:hint="default" w:ascii="仿宋_GB2312" w:hAnsi="仿宋_GB2312" w:eastAsia="仿宋_GB2312" w:cs="仿宋_GB2312"/>
          <w:sz w:val="32"/>
          <w:szCs w:val="32"/>
          <w:lang w:val="en-US"/>
        </w:rPr>
        <w:t>0</w:t>
      </w:r>
      <w:r>
        <w:rPr>
          <w:rFonts w:hint="eastAsia" w:ascii="仿宋_GB2312" w:hAnsi="仿宋_GB2312" w:eastAsia="仿宋_GB2312" w:cs="仿宋_GB2312"/>
          <w:sz w:val="32"/>
          <w:szCs w:val="32"/>
        </w:rPr>
        <w:t>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w:t>
      </w:r>
      <w:r>
        <w:rPr>
          <w:rFonts w:ascii="黑体" w:hAnsi="黑体" w:eastAsia="黑体"/>
          <w:sz w:val="52"/>
          <w:szCs w:val="52"/>
        </w:rPr>
        <w:t xml:space="preserve"> </w:t>
      </w:r>
      <w:r>
        <w:rPr>
          <w:rFonts w:hint="eastAsia" w:ascii="黑体" w:hAnsi="黑体" w:eastAsia="黑体"/>
          <w:sz w:val="52"/>
          <w:szCs w:val="52"/>
        </w:rPr>
        <w:t>录</w:t>
      </w:r>
    </w:p>
    <w:p>
      <w:pPr>
        <w:ind w:firstLine="3080" w:firstLineChars="700"/>
        <w:rPr>
          <w:rFonts w:ascii="黑体" w:hAnsi="黑体" w:eastAsia="黑体"/>
          <w:sz w:val="44"/>
          <w:szCs w:val="44"/>
        </w:rPr>
      </w:pPr>
    </w:p>
    <w:p>
      <w:pPr>
        <w:pStyle w:val="12"/>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pPr>
        <w:rPr>
          <w:rFonts w:ascii="仿宋_GB2312" w:hAnsi="黑体" w:eastAsia="仿宋_GB2312"/>
          <w:sz w:val="32"/>
          <w:szCs w:val="32"/>
        </w:rPr>
      </w:pPr>
      <w:r>
        <w:rPr>
          <w:rFonts w:hint="eastAsia" w:ascii="仿宋_GB2312" w:hAnsi="黑体" w:eastAsia="仿宋_GB2312"/>
          <w:sz w:val="32"/>
          <w:szCs w:val="32"/>
        </w:rPr>
        <w:t>（一）部门职能简介</w:t>
      </w:r>
    </w:p>
    <w:p>
      <w:pPr>
        <w:rPr>
          <w:rFonts w:ascii="仿宋_GB2312" w:hAnsi="黑体" w:eastAsia="仿宋_GB2312"/>
          <w:sz w:val="32"/>
          <w:szCs w:val="32"/>
        </w:rPr>
      </w:pPr>
      <w:r>
        <w:rPr>
          <w:rFonts w:hint="eastAsia" w:ascii="仿宋_GB2312" w:hAnsi="黑体" w:eastAsia="仿宋_GB2312"/>
          <w:sz w:val="32"/>
          <w:szCs w:val="32"/>
        </w:rPr>
        <w:t>（二）</w:t>
      </w:r>
      <w:r>
        <w:rPr>
          <w:rFonts w:ascii="仿宋_GB2312" w:hAnsi="黑体" w:eastAsia="仿宋_GB2312"/>
          <w:sz w:val="32"/>
          <w:szCs w:val="32"/>
        </w:rPr>
        <w:t>202</w:t>
      </w:r>
      <w:r>
        <w:rPr>
          <w:rFonts w:hint="eastAsia" w:ascii="仿宋_GB2312" w:hAnsi="黑体" w:eastAsia="仿宋_GB2312"/>
          <w:sz w:val="32"/>
          <w:szCs w:val="32"/>
          <w:lang w:val="en-US" w:eastAsia="zh-CN"/>
        </w:rPr>
        <w:t>3</w:t>
      </w:r>
      <w:r>
        <w:rPr>
          <w:rFonts w:ascii="仿宋_GB2312" w:hAnsi="黑体" w:eastAsia="仿宋_GB2312"/>
          <w:sz w:val="32"/>
          <w:szCs w:val="32"/>
        </w:rPr>
        <w:t>年</w:t>
      </w:r>
      <w:r>
        <w:rPr>
          <w:rFonts w:hint="eastAsia" w:ascii="仿宋_GB2312" w:hAnsi="黑体" w:eastAsia="仿宋_GB2312"/>
          <w:sz w:val="32"/>
          <w:szCs w:val="32"/>
        </w:rPr>
        <w:t>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rPr>
          <w:rFonts w:ascii="仿宋_GB2312" w:hAnsi="黑体" w:eastAsia="仿宋_GB2312"/>
          <w:sz w:val="32"/>
          <w:szCs w:val="32"/>
        </w:rPr>
      </w:pPr>
      <w:r>
        <w:rPr>
          <w:rFonts w:hint="eastAsia" w:ascii="仿宋_GB2312" w:hAnsi="黑体" w:eastAsia="仿宋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hint="eastAsia"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hint="eastAsia" w:ascii="仿宋_GB2312" w:hAnsi="黑体" w:eastAsia="仿宋_GB2312"/>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spacing w:line="600" w:lineRule="exact"/>
        <w:ind w:firstLine="321" w:firstLineChars="200"/>
        <w:rPr>
          <w:rFonts w:ascii="黑体" w:eastAsia="黑体"/>
          <w:sz w:val="32"/>
          <w:szCs w:val="32"/>
        </w:rPr>
      </w:pPr>
      <w:r>
        <w:rPr>
          <w:rFonts w:hint="eastAsia" w:ascii="黑体" w:hAnsi="??" w:eastAsia="黑体" w:cs="宋体"/>
          <w:b/>
          <w:bCs/>
          <w:sz w:val="16"/>
        </w:rPr>
        <w:t>　</w:t>
      </w:r>
      <w:r>
        <w:rPr>
          <w:rFonts w:hint="eastAsia" w:ascii="黑体" w:eastAsia="黑体"/>
          <w:sz w:val="32"/>
          <w:szCs w:val="32"/>
        </w:rPr>
        <w:t>一、基本职能及主要工作</w:t>
      </w:r>
    </w:p>
    <w:p>
      <w:pPr>
        <w:spacing w:line="600" w:lineRule="exact"/>
        <w:ind w:firstLine="643" w:firstLineChars="200"/>
        <w:rPr>
          <w:rFonts w:ascii="楷体_GB2312" w:eastAsia="楷体_GB2312"/>
          <w:b/>
          <w:sz w:val="32"/>
          <w:szCs w:val="32"/>
        </w:rPr>
      </w:pPr>
      <w:r>
        <w:rPr>
          <w:rFonts w:hint="eastAsia" w:ascii="楷体_GB2312" w:eastAsia="楷体_GB2312"/>
          <w:b/>
          <w:sz w:val="32"/>
          <w:szCs w:val="32"/>
        </w:rPr>
        <w:t>（一）阿坝州委政法委职能简介</w:t>
      </w:r>
    </w:p>
    <w:p>
      <w:pPr>
        <w:spacing w:line="560" w:lineRule="exact"/>
        <w:ind w:firstLine="555"/>
        <w:rPr>
          <w:rFonts w:ascii="仿宋_GB2312" w:eastAsia="仿宋_GB2312"/>
          <w:sz w:val="32"/>
          <w:szCs w:val="32"/>
        </w:rPr>
      </w:pPr>
      <w:r>
        <w:rPr>
          <w:rFonts w:hint="eastAsia" w:ascii="仿宋_GB2312" w:eastAsia="仿宋_GB2312"/>
          <w:sz w:val="32"/>
          <w:szCs w:val="32"/>
        </w:rPr>
        <w:t>1.深入贯彻党的路线方针政策和决策部署，统一政法各部门思想和行动，坚持党对政法工作的绝对领导，坚决维护党中央权威和集中统一领导。</w:t>
      </w:r>
    </w:p>
    <w:p>
      <w:pPr>
        <w:spacing w:line="560" w:lineRule="exact"/>
        <w:ind w:firstLine="555"/>
        <w:rPr>
          <w:rFonts w:ascii="仿宋_GB2312" w:eastAsia="仿宋_GB2312"/>
          <w:sz w:val="32"/>
          <w:szCs w:val="32"/>
        </w:rPr>
      </w:pPr>
      <w:r>
        <w:rPr>
          <w:rFonts w:hint="eastAsia" w:ascii="仿宋_GB2312" w:eastAsia="仿宋_GB2312"/>
          <w:sz w:val="32"/>
          <w:szCs w:val="32"/>
        </w:rPr>
        <w:t>2.深入贯彻党中央决定和省委、州委决策，对政法工作提出全局性部署，推进平安阿坝建设、法治阿坝建设，加强过硬队伍建设，深化智能化建设。</w:t>
      </w:r>
    </w:p>
    <w:p>
      <w:pPr>
        <w:spacing w:line="560" w:lineRule="exact"/>
        <w:ind w:firstLine="555"/>
        <w:rPr>
          <w:rFonts w:ascii="仿宋_GB2312" w:eastAsia="仿宋_GB2312"/>
          <w:sz w:val="32"/>
          <w:szCs w:val="32"/>
        </w:rPr>
      </w:pPr>
      <w:r>
        <w:rPr>
          <w:rFonts w:hint="eastAsia" w:ascii="仿宋_GB2312" w:eastAsia="仿宋_GB2312"/>
          <w:sz w:val="32"/>
          <w:szCs w:val="32"/>
        </w:rPr>
        <w:t>3.组织开展政法领域的调查研究，研究拟订全州政法工作的政策措施，及时向州委提出建议。参与有关民族自治法规、地方性法规和规章的起草、修改工作，及时提出立法建议。</w:t>
      </w:r>
    </w:p>
    <w:p>
      <w:pPr>
        <w:spacing w:line="560" w:lineRule="exact"/>
        <w:ind w:firstLine="555"/>
        <w:rPr>
          <w:rFonts w:ascii="仿宋_GB2312" w:eastAsia="仿宋_GB2312"/>
          <w:sz w:val="32"/>
          <w:szCs w:val="32"/>
        </w:rPr>
      </w:pPr>
      <w:r>
        <w:rPr>
          <w:rFonts w:hint="eastAsia" w:ascii="仿宋_GB2312" w:eastAsia="仿宋_GB2312"/>
          <w:sz w:val="32"/>
          <w:szCs w:val="32"/>
        </w:rPr>
        <w:t>4.掌握分析政法舆情动态，指导协调政法部门媒体网络宣传工作，指导政法部门做好涉及政法工作的重大宣传和舆论引导工作。</w:t>
      </w:r>
    </w:p>
    <w:p>
      <w:pPr>
        <w:spacing w:line="560" w:lineRule="exact"/>
        <w:ind w:firstLine="555"/>
        <w:rPr>
          <w:rFonts w:ascii="仿宋_GB2312" w:eastAsia="仿宋_GB2312"/>
          <w:sz w:val="32"/>
          <w:szCs w:val="32"/>
        </w:rPr>
      </w:pPr>
      <w:r>
        <w:rPr>
          <w:rFonts w:hint="eastAsia" w:ascii="仿宋_GB2312" w:eastAsia="仿宋_GB2312"/>
          <w:sz w:val="32"/>
          <w:szCs w:val="32"/>
        </w:rPr>
        <w:t>5.监督和支持政法各部门依法行使职权，指导和协调政法各部门密切配合，研究和协调重大、疑难案件，推进严格执法、公正司法。</w:t>
      </w:r>
    </w:p>
    <w:p>
      <w:pPr>
        <w:spacing w:line="560" w:lineRule="exact"/>
        <w:ind w:firstLine="555"/>
        <w:rPr>
          <w:rFonts w:ascii="仿宋_GB2312" w:eastAsia="仿宋_GB2312"/>
          <w:sz w:val="32"/>
          <w:szCs w:val="32"/>
        </w:rPr>
      </w:pPr>
      <w:r>
        <w:rPr>
          <w:rFonts w:hint="eastAsia" w:ascii="仿宋_GB2312" w:eastAsia="仿宋_GB2312"/>
          <w:sz w:val="32"/>
          <w:szCs w:val="32"/>
        </w:rPr>
        <w:t>6.组织研究政法改革工作中带有方向性、倾向性和普遍性的重大问题，深化政法改革。</w:t>
      </w:r>
    </w:p>
    <w:p>
      <w:pPr>
        <w:spacing w:line="560" w:lineRule="exact"/>
        <w:ind w:firstLine="555"/>
        <w:rPr>
          <w:rFonts w:ascii="仿宋_GB2312" w:eastAsia="仿宋_GB2312"/>
          <w:sz w:val="32"/>
          <w:szCs w:val="32"/>
        </w:rPr>
      </w:pPr>
      <w:r>
        <w:rPr>
          <w:rFonts w:hint="eastAsia" w:ascii="仿宋_GB2312" w:eastAsia="仿宋_GB2312"/>
          <w:sz w:val="32"/>
          <w:szCs w:val="32"/>
        </w:rPr>
        <w:t>7.指导推动政法系统党的建设和政法队伍建设，协同州级有关部门管理监督政法领导干部，代管阿坝州法学会。</w:t>
      </w:r>
    </w:p>
    <w:p>
      <w:pPr>
        <w:spacing w:line="560" w:lineRule="exact"/>
        <w:ind w:firstLine="555"/>
        <w:rPr>
          <w:rFonts w:ascii="仿宋_GB2312" w:eastAsia="仿宋_GB2312"/>
          <w:sz w:val="32"/>
          <w:szCs w:val="32"/>
        </w:rPr>
      </w:pPr>
      <w:r>
        <w:rPr>
          <w:rFonts w:hint="eastAsia" w:ascii="仿宋_GB2312" w:eastAsia="仿宋_GB2312"/>
          <w:sz w:val="32"/>
          <w:szCs w:val="32"/>
        </w:rPr>
        <w:t>8.完成州委交办的其他任务。</w:t>
      </w:r>
    </w:p>
    <w:p>
      <w:pPr>
        <w:spacing w:line="600" w:lineRule="exact"/>
        <w:ind w:firstLine="555"/>
        <w:rPr>
          <w:rFonts w:hint="eastAsia" w:ascii="楷体_GB2312" w:eastAsia="楷体_GB2312"/>
          <w:b/>
          <w:sz w:val="32"/>
          <w:szCs w:val="32"/>
        </w:rPr>
      </w:pPr>
    </w:p>
    <w:p>
      <w:pPr>
        <w:spacing w:line="600" w:lineRule="exact"/>
        <w:ind w:firstLine="555"/>
        <w:rPr>
          <w:rFonts w:ascii="楷体_GB2312" w:eastAsia="楷体_GB2312"/>
          <w:b/>
          <w:sz w:val="32"/>
          <w:szCs w:val="32"/>
        </w:rPr>
      </w:pPr>
      <w:r>
        <w:rPr>
          <w:rFonts w:hint="eastAsia" w:ascii="楷体_GB2312" w:eastAsia="楷体_GB2312"/>
          <w:b/>
          <w:sz w:val="32"/>
          <w:szCs w:val="32"/>
        </w:rPr>
        <w:t>（二）阿坝州委政法委</w:t>
      </w:r>
      <w:r>
        <w:rPr>
          <w:rFonts w:ascii="楷体_GB2312" w:eastAsia="楷体_GB2312"/>
          <w:b/>
          <w:sz w:val="32"/>
          <w:szCs w:val="32"/>
        </w:rPr>
        <w:t>202</w:t>
      </w:r>
      <w:r>
        <w:rPr>
          <w:rFonts w:hint="eastAsia" w:ascii="楷体_GB2312" w:eastAsia="楷体_GB2312"/>
          <w:b/>
          <w:sz w:val="32"/>
          <w:szCs w:val="32"/>
          <w:lang w:val="en-US" w:eastAsia="zh-CN"/>
        </w:rPr>
        <w:t>3</w:t>
      </w:r>
      <w:r>
        <w:rPr>
          <w:rFonts w:hint="eastAsia" w:ascii="楷体_GB2312" w:eastAsia="楷体_GB2312"/>
          <w:b/>
          <w:sz w:val="32"/>
          <w:szCs w:val="32"/>
        </w:rPr>
        <w:t>年重点工作</w:t>
      </w:r>
    </w:p>
    <w:p>
      <w:pPr>
        <w:pBdr>
          <w:bottom w:val="single" w:color="FFFFFF" w:sz="4" w:space="31"/>
        </w:pBdr>
        <w:tabs>
          <w:tab w:val="left" w:pos="1440"/>
        </w:tabs>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1.</w:t>
      </w:r>
      <w:r>
        <w:rPr>
          <w:rFonts w:hint="eastAsia" w:ascii="仿宋_GB2312" w:eastAsia="仿宋_GB2312"/>
          <w:sz w:val="32"/>
          <w:szCs w:val="32"/>
          <w:lang w:eastAsia="zh-CN"/>
        </w:rPr>
        <w:t>以“法治素养提升年”为载体，全面加强政法系统政治建设、能力建设，强化政治引领，筑牢政治底色。</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全力维护</w:t>
      </w:r>
      <w:r>
        <w:rPr>
          <w:rFonts w:hint="eastAsia" w:ascii="仿宋_GB2312" w:eastAsia="仿宋_GB2312"/>
          <w:sz w:val="32"/>
          <w:szCs w:val="32"/>
          <w:lang w:eastAsia="zh-CN"/>
        </w:rPr>
        <w:t>政治</w:t>
      </w:r>
      <w:r>
        <w:rPr>
          <w:rFonts w:hint="eastAsia" w:ascii="仿宋_GB2312" w:eastAsia="仿宋_GB2312"/>
          <w:sz w:val="32"/>
          <w:szCs w:val="32"/>
        </w:rPr>
        <w:t>安全</w:t>
      </w:r>
      <w:r>
        <w:rPr>
          <w:rFonts w:hint="eastAsia" w:ascii="仿宋_GB2312" w:eastAsia="仿宋_GB2312"/>
          <w:sz w:val="32"/>
          <w:szCs w:val="32"/>
          <w:lang w:eastAsia="zh-CN"/>
        </w:rPr>
        <w:t>和社会</w:t>
      </w:r>
      <w:r>
        <w:rPr>
          <w:rFonts w:hint="eastAsia" w:ascii="仿宋_GB2312" w:eastAsia="仿宋_GB2312"/>
          <w:sz w:val="32"/>
          <w:szCs w:val="32"/>
        </w:rPr>
        <w:t>稳定。</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hint="eastAsia" w:ascii="仿宋_GB2312" w:eastAsia="仿宋_GB2312"/>
          <w:sz w:val="32"/>
          <w:szCs w:val="32"/>
          <w:lang w:eastAsia="zh-CN"/>
        </w:rPr>
        <w:t>高效推进平安阿坝暨州域社会治理现代化工作</w:t>
      </w:r>
      <w:r>
        <w:rPr>
          <w:rFonts w:hint="eastAsia" w:ascii="仿宋_GB2312" w:eastAsia="仿宋_GB2312"/>
          <w:sz w:val="32"/>
          <w:szCs w:val="32"/>
        </w:rPr>
        <w:t>。</w:t>
      </w:r>
    </w:p>
    <w:p>
      <w:pPr>
        <w:pBdr>
          <w:bottom w:val="single" w:color="FFFFFF" w:sz="4" w:space="31"/>
        </w:pBdr>
        <w:tabs>
          <w:tab w:val="left" w:pos="1440"/>
        </w:tabs>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4.</w:t>
      </w:r>
      <w:r>
        <w:rPr>
          <w:rFonts w:hint="eastAsia" w:ascii="仿宋_GB2312" w:eastAsia="仿宋_GB2312"/>
          <w:sz w:val="32"/>
          <w:szCs w:val="32"/>
          <w:lang w:eastAsia="zh-CN"/>
        </w:rPr>
        <w:t>以破解影响司法公正、制约司法效能的体制机制问题为突破，稳步有序推进政法领域各项改革措施落地。</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lang w:eastAsia="zh-CN"/>
        </w:rPr>
        <w:t>以提升政法干警履职能力为重点，持续推进政法队伍革命化、正规化、专业化、职业化建设</w:t>
      </w:r>
      <w:r>
        <w:rPr>
          <w:rFonts w:hint="eastAsia" w:ascii="仿宋_GB2312" w:eastAsia="仿宋_GB2312"/>
          <w:sz w:val="32"/>
          <w:szCs w:val="32"/>
        </w:rPr>
        <w:t>。</w:t>
      </w:r>
    </w:p>
    <w:p>
      <w:pPr>
        <w:pBdr>
          <w:bottom w:val="single" w:color="FFFFFF" w:sz="4" w:space="31"/>
        </w:pBdr>
        <w:tabs>
          <w:tab w:val="left" w:pos="1440"/>
        </w:tabs>
        <w:spacing w:line="600" w:lineRule="exact"/>
        <w:ind w:firstLine="640" w:firstLineChars="200"/>
        <w:rPr>
          <w:rFonts w:ascii="黑体" w:eastAsia="黑体"/>
          <w:sz w:val="32"/>
          <w:szCs w:val="32"/>
        </w:rPr>
      </w:pPr>
      <w:r>
        <w:rPr>
          <w:rFonts w:hint="eastAsia" w:ascii="黑体" w:eastAsia="黑体"/>
          <w:sz w:val="32"/>
          <w:szCs w:val="32"/>
        </w:rPr>
        <w:t>二、部门预算单位构成</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州委政法委属一级预算单位，无下属二级预算单位。其中：行政单位1个；参照公务员法管理的事业单位0个；其他事业单位</w:t>
      </w:r>
      <w:r>
        <w:rPr>
          <w:rFonts w:hint="eastAsia" w:ascii="仿宋_GB2312" w:eastAsia="仿宋_GB2312"/>
          <w:sz w:val="32"/>
          <w:szCs w:val="32"/>
          <w:lang w:val="en-US" w:eastAsia="zh-CN"/>
        </w:rPr>
        <w:t>1</w:t>
      </w:r>
      <w:r>
        <w:rPr>
          <w:rFonts w:hint="eastAsia" w:ascii="仿宋_GB2312" w:eastAsia="仿宋_GB2312"/>
          <w:sz w:val="32"/>
          <w:szCs w:val="32"/>
        </w:rPr>
        <w:t>个</w:t>
      </w:r>
      <w:r>
        <w:rPr>
          <w:rFonts w:hint="eastAsia" w:ascii="仿宋_GB2312" w:eastAsia="仿宋_GB2312"/>
          <w:sz w:val="32"/>
          <w:szCs w:val="32"/>
          <w:lang w:val="en-US" w:eastAsia="zh-CN"/>
        </w:rPr>
        <w:t>,为阿坝州法学会</w:t>
      </w:r>
      <w:r>
        <w:rPr>
          <w:rFonts w:hint="eastAsia" w:ascii="仿宋_GB2312" w:eastAsia="仿宋_GB2312"/>
          <w:sz w:val="32"/>
          <w:szCs w:val="32"/>
        </w:rPr>
        <w:t>。</w:t>
      </w:r>
    </w:p>
    <w:p>
      <w:pPr>
        <w:pBdr>
          <w:bottom w:val="single" w:color="FFFFFF" w:sz="4" w:space="31"/>
        </w:pBdr>
        <w:tabs>
          <w:tab w:val="left" w:pos="1440"/>
        </w:tabs>
        <w:spacing w:line="600" w:lineRule="exact"/>
        <w:ind w:firstLine="640" w:firstLineChars="200"/>
        <w:rPr>
          <w:rFonts w:hint="eastAsia" w:ascii="黑体" w:eastAsia="黑体"/>
          <w:sz w:val="32"/>
          <w:szCs w:val="32"/>
        </w:rPr>
      </w:pPr>
      <w:r>
        <w:rPr>
          <w:rFonts w:hint="eastAsia" w:ascii="黑体" w:eastAsia="黑体"/>
          <w:sz w:val="32"/>
          <w:szCs w:val="32"/>
        </w:rPr>
        <w:t>三、收支预算情况说明</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按照综合预算的原则，州委政法委所有收入和支出均纳入部门预算管理。收入包括：一般公共预算拨款收入1,494.27万元，事业收入0万元，其他收入0万元；支出包括：公共安全支出1226.08万元，社会保障和就业支出143.05万元，卫生健康支出53.04万元，住房保障支出72.11万元。州委政法委202</w:t>
      </w:r>
      <w:r>
        <w:rPr>
          <w:rFonts w:hint="eastAsia" w:ascii="仿宋_GB2312" w:eastAsia="仿宋_GB2312"/>
          <w:sz w:val="32"/>
          <w:szCs w:val="32"/>
          <w:lang w:val="en-US" w:eastAsia="zh-CN"/>
        </w:rPr>
        <w:t>3</w:t>
      </w:r>
      <w:r>
        <w:rPr>
          <w:rFonts w:hint="eastAsia" w:ascii="仿宋_GB2312" w:eastAsia="仿宋_GB2312"/>
          <w:sz w:val="32"/>
          <w:szCs w:val="32"/>
        </w:rPr>
        <w:t>年收支总预算比202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eastAsia="zh-CN"/>
        </w:rPr>
        <w:t>增加</w:t>
      </w:r>
      <w:r>
        <w:rPr>
          <w:rFonts w:hint="eastAsia" w:ascii="仿宋_GB2312" w:eastAsia="仿宋_GB2312"/>
          <w:sz w:val="32"/>
          <w:szCs w:val="32"/>
        </w:rPr>
        <w:t>175.63万元，主要原因:人员工资中</w:t>
      </w:r>
      <w:r>
        <w:rPr>
          <w:rFonts w:hint="eastAsia" w:ascii="仿宋_GB2312" w:eastAsia="仿宋_GB2312"/>
          <w:sz w:val="32"/>
          <w:szCs w:val="32"/>
          <w:lang w:eastAsia="zh-CN"/>
        </w:rPr>
        <w:t>基础性绩效</w:t>
      </w:r>
      <w:r>
        <w:rPr>
          <w:rFonts w:hint="eastAsia" w:ascii="仿宋_GB2312" w:eastAsia="仿宋_GB2312"/>
          <w:sz w:val="32"/>
          <w:szCs w:val="32"/>
        </w:rPr>
        <w:t>增加，社会保险缴费、住房公积金等经费</w:t>
      </w:r>
      <w:r>
        <w:rPr>
          <w:rFonts w:hint="eastAsia" w:ascii="仿宋_GB2312" w:eastAsia="仿宋_GB2312"/>
          <w:sz w:val="32"/>
          <w:szCs w:val="32"/>
          <w:lang w:eastAsia="zh-CN"/>
        </w:rPr>
        <w:t>有所</w:t>
      </w:r>
      <w:r>
        <w:rPr>
          <w:rFonts w:hint="eastAsia" w:ascii="仿宋_GB2312" w:eastAsia="仿宋_GB2312"/>
          <w:sz w:val="32"/>
          <w:szCs w:val="32"/>
        </w:rPr>
        <w:t>增加。</w:t>
      </w:r>
    </w:p>
    <w:p>
      <w:pPr>
        <w:pBdr>
          <w:bottom w:val="single" w:color="FFFFFF" w:sz="4" w:space="31"/>
        </w:pBdr>
        <w:tabs>
          <w:tab w:val="left" w:pos="1440"/>
        </w:tabs>
        <w:spacing w:line="600" w:lineRule="exact"/>
        <w:ind w:firstLine="643" w:firstLineChars="200"/>
        <w:rPr>
          <w:rFonts w:hint="eastAsia" w:ascii="楷体_GB2312" w:eastAsia="楷体_GB2312"/>
          <w:b/>
          <w:sz w:val="32"/>
          <w:szCs w:val="32"/>
        </w:rPr>
      </w:pPr>
    </w:p>
    <w:p>
      <w:pPr>
        <w:pBdr>
          <w:bottom w:val="single" w:color="FFFFFF" w:sz="4" w:space="31"/>
        </w:pBdr>
        <w:tabs>
          <w:tab w:val="left" w:pos="1440"/>
        </w:tabs>
        <w:spacing w:line="600" w:lineRule="exact"/>
        <w:ind w:firstLine="643" w:firstLineChars="200"/>
        <w:rPr>
          <w:rFonts w:ascii="楷体_GB2312" w:eastAsia="楷体_GB2312"/>
          <w:b/>
          <w:sz w:val="32"/>
          <w:szCs w:val="32"/>
        </w:rPr>
      </w:pPr>
      <w:r>
        <w:rPr>
          <w:rFonts w:hint="eastAsia" w:ascii="楷体_GB2312" w:eastAsia="楷体_GB2312"/>
          <w:b/>
          <w:sz w:val="32"/>
          <w:szCs w:val="32"/>
        </w:rPr>
        <w:t>（一）收入预算情况</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州委政法委202</w:t>
      </w:r>
      <w:r>
        <w:rPr>
          <w:rFonts w:hint="eastAsia" w:ascii="仿宋_GB2312" w:eastAsia="仿宋_GB2312"/>
          <w:sz w:val="32"/>
          <w:szCs w:val="32"/>
          <w:lang w:val="en-US" w:eastAsia="zh-CN"/>
        </w:rPr>
        <w:t>3</w:t>
      </w:r>
      <w:r>
        <w:rPr>
          <w:rFonts w:hint="eastAsia" w:ascii="仿宋_GB2312" w:eastAsia="仿宋_GB2312"/>
          <w:sz w:val="32"/>
          <w:szCs w:val="32"/>
        </w:rPr>
        <w:t xml:space="preserve">年收入预算1,494.27万元，其中：一般公共预算拨款收入1,494.27万元，占100%；事业收入0万元，占0%；其他收入0万元，占0%。 </w:t>
      </w:r>
    </w:p>
    <w:p>
      <w:pPr>
        <w:pBdr>
          <w:bottom w:val="single" w:color="FFFFFF" w:sz="4" w:space="31"/>
        </w:pBdr>
        <w:tabs>
          <w:tab w:val="left" w:pos="1440"/>
        </w:tabs>
        <w:spacing w:line="600" w:lineRule="exact"/>
        <w:ind w:firstLine="643" w:firstLineChars="200"/>
        <w:rPr>
          <w:rFonts w:ascii="楷体_GB2312" w:eastAsia="楷体_GB2312"/>
          <w:b/>
          <w:sz w:val="32"/>
          <w:szCs w:val="32"/>
        </w:rPr>
      </w:pPr>
      <w:r>
        <w:rPr>
          <w:rFonts w:hint="eastAsia" w:ascii="楷体_GB2312" w:eastAsia="楷体_GB2312"/>
          <w:b/>
          <w:sz w:val="32"/>
          <w:szCs w:val="32"/>
        </w:rPr>
        <w:t>（二）支出预算情况</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州委政法委202</w:t>
      </w:r>
      <w:r>
        <w:rPr>
          <w:rFonts w:hint="eastAsia" w:ascii="仿宋_GB2312" w:eastAsia="仿宋_GB2312"/>
          <w:sz w:val="32"/>
          <w:szCs w:val="32"/>
          <w:lang w:val="en-US" w:eastAsia="zh-CN"/>
        </w:rPr>
        <w:t>3</w:t>
      </w:r>
      <w:r>
        <w:rPr>
          <w:rFonts w:hint="eastAsia" w:ascii="仿宋_GB2312" w:eastAsia="仿宋_GB2312"/>
          <w:sz w:val="32"/>
          <w:szCs w:val="32"/>
        </w:rPr>
        <w:t>年支出预算1,494.27万元，其中：基本支出1065.57万元，占71.31%；项目支出428.7</w:t>
      </w:r>
      <w:r>
        <w:rPr>
          <w:rFonts w:hint="eastAsia" w:ascii="仿宋_GB2312" w:eastAsia="仿宋_GB2312"/>
          <w:sz w:val="32"/>
          <w:szCs w:val="32"/>
          <w:lang w:val="en-US" w:eastAsia="zh-CN"/>
        </w:rPr>
        <w:t>0</w:t>
      </w:r>
      <w:r>
        <w:rPr>
          <w:rFonts w:hint="eastAsia" w:ascii="仿宋_GB2312" w:eastAsia="仿宋_GB2312"/>
          <w:sz w:val="32"/>
          <w:szCs w:val="32"/>
        </w:rPr>
        <w:t>万元，占28.69%。</w:t>
      </w:r>
    </w:p>
    <w:p>
      <w:pPr>
        <w:pBdr>
          <w:bottom w:val="single" w:color="FFFFFF" w:sz="4" w:space="31"/>
        </w:pBdr>
        <w:tabs>
          <w:tab w:val="left" w:pos="1440"/>
        </w:tabs>
        <w:spacing w:line="600" w:lineRule="exact"/>
        <w:ind w:firstLine="640" w:firstLineChars="200"/>
        <w:rPr>
          <w:rFonts w:ascii="黑体" w:eastAsia="黑体"/>
          <w:sz w:val="32"/>
          <w:szCs w:val="32"/>
        </w:rPr>
      </w:pPr>
      <w:r>
        <w:rPr>
          <w:rFonts w:hint="eastAsia" w:ascii="黑体" w:eastAsia="黑体"/>
          <w:sz w:val="32"/>
          <w:szCs w:val="32"/>
        </w:rPr>
        <w:t>四、财政拨款收支预算情况说明</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州委政法委202</w:t>
      </w:r>
      <w:r>
        <w:rPr>
          <w:rFonts w:hint="eastAsia" w:ascii="仿宋_GB2312" w:eastAsia="仿宋_GB2312"/>
          <w:sz w:val="32"/>
          <w:szCs w:val="32"/>
          <w:lang w:val="en-US" w:eastAsia="zh-CN"/>
        </w:rPr>
        <w:t>3</w:t>
      </w:r>
      <w:r>
        <w:rPr>
          <w:rFonts w:hint="eastAsia" w:ascii="仿宋_GB2312" w:eastAsia="仿宋_GB2312"/>
          <w:sz w:val="32"/>
          <w:szCs w:val="32"/>
        </w:rPr>
        <w:t>年财政拨款收入总预算1,494.27万元,比2021年财政拨款收支总预算</w:t>
      </w:r>
      <w:r>
        <w:rPr>
          <w:rFonts w:hint="eastAsia" w:ascii="仿宋_GB2312" w:eastAsia="仿宋_GB2312"/>
          <w:sz w:val="32"/>
          <w:szCs w:val="32"/>
          <w:lang w:eastAsia="zh-CN"/>
        </w:rPr>
        <w:t>增加</w:t>
      </w:r>
      <w:r>
        <w:rPr>
          <w:rFonts w:hint="eastAsia" w:ascii="仿宋_GB2312" w:eastAsia="仿宋_GB2312"/>
          <w:sz w:val="32"/>
          <w:szCs w:val="32"/>
        </w:rPr>
        <w:t>175.63万元，主要原因:人员工资中</w:t>
      </w:r>
      <w:r>
        <w:rPr>
          <w:rFonts w:hint="eastAsia" w:ascii="仿宋_GB2312" w:eastAsia="仿宋_GB2312"/>
          <w:sz w:val="32"/>
          <w:szCs w:val="32"/>
          <w:lang w:eastAsia="zh-CN"/>
        </w:rPr>
        <w:t>基础性绩效</w:t>
      </w:r>
      <w:r>
        <w:rPr>
          <w:rFonts w:hint="eastAsia" w:ascii="仿宋_GB2312" w:eastAsia="仿宋_GB2312"/>
          <w:sz w:val="32"/>
          <w:szCs w:val="32"/>
        </w:rPr>
        <w:t>增加，社会保险缴费、住房公积金等经费</w:t>
      </w:r>
      <w:r>
        <w:rPr>
          <w:rFonts w:hint="eastAsia" w:ascii="仿宋_GB2312" w:eastAsia="仿宋_GB2312"/>
          <w:sz w:val="32"/>
          <w:szCs w:val="32"/>
          <w:lang w:eastAsia="zh-CN"/>
        </w:rPr>
        <w:t>有所</w:t>
      </w:r>
      <w:r>
        <w:rPr>
          <w:rFonts w:hint="eastAsia" w:ascii="仿宋_GB2312" w:eastAsia="仿宋_GB2312"/>
          <w:sz w:val="32"/>
          <w:szCs w:val="32"/>
        </w:rPr>
        <w:t>增加。收入包括：一般公共预算拨款收入1,494.27万元，事业收入0万元，其他收入0万元。支出包括：公共安全支出1226.08万元，社会保障和就业支出143.05万元，卫生健康支出53.04万元，住房保障支出72.11万元。</w:t>
      </w:r>
    </w:p>
    <w:p>
      <w:pPr>
        <w:pBdr>
          <w:bottom w:val="single" w:color="FFFFFF" w:sz="4" w:space="31"/>
        </w:pBdr>
        <w:tabs>
          <w:tab w:val="left" w:pos="1440"/>
        </w:tabs>
        <w:spacing w:line="60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Bdr>
          <w:bottom w:val="single" w:color="FFFFFF" w:sz="4" w:space="31"/>
        </w:pBdr>
        <w:tabs>
          <w:tab w:val="left" w:pos="1440"/>
        </w:tabs>
        <w:spacing w:line="600" w:lineRule="exact"/>
        <w:ind w:firstLine="643" w:firstLineChars="200"/>
        <w:rPr>
          <w:rFonts w:ascii="楷体_GB2312" w:eastAsia="楷体_GB2312"/>
          <w:b/>
          <w:sz w:val="32"/>
          <w:szCs w:val="32"/>
        </w:rPr>
      </w:pPr>
      <w:r>
        <w:rPr>
          <w:rFonts w:hint="eastAsia" w:ascii="楷体_GB2312" w:eastAsia="楷体_GB2312"/>
          <w:b/>
          <w:sz w:val="32"/>
          <w:szCs w:val="32"/>
        </w:rPr>
        <w:t>（一）一般公共预算当年拨款规模变化情况</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州委政法委202</w:t>
      </w:r>
      <w:r>
        <w:rPr>
          <w:rFonts w:hint="eastAsia" w:ascii="仿宋_GB2312" w:eastAsia="仿宋_GB2312"/>
          <w:sz w:val="32"/>
          <w:szCs w:val="32"/>
          <w:lang w:val="en-US" w:eastAsia="zh-CN"/>
        </w:rPr>
        <w:t>3</w:t>
      </w:r>
      <w:r>
        <w:rPr>
          <w:rFonts w:hint="eastAsia" w:ascii="仿宋_GB2312" w:eastAsia="仿宋_GB2312"/>
          <w:sz w:val="32"/>
          <w:szCs w:val="32"/>
        </w:rPr>
        <w:t>年财政拨款收入总预算1,494.27万元,比202</w:t>
      </w:r>
      <w:r>
        <w:rPr>
          <w:rFonts w:hint="eastAsia" w:ascii="仿宋_GB2312" w:eastAsia="仿宋_GB2312"/>
          <w:sz w:val="32"/>
          <w:szCs w:val="32"/>
          <w:lang w:val="en-US" w:eastAsia="zh-CN"/>
        </w:rPr>
        <w:t>2</w:t>
      </w:r>
      <w:r>
        <w:rPr>
          <w:rFonts w:hint="eastAsia" w:ascii="仿宋_GB2312" w:eastAsia="仿宋_GB2312"/>
          <w:sz w:val="32"/>
          <w:szCs w:val="32"/>
        </w:rPr>
        <w:t>年财政拨款收支总预算</w:t>
      </w:r>
      <w:r>
        <w:rPr>
          <w:rFonts w:hint="eastAsia" w:ascii="仿宋_GB2312" w:eastAsia="仿宋_GB2312"/>
          <w:sz w:val="32"/>
          <w:szCs w:val="32"/>
          <w:lang w:eastAsia="zh-CN"/>
        </w:rPr>
        <w:t>增加</w:t>
      </w:r>
      <w:r>
        <w:rPr>
          <w:rFonts w:hint="eastAsia" w:ascii="仿宋_GB2312" w:eastAsia="仿宋_GB2312"/>
          <w:sz w:val="32"/>
          <w:szCs w:val="32"/>
        </w:rPr>
        <w:t>175.63万元，主要原因:人员工资中</w:t>
      </w:r>
      <w:r>
        <w:rPr>
          <w:rFonts w:hint="eastAsia" w:ascii="仿宋_GB2312" w:eastAsia="仿宋_GB2312"/>
          <w:sz w:val="32"/>
          <w:szCs w:val="32"/>
          <w:lang w:eastAsia="zh-CN"/>
        </w:rPr>
        <w:t>基础性绩效</w:t>
      </w:r>
      <w:r>
        <w:rPr>
          <w:rFonts w:hint="eastAsia" w:ascii="仿宋_GB2312" w:eastAsia="仿宋_GB2312"/>
          <w:sz w:val="32"/>
          <w:szCs w:val="32"/>
        </w:rPr>
        <w:t>增加，社会保险缴费、住房公积金等经费</w:t>
      </w:r>
      <w:r>
        <w:rPr>
          <w:rFonts w:hint="eastAsia" w:ascii="仿宋_GB2312" w:eastAsia="仿宋_GB2312"/>
          <w:sz w:val="32"/>
          <w:szCs w:val="32"/>
          <w:lang w:eastAsia="zh-CN"/>
        </w:rPr>
        <w:t>有所</w:t>
      </w:r>
      <w:r>
        <w:rPr>
          <w:rFonts w:hint="eastAsia" w:ascii="仿宋_GB2312" w:eastAsia="仿宋_GB2312"/>
          <w:sz w:val="32"/>
          <w:szCs w:val="32"/>
        </w:rPr>
        <w:t>增加。</w:t>
      </w:r>
    </w:p>
    <w:p>
      <w:pPr>
        <w:pBdr>
          <w:bottom w:val="single" w:color="FFFFFF" w:sz="4" w:space="31"/>
        </w:pBdr>
        <w:tabs>
          <w:tab w:val="left" w:pos="1440"/>
        </w:tabs>
        <w:spacing w:line="600" w:lineRule="exact"/>
        <w:ind w:firstLine="640" w:firstLineChars="200"/>
        <w:rPr>
          <w:rFonts w:ascii="楷体_GB2312" w:eastAsia="楷体_GB2312"/>
          <w:b/>
          <w:sz w:val="32"/>
          <w:szCs w:val="32"/>
        </w:rPr>
      </w:pPr>
      <w:r>
        <w:rPr>
          <w:rFonts w:hint="eastAsia" w:eastAsia="方正仿宋_GBK"/>
          <w:sz w:val="32"/>
          <w:szCs w:val="32"/>
        </w:rPr>
        <w:t>（</w:t>
      </w:r>
      <w:r>
        <w:rPr>
          <w:rFonts w:hint="eastAsia" w:ascii="楷体_GB2312" w:eastAsia="楷体_GB2312"/>
          <w:b/>
          <w:sz w:val="32"/>
          <w:szCs w:val="32"/>
        </w:rPr>
        <w:t>二）一般公共预算当年拨款结构情况</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公共安全支出1226.08万元，社会保障和就业支出143.05万元，卫生健康支出53.04万元，住房保障支出72.11万元。</w:t>
      </w:r>
    </w:p>
    <w:p>
      <w:pPr>
        <w:pBdr>
          <w:bottom w:val="single" w:color="FFFFFF" w:sz="4" w:space="31"/>
        </w:pBdr>
        <w:tabs>
          <w:tab w:val="left" w:pos="1440"/>
        </w:tabs>
        <w:spacing w:line="600" w:lineRule="exact"/>
        <w:ind w:firstLine="643" w:firstLineChars="200"/>
        <w:rPr>
          <w:rFonts w:ascii="楷体_GB2312" w:eastAsia="楷体_GB2312"/>
          <w:b/>
          <w:sz w:val="32"/>
          <w:szCs w:val="32"/>
        </w:rPr>
      </w:pPr>
      <w:r>
        <w:rPr>
          <w:rFonts w:hint="eastAsia" w:ascii="楷体_GB2312" w:eastAsia="楷体_GB2312"/>
          <w:b/>
          <w:sz w:val="32"/>
          <w:szCs w:val="32"/>
        </w:rPr>
        <w:t>（三）一般公共预算当年拨款具体使用情况</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1．社会保障和就业：机关事业单位基本养老保险缴费202</w:t>
      </w:r>
      <w:r>
        <w:rPr>
          <w:rFonts w:hint="eastAsia" w:ascii="仿宋_GB2312" w:eastAsia="仿宋_GB2312"/>
          <w:sz w:val="32"/>
          <w:szCs w:val="32"/>
          <w:lang w:val="en-US" w:eastAsia="zh-CN"/>
        </w:rPr>
        <w:t>3</w:t>
      </w:r>
      <w:r>
        <w:rPr>
          <w:rFonts w:hint="eastAsia" w:ascii="仿宋_GB2312" w:eastAsia="仿宋_GB2312"/>
          <w:sz w:val="32"/>
          <w:szCs w:val="32"/>
        </w:rPr>
        <w:t>年预算数95.36万元、机关事业单位职业年金缴费202</w:t>
      </w:r>
      <w:r>
        <w:rPr>
          <w:rFonts w:hint="eastAsia" w:ascii="仿宋_GB2312" w:eastAsia="仿宋_GB2312"/>
          <w:sz w:val="32"/>
          <w:szCs w:val="32"/>
          <w:lang w:val="en-US" w:eastAsia="zh-CN"/>
        </w:rPr>
        <w:t>3</w:t>
      </w:r>
      <w:r>
        <w:rPr>
          <w:rFonts w:hint="eastAsia" w:ascii="仿宋_GB2312" w:eastAsia="仿宋_GB2312"/>
          <w:sz w:val="32"/>
          <w:szCs w:val="32"/>
        </w:rPr>
        <w:t>年预算47.68万元，主要用于职工202</w:t>
      </w:r>
      <w:r>
        <w:rPr>
          <w:rFonts w:hint="eastAsia" w:ascii="仿宋_GB2312" w:eastAsia="仿宋_GB2312"/>
          <w:sz w:val="32"/>
          <w:szCs w:val="32"/>
          <w:lang w:val="en-US" w:eastAsia="zh-CN"/>
        </w:rPr>
        <w:t>3</w:t>
      </w:r>
      <w:r>
        <w:rPr>
          <w:rFonts w:hint="eastAsia" w:ascii="仿宋_GB2312" w:eastAsia="仿宋_GB2312"/>
          <w:sz w:val="32"/>
          <w:szCs w:val="32"/>
        </w:rPr>
        <w:t>年缴纳养老保险和职业年金。</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2．卫生健康：行政单位医疗202</w:t>
      </w:r>
      <w:r>
        <w:rPr>
          <w:rFonts w:hint="eastAsia" w:ascii="仿宋_GB2312" w:eastAsia="仿宋_GB2312"/>
          <w:sz w:val="32"/>
          <w:szCs w:val="32"/>
          <w:lang w:val="en-US" w:eastAsia="zh-CN"/>
        </w:rPr>
        <w:t>3</w:t>
      </w:r>
      <w:r>
        <w:rPr>
          <w:rFonts w:hint="eastAsia" w:ascii="仿宋_GB2312" w:eastAsia="仿宋_GB2312"/>
          <w:sz w:val="32"/>
          <w:szCs w:val="32"/>
        </w:rPr>
        <w:t>年预算数36.07万元、事业单位医疗202</w:t>
      </w:r>
      <w:r>
        <w:rPr>
          <w:rFonts w:hint="eastAsia" w:ascii="仿宋_GB2312" w:eastAsia="仿宋_GB2312"/>
          <w:sz w:val="32"/>
          <w:szCs w:val="32"/>
          <w:lang w:val="en-US" w:eastAsia="zh-CN"/>
        </w:rPr>
        <w:t>3</w:t>
      </w:r>
      <w:r>
        <w:rPr>
          <w:rFonts w:hint="eastAsia" w:ascii="仿宋_GB2312" w:eastAsia="仿宋_GB2312"/>
          <w:sz w:val="32"/>
          <w:szCs w:val="32"/>
        </w:rPr>
        <w:t>年预算数7.02万元、公务员医疗补助8.65万元，主要用于缴纳202</w:t>
      </w:r>
      <w:r>
        <w:rPr>
          <w:rFonts w:hint="eastAsia" w:ascii="仿宋_GB2312" w:eastAsia="仿宋_GB2312"/>
          <w:sz w:val="32"/>
          <w:szCs w:val="32"/>
          <w:lang w:val="en-US" w:eastAsia="zh-CN"/>
        </w:rPr>
        <w:t>3</w:t>
      </w:r>
      <w:r>
        <w:rPr>
          <w:rFonts w:hint="eastAsia" w:ascii="仿宋_GB2312" w:eastAsia="仿宋_GB2312"/>
          <w:sz w:val="32"/>
          <w:szCs w:val="32"/>
        </w:rPr>
        <w:t>年职工医疗保险及医疗补助。</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3．公共安全：行政运行202</w:t>
      </w:r>
      <w:r>
        <w:rPr>
          <w:rFonts w:hint="eastAsia" w:ascii="仿宋_GB2312" w:eastAsia="仿宋_GB2312"/>
          <w:sz w:val="32"/>
          <w:szCs w:val="32"/>
          <w:lang w:val="en-US" w:eastAsia="zh-CN"/>
        </w:rPr>
        <w:t>3</w:t>
      </w:r>
      <w:r>
        <w:rPr>
          <w:rFonts w:hint="eastAsia" w:ascii="仿宋_GB2312" w:eastAsia="仿宋_GB2312"/>
          <w:sz w:val="32"/>
          <w:szCs w:val="32"/>
        </w:rPr>
        <w:t>年预算数1132.36万元、事业运行202</w:t>
      </w:r>
      <w:r>
        <w:rPr>
          <w:rFonts w:hint="eastAsia" w:ascii="仿宋_GB2312" w:eastAsia="仿宋_GB2312"/>
          <w:sz w:val="32"/>
          <w:szCs w:val="32"/>
          <w:lang w:val="en-US" w:eastAsia="zh-CN"/>
        </w:rPr>
        <w:t>3</w:t>
      </w:r>
      <w:r>
        <w:rPr>
          <w:rFonts w:hint="eastAsia" w:ascii="仿宋_GB2312" w:eastAsia="仿宋_GB2312"/>
          <w:sz w:val="32"/>
          <w:szCs w:val="32"/>
        </w:rPr>
        <w:t>年预算数93.72万元，主要为人员工资和商品服务支出。</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4．住房保障：住房公积金202</w:t>
      </w:r>
      <w:r>
        <w:rPr>
          <w:rFonts w:hint="eastAsia" w:ascii="仿宋_GB2312" w:eastAsia="仿宋_GB2312"/>
          <w:sz w:val="32"/>
          <w:szCs w:val="32"/>
          <w:lang w:val="en-US" w:eastAsia="zh-CN"/>
        </w:rPr>
        <w:t>3</w:t>
      </w:r>
      <w:r>
        <w:rPr>
          <w:rFonts w:hint="eastAsia" w:ascii="仿宋_GB2312" w:eastAsia="仿宋_GB2312"/>
          <w:sz w:val="32"/>
          <w:szCs w:val="32"/>
        </w:rPr>
        <w:t>年预算数72.11万元，主要为缴纳职工住房公积金。</w:t>
      </w:r>
    </w:p>
    <w:p>
      <w:pPr>
        <w:pBdr>
          <w:bottom w:val="single" w:color="FFFFFF" w:sz="4" w:space="31"/>
        </w:pBdr>
        <w:tabs>
          <w:tab w:val="left" w:pos="1440"/>
        </w:tabs>
        <w:spacing w:line="600" w:lineRule="exact"/>
        <w:ind w:firstLine="640" w:firstLineChars="200"/>
        <w:rPr>
          <w:rFonts w:ascii="黑体" w:eastAsia="黑体"/>
          <w:color w:val="000000"/>
          <w:sz w:val="32"/>
          <w:szCs w:val="32"/>
        </w:rPr>
      </w:pPr>
      <w:r>
        <w:rPr>
          <w:rFonts w:hint="eastAsia" w:ascii="黑体" w:eastAsia="黑体"/>
          <w:color w:val="000000"/>
          <w:sz w:val="32"/>
          <w:szCs w:val="32"/>
        </w:rPr>
        <w:t>六、一般公共预算基本支出情况说明</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州委政法委202</w:t>
      </w:r>
      <w:r>
        <w:rPr>
          <w:rFonts w:hint="eastAsia" w:ascii="仿宋_GB2312" w:eastAsia="仿宋_GB2312"/>
          <w:sz w:val="32"/>
          <w:szCs w:val="32"/>
          <w:lang w:val="en-US" w:eastAsia="zh-CN"/>
        </w:rPr>
        <w:t>3</w:t>
      </w:r>
      <w:r>
        <w:rPr>
          <w:rFonts w:hint="eastAsia" w:ascii="仿宋_GB2312" w:eastAsia="仿宋_GB2312"/>
          <w:sz w:val="32"/>
          <w:szCs w:val="32"/>
        </w:rPr>
        <w:t>年一般公共预算基本支出1,065.57万元，其中：人员经费891.62万元，主要包括：基本工资、津贴补贴、奖金、其他社会保障缴费、绩效工资、机关事业单位基本养老保险缴费、职业年金缴费、其他工资福利支出、离休费、奖励金、住房公积金、其他对个人和家庭的补助支出。公用经费173.96万元，主要包括：办公费、印刷费、手续费、水费、电费、邮电费、差旅费、维修（护）费、租赁费、会议费、培训费、劳务费、工会经费、福利费、其他交通工具运行维护费、其他商品和服务支出。</w:t>
      </w:r>
    </w:p>
    <w:p>
      <w:pPr>
        <w:pBdr>
          <w:bottom w:val="single" w:color="FFFFFF" w:sz="4" w:space="31"/>
        </w:pBdr>
        <w:tabs>
          <w:tab w:val="left" w:pos="1440"/>
        </w:tabs>
        <w:spacing w:line="60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州委政法委202</w:t>
      </w:r>
      <w:r>
        <w:rPr>
          <w:rFonts w:hint="eastAsia" w:ascii="仿宋_GB2312" w:eastAsia="仿宋_GB2312"/>
          <w:sz w:val="32"/>
          <w:szCs w:val="32"/>
          <w:lang w:val="en-US" w:eastAsia="zh-CN"/>
        </w:rPr>
        <w:t>3</w:t>
      </w:r>
      <w:r>
        <w:rPr>
          <w:rFonts w:hint="eastAsia" w:ascii="仿宋_GB2312" w:eastAsia="仿宋_GB2312"/>
          <w:sz w:val="32"/>
          <w:szCs w:val="32"/>
        </w:rPr>
        <w:t xml:space="preserve">年“三公”经费财政拨款预算数142.39万元，其中：无因公出国（境）经费，公务接待费2.95万元，公务用车购置及运行维护费139.44万元。 </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年无因公出国（境）经费。</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（二）</w:t>
      </w: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年公务接待费2.9</w:t>
      </w:r>
      <w:r>
        <w:rPr>
          <w:rFonts w:hint="eastAsia" w:ascii="仿宋_GB2312" w:eastAsia="仿宋_GB2312"/>
          <w:sz w:val="32"/>
          <w:szCs w:val="32"/>
          <w:lang w:val="en-US" w:eastAsia="zh-CN"/>
        </w:rPr>
        <w:t>5</w:t>
      </w:r>
      <w:r>
        <w:rPr>
          <w:rFonts w:hint="eastAsia" w:ascii="仿宋_GB2312" w:eastAsia="仿宋_GB2312"/>
          <w:sz w:val="32"/>
          <w:szCs w:val="32"/>
        </w:rPr>
        <w:t>万元。比202</w:t>
      </w:r>
      <w:r>
        <w:rPr>
          <w:rFonts w:hint="eastAsia" w:ascii="仿宋_GB2312" w:eastAsia="仿宋_GB2312"/>
          <w:sz w:val="32"/>
          <w:szCs w:val="32"/>
          <w:lang w:val="en-US" w:eastAsia="zh-CN"/>
        </w:rPr>
        <w:t>2</w:t>
      </w:r>
      <w:r>
        <w:rPr>
          <w:rFonts w:hint="eastAsia" w:ascii="仿宋_GB2312" w:eastAsia="仿宋_GB2312"/>
          <w:sz w:val="32"/>
          <w:szCs w:val="32"/>
        </w:rPr>
        <w:t>年预算经费</w:t>
      </w:r>
      <w:r>
        <w:rPr>
          <w:rFonts w:hint="eastAsia" w:ascii="仿宋_GB2312" w:eastAsia="仿宋_GB2312"/>
          <w:sz w:val="32"/>
          <w:szCs w:val="32"/>
          <w:lang w:eastAsia="zh-CN"/>
        </w:rPr>
        <w:t>减少</w:t>
      </w:r>
      <w:r>
        <w:rPr>
          <w:rFonts w:hint="eastAsia" w:ascii="仿宋_GB2312" w:eastAsia="仿宋_GB2312"/>
          <w:sz w:val="32"/>
          <w:szCs w:val="32"/>
        </w:rPr>
        <w:t>0.</w:t>
      </w:r>
      <w:r>
        <w:rPr>
          <w:rFonts w:hint="eastAsia" w:ascii="仿宋_GB2312" w:eastAsia="仿宋_GB2312"/>
          <w:sz w:val="32"/>
          <w:szCs w:val="32"/>
          <w:lang w:val="en-US" w:eastAsia="zh-CN"/>
        </w:rPr>
        <w:t>04</w:t>
      </w:r>
      <w:r>
        <w:rPr>
          <w:rFonts w:hint="eastAsia" w:ascii="仿宋_GB2312" w:eastAsia="仿宋_GB2312"/>
          <w:sz w:val="32"/>
          <w:szCs w:val="32"/>
        </w:rPr>
        <w:t>万元</w:t>
      </w:r>
      <w:r>
        <w:rPr>
          <w:rFonts w:hint="eastAsia" w:ascii="仿宋_GB2312" w:eastAsia="仿宋_GB2312"/>
          <w:sz w:val="32"/>
          <w:szCs w:val="32"/>
          <w:lang w:val="en-US" w:eastAsia="zh-CN"/>
        </w:rPr>
        <w:t>,与上年基本持平</w:t>
      </w:r>
      <w:r>
        <w:rPr>
          <w:rFonts w:hint="eastAsia" w:ascii="仿宋_GB2312" w:eastAsia="仿宋_GB2312"/>
          <w:sz w:val="32"/>
          <w:szCs w:val="32"/>
        </w:rPr>
        <w:t>。</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（三）</w:t>
      </w: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年公务用车购置及运行维护费139.44万元。其中：公务用车大修费8万元，公车运行维护费</w:t>
      </w:r>
      <w:r>
        <w:rPr>
          <w:rFonts w:hint="eastAsia" w:ascii="仿宋_GB2312" w:eastAsia="仿宋_GB2312"/>
          <w:sz w:val="32"/>
          <w:szCs w:val="32"/>
          <w:lang w:val="en-US" w:eastAsia="zh-CN"/>
        </w:rPr>
        <w:t>131.44</w:t>
      </w:r>
      <w:r>
        <w:rPr>
          <w:rFonts w:hint="eastAsia" w:ascii="仿宋_GB2312" w:eastAsia="仿宋_GB2312"/>
          <w:sz w:val="32"/>
          <w:szCs w:val="32"/>
        </w:rPr>
        <w:t>万元，</w:t>
      </w:r>
      <w:r>
        <w:rPr>
          <w:rFonts w:hint="eastAsia" w:ascii="仿宋_GB2312" w:eastAsia="仿宋_GB2312"/>
          <w:sz w:val="32"/>
          <w:szCs w:val="32"/>
          <w:lang w:eastAsia="zh-CN"/>
        </w:rPr>
        <w:t>比</w:t>
      </w: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eastAsia="zh-CN"/>
        </w:rPr>
        <w:t>增加</w:t>
      </w:r>
      <w:r>
        <w:rPr>
          <w:rFonts w:hint="eastAsia" w:ascii="仿宋_GB2312" w:eastAsia="仿宋_GB2312"/>
          <w:sz w:val="32"/>
          <w:szCs w:val="32"/>
          <w:lang w:val="en-US" w:eastAsia="zh-CN"/>
        </w:rPr>
        <w:t>20.36万元</w:t>
      </w:r>
      <w:r>
        <w:rPr>
          <w:rFonts w:hint="eastAsia" w:ascii="仿宋_GB2312" w:eastAsia="仿宋_GB2312"/>
          <w:sz w:val="32"/>
          <w:szCs w:val="32"/>
        </w:rPr>
        <w:t>。</w:t>
      </w:r>
    </w:p>
    <w:p>
      <w:pPr>
        <w:pBdr>
          <w:bottom w:val="single" w:color="FFFFFF" w:sz="4" w:space="31"/>
        </w:pBdr>
        <w:tabs>
          <w:tab w:val="left" w:pos="1440"/>
        </w:tabs>
        <w:spacing w:line="600" w:lineRule="exact"/>
        <w:ind w:firstLine="640" w:firstLineChars="200"/>
        <w:rPr>
          <w:rFonts w:ascii="黑体" w:eastAsia="黑体"/>
          <w:sz w:val="32"/>
          <w:szCs w:val="32"/>
        </w:rPr>
      </w:pPr>
      <w:r>
        <w:rPr>
          <w:rFonts w:hint="eastAsia" w:ascii="黑体" w:eastAsia="黑体"/>
          <w:sz w:val="32"/>
          <w:szCs w:val="32"/>
        </w:rPr>
        <w:t>八、政府性基金预算支出情况说明</w:t>
      </w:r>
    </w:p>
    <w:p>
      <w:pPr>
        <w:pBdr>
          <w:bottom w:val="single" w:color="FFFFFF" w:sz="4" w:space="31"/>
        </w:pBdr>
        <w:tabs>
          <w:tab w:val="left" w:pos="1440"/>
        </w:tabs>
        <w:spacing w:line="600" w:lineRule="exact"/>
        <w:ind w:firstLine="640" w:firstLineChars="200"/>
        <w:rPr>
          <w:rFonts w:eastAsia="方正仿宋_GBK"/>
          <w:sz w:val="32"/>
          <w:szCs w:val="32"/>
        </w:rPr>
      </w:pPr>
      <w:r>
        <w:rPr>
          <w:rFonts w:hint="eastAsia" w:ascii="仿宋_GB2312" w:eastAsia="仿宋_GB2312"/>
          <w:sz w:val="32"/>
          <w:szCs w:val="32"/>
        </w:rPr>
        <w:t>州委政法委2022年无政府性基金预算支出。</w:t>
      </w:r>
      <w:r>
        <w:rPr>
          <w:rFonts w:eastAsia="方正仿宋_GBK"/>
          <w:sz w:val="32"/>
          <w:szCs w:val="32"/>
        </w:rPr>
        <w:t xml:space="preserve"> </w:t>
      </w:r>
    </w:p>
    <w:p>
      <w:pPr>
        <w:pBdr>
          <w:bottom w:val="single" w:color="FFFFFF" w:sz="4" w:space="31"/>
        </w:pBdr>
        <w:tabs>
          <w:tab w:val="left" w:pos="1440"/>
        </w:tabs>
        <w:spacing w:line="600" w:lineRule="exact"/>
        <w:ind w:firstLine="640" w:firstLineChars="200"/>
        <w:rPr>
          <w:rFonts w:ascii="黑体" w:eastAsia="黑体"/>
          <w:sz w:val="32"/>
          <w:szCs w:val="32"/>
        </w:rPr>
      </w:pPr>
      <w:r>
        <w:rPr>
          <w:rFonts w:hint="eastAsia" w:ascii="黑体" w:eastAsia="黑体"/>
          <w:sz w:val="32"/>
          <w:szCs w:val="32"/>
        </w:rPr>
        <w:t>九、其他重要事项的情况说明</w:t>
      </w:r>
    </w:p>
    <w:p>
      <w:pPr>
        <w:pBdr>
          <w:bottom w:val="single" w:color="FFFFFF" w:sz="4" w:space="31"/>
        </w:pBdr>
        <w:tabs>
          <w:tab w:val="left" w:pos="1440"/>
        </w:tabs>
        <w:spacing w:line="600" w:lineRule="exact"/>
        <w:ind w:firstLine="643" w:firstLineChars="200"/>
        <w:rPr>
          <w:rFonts w:ascii="楷体_GB2312" w:eastAsia="楷体_GB2312"/>
          <w:b/>
          <w:sz w:val="32"/>
          <w:szCs w:val="32"/>
        </w:rPr>
      </w:pPr>
      <w:r>
        <w:rPr>
          <w:rFonts w:hint="eastAsia" w:ascii="楷体_GB2312" w:eastAsia="楷体_GB2312"/>
          <w:b/>
          <w:sz w:val="32"/>
          <w:szCs w:val="32"/>
        </w:rPr>
        <w:t>（一）机关运行经费</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州委政法委202</w:t>
      </w:r>
      <w:r>
        <w:rPr>
          <w:rFonts w:hint="eastAsia" w:ascii="仿宋_GB2312" w:eastAsia="仿宋_GB2312"/>
          <w:sz w:val="32"/>
          <w:szCs w:val="32"/>
          <w:lang w:val="en-US" w:eastAsia="zh-CN"/>
        </w:rPr>
        <w:t>3</w:t>
      </w:r>
      <w:r>
        <w:rPr>
          <w:rFonts w:hint="eastAsia" w:ascii="仿宋_GB2312" w:eastAsia="仿宋_GB2312"/>
          <w:sz w:val="32"/>
          <w:szCs w:val="32"/>
        </w:rPr>
        <w:t>年机关运行经费财政拨款预算为173.96万元，比202</w:t>
      </w:r>
      <w:r>
        <w:rPr>
          <w:rFonts w:hint="eastAsia" w:ascii="仿宋_GB2312" w:eastAsia="仿宋_GB2312"/>
          <w:sz w:val="32"/>
          <w:szCs w:val="32"/>
          <w:lang w:val="en-US" w:eastAsia="zh-CN"/>
        </w:rPr>
        <w:t>2</w:t>
      </w:r>
      <w:r>
        <w:rPr>
          <w:rFonts w:hint="eastAsia" w:ascii="仿宋_GB2312" w:eastAsia="仿宋_GB2312"/>
          <w:sz w:val="32"/>
          <w:szCs w:val="32"/>
        </w:rPr>
        <w:t>年预算增加</w:t>
      </w:r>
      <w:r>
        <w:rPr>
          <w:rFonts w:hint="eastAsia" w:ascii="仿宋_GB2312" w:eastAsia="仿宋_GB2312"/>
          <w:sz w:val="32"/>
          <w:szCs w:val="32"/>
          <w:lang w:val="en-US" w:eastAsia="zh-CN"/>
        </w:rPr>
        <w:t>6.37</w:t>
      </w:r>
      <w:r>
        <w:rPr>
          <w:rFonts w:hint="eastAsia" w:ascii="仿宋_GB2312" w:eastAsia="仿宋_GB2312"/>
          <w:sz w:val="32"/>
          <w:szCs w:val="32"/>
        </w:rPr>
        <w:t>万元，增加</w:t>
      </w:r>
      <w:r>
        <w:rPr>
          <w:rFonts w:hint="eastAsia" w:ascii="仿宋_GB2312" w:eastAsia="仿宋_GB2312"/>
          <w:sz w:val="32"/>
          <w:szCs w:val="32"/>
          <w:lang w:val="en-US" w:eastAsia="zh-CN"/>
        </w:rPr>
        <w:t>3</w:t>
      </w:r>
      <w:r>
        <w:rPr>
          <w:rFonts w:hint="eastAsia" w:ascii="仿宋_GB2312" w:eastAsia="仿宋_GB2312"/>
          <w:sz w:val="32"/>
          <w:szCs w:val="32"/>
        </w:rPr>
        <w:t>.</w:t>
      </w:r>
      <w:r>
        <w:rPr>
          <w:rFonts w:hint="eastAsia" w:ascii="仿宋_GB2312" w:eastAsia="仿宋_GB2312"/>
          <w:sz w:val="32"/>
          <w:szCs w:val="32"/>
          <w:lang w:val="en-US" w:eastAsia="zh-CN"/>
        </w:rPr>
        <w:t>80</w:t>
      </w:r>
      <w:r>
        <w:rPr>
          <w:rFonts w:hint="eastAsia" w:ascii="仿宋_GB2312" w:eastAsia="仿宋_GB2312"/>
          <w:sz w:val="32"/>
          <w:szCs w:val="32"/>
        </w:rPr>
        <w:t>%。</w:t>
      </w:r>
    </w:p>
    <w:p>
      <w:pPr>
        <w:pBdr>
          <w:bottom w:val="single" w:color="FFFFFF" w:sz="4" w:space="31"/>
        </w:pBdr>
        <w:tabs>
          <w:tab w:val="left" w:pos="1440"/>
        </w:tabs>
        <w:spacing w:line="600" w:lineRule="exact"/>
        <w:ind w:firstLine="643" w:firstLineChars="200"/>
        <w:rPr>
          <w:rFonts w:ascii="楷体_GB2312" w:eastAsia="楷体_GB2312"/>
          <w:b/>
          <w:sz w:val="32"/>
          <w:szCs w:val="32"/>
        </w:rPr>
      </w:pPr>
      <w:r>
        <w:rPr>
          <w:rFonts w:hint="eastAsia" w:ascii="楷体_GB2312" w:eastAsia="楷体_GB2312"/>
          <w:b/>
          <w:sz w:val="32"/>
          <w:szCs w:val="32"/>
        </w:rPr>
        <w:t>（二）政府采购情况</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年州委政法委安排政府采购预算</w:t>
      </w:r>
      <w:r>
        <w:rPr>
          <w:rFonts w:hint="eastAsia" w:ascii="仿宋_GB2312" w:eastAsia="仿宋_GB2312"/>
          <w:sz w:val="32"/>
          <w:szCs w:val="32"/>
          <w:lang w:val="en-US" w:eastAsia="zh-CN"/>
        </w:rPr>
        <w:t>198</w:t>
      </w:r>
      <w:r>
        <w:rPr>
          <w:rFonts w:hint="eastAsia" w:ascii="仿宋_GB2312" w:eastAsia="仿宋_GB2312"/>
          <w:sz w:val="32"/>
          <w:szCs w:val="32"/>
        </w:rPr>
        <w:t>.</w:t>
      </w:r>
      <w:r>
        <w:rPr>
          <w:rFonts w:hint="eastAsia" w:ascii="仿宋_GB2312" w:eastAsia="仿宋_GB2312"/>
          <w:sz w:val="32"/>
          <w:szCs w:val="32"/>
          <w:lang w:val="en-US" w:eastAsia="zh-CN"/>
        </w:rPr>
        <w:t>2</w:t>
      </w:r>
      <w:r>
        <w:rPr>
          <w:rFonts w:hint="eastAsia" w:ascii="仿宋_GB2312" w:eastAsia="仿宋_GB2312"/>
          <w:sz w:val="32"/>
          <w:szCs w:val="32"/>
        </w:rPr>
        <w:t>0万元，主要用于：</w:t>
      </w:r>
      <w:r>
        <w:rPr>
          <w:rFonts w:hint="eastAsia" w:ascii="仿宋_GB2312" w:eastAsia="仿宋_GB2312"/>
          <w:sz w:val="32"/>
          <w:szCs w:val="32"/>
          <w:lang w:eastAsia="zh-CN"/>
        </w:rPr>
        <w:t>政法三</w:t>
      </w:r>
      <w:r>
        <w:rPr>
          <w:rFonts w:hint="eastAsia" w:ascii="仿宋_GB2312" w:eastAsia="仿宋_GB2312"/>
          <w:sz w:val="32"/>
          <w:szCs w:val="32"/>
          <w:lang w:val="en-US" w:eastAsia="zh-CN"/>
        </w:rPr>
        <w:t>级网租赁费、</w:t>
      </w:r>
      <w:r>
        <w:rPr>
          <w:rFonts w:hint="eastAsia" w:ascii="仿宋_GB2312" w:eastAsia="仿宋_GB2312"/>
          <w:sz w:val="32"/>
          <w:szCs w:val="32"/>
        </w:rPr>
        <w:t>州综治中心信息化建设</w:t>
      </w:r>
      <w:r>
        <w:rPr>
          <w:rFonts w:hint="eastAsia" w:ascii="仿宋_GB2312" w:eastAsia="仿宋_GB2312"/>
          <w:sz w:val="32"/>
          <w:szCs w:val="32"/>
          <w:lang w:eastAsia="zh-CN"/>
        </w:rPr>
        <w:t>维护</w:t>
      </w:r>
      <w:r>
        <w:rPr>
          <w:rFonts w:hint="eastAsia" w:ascii="仿宋_GB2312" w:eastAsia="仿宋_GB2312"/>
          <w:sz w:val="32"/>
          <w:szCs w:val="32"/>
        </w:rPr>
        <w:t>服务、公务用车大修。</w:t>
      </w:r>
    </w:p>
    <w:p>
      <w:pPr>
        <w:pBdr>
          <w:bottom w:val="single" w:color="FFFFFF" w:sz="4" w:space="31"/>
        </w:pBdr>
        <w:tabs>
          <w:tab w:val="left" w:pos="1440"/>
        </w:tabs>
        <w:spacing w:line="600" w:lineRule="exact"/>
        <w:ind w:firstLine="643" w:firstLineChars="200"/>
        <w:rPr>
          <w:rFonts w:ascii="楷体_GB2312" w:eastAsia="楷体_GB2312"/>
          <w:b/>
          <w:color w:val="auto"/>
          <w:sz w:val="32"/>
          <w:szCs w:val="32"/>
        </w:rPr>
      </w:pPr>
      <w:r>
        <w:rPr>
          <w:rFonts w:hint="eastAsia" w:ascii="楷体_GB2312" w:eastAsia="楷体_GB2312"/>
          <w:b/>
          <w:color w:val="auto"/>
          <w:sz w:val="32"/>
          <w:szCs w:val="32"/>
        </w:rPr>
        <w:t>（三）国有资产占有使用情况</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固定资产总金额793.47万元。</w:t>
      </w:r>
    </w:p>
    <w:p>
      <w:pPr>
        <w:pBdr>
          <w:bottom w:val="single" w:color="FFFFFF" w:sz="4" w:space="31"/>
        </w:pBdr>
        <w:tabs>
          <w:tab w:val="left" w:pos="1440"/>
        </w:tabs>
        <w:spacing w:line="600" w:lineRule="exact"/>
        <w:ind w:firstLine="643" w:firstLineChars="200"/>
        <w:rPr>
          <w:rFonts w:ascii="楷体_GB2312" w:eastAsia="楷体_GB2312"/>
          <w:b/>
          <w:sz w:val="32"/>
          <w:szCs w:val="32"/>
        </w:rPr>
      </w:pPr>
      <w:r>
        <w:rPr>
          <w:rFonts w:hint="eastAsia" w:ascii="楷体_GB2312" w:eastAsia="楷体_GB2312"/>
          <w:b/>
          <w:sz w:val="32"/>
          <w:szCs w:val="32"/>
        </w:rPr>
        <w:t>（四）绩效目标设置情况</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2022年州委政法委通用项目和专用项目均按要求实行绩效目标管理，涉及一般公共预算当年拨款</w:t>
      </w:r>
      <w:r>
        <w:rPr>
          <w:rFonts w:hint="eastAsia" w:ascii="仿宋_GB2312" w:eastAsia="仿宋_GB2312"/>
          <w:sz w:val="32"/>
          <w:szCs w:val="32"/>
          <w:lang w:val="en-US" w:eastAsia="zh-CN"/>
        </w:rPr>
        <w:t>491</w:t>
      </w:r>
      <w:r>
        <w:rPr>
          <w:rFonts w:hint="eastAsia" w:ascii="仿宋_GB2312" w:eastAsia="仿宋_GB2312"/>
          <w:sz w:val="32"/>
          <w:szCs w:val="32"/>
        </w:rPr>
        <w:t>.</w:t>
      </w:r>
      <w:r>
        <w:rPr>
          <w:rFonts w:hint="eastAsia" w:ascii="仿宋_GB2312" w:eastAsia="仿宋_GB2312"/>
          <w:sz w:val="32"/>
          <w:szCs w:val="32"/>
          <w:lang w:val="en-US" w:eastAsia="zh-CN"/>
        </w:rPr>
        <w:t>66</w:t>
      </w:r>
      <w:r>
        <w:rPr>
          <w:rFonts w:hint="eastAsia" w:ascii="仿宋_GB2312" w:eastAsia="仿宋_GB2312"/>
          <w:sz w:val="32"/>
          <w:szCs w:val="32"/>
        </w:rPr>
        <w:t>万元。</w:t>
      </w:r>
    </w:p>
    <w:p>
      <w:pPr>
        <w:pBdr>
          <w:bottom w:val="single" w:color="FFFFFF" w:sz="4" w:space="31"/>
        </w:pBdr>
        <w:tabs>
          <w:tab w:val="left" w:pos="1440"/>
        </w:tabs>
        <w:spacing w:line="600" w:lineRule="exact"/>
        <w:ind w:firstLine="640" w:firstLineChars="200"/>
        <w:rPr>
          <w:rFonts w:ascii="黑体" w:eastAsia="黑体"/>
          <w:sz w:val="32"/>
          <w:szCs w:val="32"/>
        </w:rPr>
      </w:pPr>
      <w:r>
        <w:rPr>
          <w:rFonts w:hint="eastAsia" w:ascii="黑体" w:eastAsia="黑体"/>
          <w:sz w:val="32"/>
          <w:szCs w:val="32"/>
        </w:rPr>
        <w:t>十、名词解释</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（一）财政拨款收入：指由财政拨款形成的部门收入。按现行管理制度，部门预算中反映的财政拨款仅包括一般公共预算拨款和政府性基金预算拨款。</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（二）事业收入：指所属事业单位开展专业业务活动及辅助活动所取得的收入。</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（三）事业单位经营收入：指所属事业单位在专业业务活动及其辅助活动之外开展非独立核算经营活动取得的收入。</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（四）其他收入：指除上述“财政拨款收入”、“事业收入”、“事业单位经营收入”等以外的收入，主要是所属行政事业单位按规定动用的售房收入、存款利息收入等。</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五）用事业基金弥补收支差额：指所属事业单位在预计用当年的“财政拨款收入”、“事业收入”、“事业单位经营收入”、“其他收入”不足以安排当年支出的情况下，使用以前年度积累的事业基金弥补本年度收支缺口的资金。</w:t>
      </w:r>
    </w:p>
    <w:p>
      <w:pPr>
        <w:pBdr>
          <w:bottom w:val="single" w:color="FFFFFF" w:sz="4" w:space="31"/>
        </w:pBdr>
        <w:tabs>
          <w:tab w:val="left" w:pos="1440"/>
        </w:tabs>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（六）上年结转：指所属行政事业单位以前年度尚未完成、结转至本年按原规定用途继续使用的资金和以前年度已完成项目剩余资金经批准用于新用途使用的资金。</w:t>
      </w:r>
    </w:p>
    <w:p>
      <w:pPr>
        <w:pBdr>
          <w:bottom w:val="single" w:color="FFFFFF" w:sz="4" w:space="31"/>
        </w:pBdr>
        <w:tabs>
          <w:tab w:val="left" w:pos="1440"/>
        </w:tabs>
        <w:spacing w:line="600" w:lineRule="exact"/>
        <w:ind w:firstLine="640" w:firstLineChars="200"/>
        <w:rPr>
          <w:rFonts w:hint="eastAsia" w:eastAsia="方正仿宋_GBK"/>
          <w:sz w:val="32"/>
          <w:szCs w:val="32"/>
          <w:lang w:val="en-US" w:eastAsia="zh-CN"/>
        </w:rPr>
      </w:pPr>
      <w:r>
        <w:rPr>
          <w:rFonts w:hint="eastAsia" w:eastAsia="方正仿宋_GBK"/>
          <w:sz w:val="32"/>
          <w:szCs w:val="32"/>
          <w:lang w:val="en-US" w:eastAsia="zh-CN"/>
        </w:rPr>
        <w:t xml:space="preserve">   </w:t>
      </w:r>
    </w:p>
    <w:p>
      <w:pPr>
        <w:pBdr>
          <w:bottom w:val="single" w:color="FFFFFF" w:sz="4" w:space="31"/>
        </w:pBdr>
        <w:tabs>
          <w:tab w:val="left" w:pos="1440"/>
        </w:tabs>
        <w:spacing w:line="600" w:lineRule="exact"/>
        <w:ind w:firstLine="640" w:firstLineChars="200"/>
        <w:rPr>
          <w:rFonts w:hint="eastAsia" w:eastAsia="方正仿宋_GBK"/>
          <w:sz w:val="32"/>
          <w:szCs w:val="32"/>
          <w:lang w:val="en-US" w:eastAsia="zh-CN"/>
        </w:rPr>
      </w:pPr>
    </w:p>
    <w:p>
      <w:pPr>
        <w:pBdr>
          <w:bottom w:val="single" w:color="FFFFFF" w:sz="4" w:space="31"/>
        </w:pBdr>
        <w:tabs>
          <w:tab w:val="left" w:pos="1440"/>
        </w:tabs>
        <w:spacing w:line="600" w:lineRule="exact"/>
        <w:ind w:firstLine="640" w:firstLineChars="200"/>
        <w:rPr>
          <w:rFonts w:hint="default" w:eastAsia="方正仿宋_GBK"/>
          <w:sz w:val="32"/>
          <w:szCs w:val="32"/>
          <w:lang w:val="en-US" w:eastAsia="zh-CN"/>
        </w:rPr>
      </w:pPr>
    </w:p>
    <w:p>
      <w:pPr>
        <w:pBdr>
          <w:bottom w:val="single" w:color="FFFFFF" w:sz="4" w:space="31"/>
        </w:pBdr>
        <w:tabs>
          <w:tab w:val="left" w:pos="1440"/>
        </w:tabs>
        <w:spacing w:line="600" w:lineRule="exact"/>
        <w:ind w:firstLine="640" w:firstLineChars="200"/>
        <w:rPr>
          <w:rFonts w:eastAsia="方正仿宋_GBK"/>
          <w:sz w:val="32"/>
          <w:szCs w:val="32"/>
        </w:rPr>
      </w:pPr>
      <w:bookmarkStart w:id="0" w:name="_GoBack"/>
      <w:bookmarkEnd w:id="0"/>
    </w:p>
    <w:p>
      <w:pPr>
        <w:pBdr>
          <w:bottom w:val="single" w:color="FFFFFF" w:sz="4" w:space="31"/>
        </w:pBdr>
        <w:tabs>
          <w:tab w:val="left" w:pos="1440"/>
        </w:tabs>
        <w:spacing w:line="600" w:lineRule="exact"/>
        <w:ind w:firstLine="2400" w:firstLineChars="750"/>
        <w:rPr>
          <w:rFonts w:eastAsia="方正仿宋_GBK"/>
          <w:sz w:val="32"/>
          <w:szCs w:val="32"/>
        </w:rPr>
      </w:pPr>
      <w:r>
        <w:rPr>
          <w:rFonts w:hint="eastAsia" w:eastAsia="方正仿宋_GBK"/>
          <w:sz w:val="32"/>
          <w:szCs w:val="32"/>
        </w:rPr>
        <w:t>中共阿坝州委政法委员会</w:t>
      </w:r>
    </w:p>
    <w:p>
      <w:pPr>
        <w:pBdr>
          <w:bottom w:val="single" w:color="FFFFFF" w:sz="4" w:space="31"/>
        </w:pBdr>
        <w:tabs>
          <w:tab w:val="left" w:pos="1440"/>
        </w:tabs>
        <w:spacing w:line="600" w:lineRule="exact"/>
        <w:ind w:firstLine="3200" w:firstLineChars="10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年1月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w:t>
      </w:r>
    </w:p>
    <w:p>
      <w:pPr>
        <w:pStyle w:val="10"/>
        <w:spacing w:before="0" w:line="600" w:lineRule="exact"/>
      </w:pPr>
    </w:p>
    <w:sectPr>
      <w:footerReference r:id="rId3" w:type="default"/>
      <w:footerReference r:id="rId4" w:type="even"/>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2</w:t>
    </w:r>
    <w:r>
      <w:rPr>
        <w:rStyle w:val="6"/>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27FE7"/>
    <w:multiLevelType w:val="multilevel"/>
    <w:tmpl w:val="28F27FE7"/>
    <w:lvl w:ilvl="0" w:tentative="0">
      <w:start w:val="1"/>
      <w:numFmt w:val="japaneseCounting"/>
      <w:lvlText w:val="%1、"/>
      <w:lvlJc w:val="left"/>
      <w:pPr>
        <w:ind w:left="880" w:hanging="88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xMTVhMzA0ZmI5MzE0ZTQ4Njg5NWUwM2ZhMTJkY2QifQ=="/>
  </w:docVars>
  <w:rsids>
    <w:rsidRoot w:val="00352854"/>
    <w:rsid w:val="00012915"/>
    <w:rsid w:val="00031C86"/>
    <w:rsid w:val="000443BB"/>
    <w:rsid w:val="00063AD1"/>
    <w:rsid w:val="00085137"/>
    <w:rsid w:val="000A3686"/>
    <w:rsid w:val="000B4355"/>
    <w:rsid w:val="000B71F8"/>
    <w:rsid w:val="000C7961"/>
    <w:rsid w:val="000E44FB"/>
    <w:rsid w:val="00104B69"/>
    <w:rsid w:val="00105A77"/>
    <w:rsid w:val="00136BB4"/>
    <w:rsid w:val="00166005"/>
    <w:rsid w:val="001777E8"/>
    <w:rsid w:val="001A3C99"/>
    <w:rsid w:val="001A73DC"/>
    <w:rsid w:val="001D5B8E"/>
    <w:rsid w:val="001E0B73"/>
    <w:rsid w:val="001F7E22"/>
    <w:rsid w:val="00201602"/>
    <w:rsid w:val="002032F9"/>
    <w:rsid w:val="00213B32"/>
    <w:rsid w:val="00225D81"/>
    <w:rsid w:val="002267B3"/>
    <w:rsid w:val="0022736E"/>
    <w:rsid w:val="00250DCC"/>
    <w:rsid w:val="00252219"/>
    <w:rsid w:val="00252B81"/>
    <w:rsid w:val="00260082"/>
    <w:rsid w:val="00267418"/>
    <w:rsid w:val="002B19D9"/>
    <w:rsid w:val="002C5DCE"/>
    <w:rsid w:val="00300E84"/>
    <w:rsid w:val="003171B0"/>
    <w:rsid w:val="003320A6"/>
    <w:rsid w:val="00335497"/>
    <w:rsid w:val="00347A2B"/>
    <w:rsid w:val="00352854"/>
    <w:rsid w:val="00357C3A"/>
    <w:rsid w:val="0036208E"/>
    <w:rsid w:val="00362B30"/>
    <w:rsid w:val="003644B3"/>
    <w:rsid w:val="003762A5"/>
    <w:rsid w:val="003969A7"/>
    <w:rsid w:val="003A7201"/>
    <w:rsid w:val="003B1C9E"/>
    <w:rsid w:val="003C3771"/>
    <w:rsid w:val="003C4088"/>
    <w:rsid w:val="003D31DD"/>
    <w:rsid w:val="003D6041"/>
    <w:rsid w:val="003E2F44"/>
    <w:rsid w:val="003F048A"/>
    <w:rsid w:val="003F54B3"/>
    <w:rsid w:val="003F7CF3"/>
    <w:rsid w:val="0040609E"/>
    <w:rsid w:val="004259F6"/>
    <w:rsid w:val="004350A3"/>
    <w:rsid w:val="00435E4F"/>
    <w:rsid w:val="00444B47"/>
    <w:rsid w:val="004455CB"/>
    <w:rsid w:val="0045126A"/>
    <w:rsid w:val="00472143"/>
    <w:rsid w:val="00486DF7"/>
    <w:rsid w:val="004A3856"/>
    <w:rsid w:val="004A4D38"/>
    <w:rsid w:val="004E4E5C"/>
    <w:rsid w:val="004E6736"/>
    <w:rsid w:val="005067EE"/>
    <w:rsid w:val="005226EB"/>
    <w:rsid w:val="00535D0A"/>
    <w:rsid w:val="00546B0E"/>
    <w:rsid w:val="00562810"/>
    <w:rsid w:val="00572C77"/>
    <w:rsid w:val="00591AF3"/>
    <w:rsid w:val="005D3582"/>
    <w:rsid w:val="005D5780"/>
    <w:rsid w:val="005E2CD2"/>
    <w:rsid w:val="005F4E71"/>
    <w:rsid w:val="006069BA"/>
    <w:rsid w:val="00610D41"/>
    <w:rsid w:val="00643E1F"/>
    <w:rsid w:val="00651A0D"/>
    <w:rsid w:val="006626A9"/>
    <w:rsid w:val="00676C15"/>
    <w:rsid w:val="00691F04"/>
    <w:rsid w:val="00696C52"/>
    <w:rsid w:val="006A58B1"/>
    <w:rsid w:val="006B0564"/>
    <w:rsid w:val="006C3152"/>
    <w:rsid w:val="006C6E2F"/>
    <w:rsid w:val="006E31E1"/>
    <w:rsid w:val="007147D5"/>
    <w:rsid w:val="00723D9F"/>
    <w:rsid w:val="007356E2"/>
    <w:rsid w:val="00743C6A"/>
    <w:rsid w:val="007702D5"/>
    <w:rsid w:val="00775155"/>
    <w:rsid w:val="007A059E"/>
    <w:rsid w:val="007B0E81"/>
    <w:rsid w:val="007B2555"/>
    <w:rsid w:val="007B3677"/>
    <w:rsid w:val="007E58A3"/>
    <w:rsid w:val="007F0A18"/>
    <w:rsid w:val="007F3C78"/>
    <w:rsid w:val="007F4AD4"/>
    <w:rsid w:val="00801A1E"/>
    <w:rsid w:val="008416D0"/>
    <w:rsid w:val="00844680"/>
    <w:rsid w:val="00863119"/>
    <w:rsid w:val="00870C60"/>
    <w:rsid w:val="00871E22"/>
    <w:rsid w:val="008955B8"/>
    <w:rsid w:val="008F5DCC"/>
    <w:rsid w:val="008F63EB"/>
    <w:rsid w:val="00921354"/>
    <w:rsid w:val="0092171E"/>
    <w:rsid w:val="00924504"/>
    <w:rsid w:val="00944D16"/>
    <w:rsid w:val="009463E4"/>
    <w:rsid w:val="00952F93"/>
    <w:rsid w:val="00985BB9"/>
    <w:rsid w:val="00985F79"/>
    <w:rsid w:val="00987B5A"/>
    <w:rsid w:val="009903CB"/>
    <w:rsid w:val="009918A6"/>
    <w:rsid w:val="0099515C"/>
    <w:rsid w:val="009A4274"/>
    <w:rsid w:val="009A7D75"/>
    <w:rsid w:val="009E35B1"/>
    <w:rsid w:val="009E37A3"/>
    <w:rsid w:val="009E47BA"/>
    <w:rsid w:val="009F66E5"/>
    <w:rsid w:val="00A144F8"/>
    <w:rsid w:val="00A24DD2"/>
    <w:rsid w:val="00A37502"/>
    <w:rsid w:val="00A563D3"/>
    <w:rsid w:val="00A86C12"/>
    <w:rsid w:val="00AA34A1"/>
    <w:rsid w:val="00AA5394"/>
    <w:rsid w:val="00AC7E82"/>
    <w:rsid w:val="00AD4E10"/>
    <w:rsid w:val="00AD7148"/>
    <w:rsid w:val="00AE4D23"/>
    <w:rsid w:val="00AE7824"/>
    <w:rsid w:val="00B0408F"/>
    <w:rsid w:val="00B13903"/>
    <w:rsid w:val="00B37B6D"/>
    <w:rsid w:val="00B76696"/>
    <w:rsid w:val="00B83DAE"/>
    <w:rsid w:val="00BA45E4"/>
    <w:rsid w:val="00BD4731"/>
    <w:rsid w:val="00BE69EA"/>
    <w:rsid w:val="00BE7EAE"/>
    <w:rsid w:val="00C0348B"/>
    <w:rsid w:val="00C03DD8"/>
    <w:rsid w:val="00C07B51"/>
    <w:rsid w:val="00C24AE8"/>
    <w:rsid w:val="00C451EA"/>
    <w:rsid w:val="00C57606"/>
    <w:rsid w:val="00C8183B"/>
    <w:rsid w:val="00CB1880"/>
    <w:rsid w:val="00CE5E3F"/>
    <w:rsid w:val="00CF1564"/>
    <w:rsid w:val="00D00CF2"/>
    <w:rsid w:val="00D06278"/>
    <w:rsid w:val="00D31775"/>
    <w:rsid w:val="00D33F1B"/>
    <w:rsid w:val="00D42CB5"/>
    <w:rsid w:val="00D47E1C"/>
    <w:rsid w:val="00D55841"/>
    <w:rsid w:val="00D832E6"/>
    <w:rsid w:val="00DB2368"/>
    <w:rsid w:val="00DB3BA5"/>
    <w:rsid w:val="00DB7E8D"/>
    <w:rsid w:val="00DC4472"/>
    <w:rsid w:val="00E078C8"/>
    <w:rsid w:val="00E55EAF"/>
    <w:rsid w:val="00E724D3"/>
    <w:rsid w:val="00E7256C"/>
    <w:rsid w:val="00E74583"/>
    <w:rsid w:val="00E7775B"/>
    <w:rsid w:val="00E91140"/>
    <w:rsid w:val="00EA6097"/>
    <w:rsid w:val="00EB1F50"/>
    <w:rsid w:val="00EB66B8"/>
    <w:rsid w:val="00EF530E"/>
    <w:rsid w:val="00F03195"/>
    <w:rsid w:val="00F22CB0"/>
    <w:rsid w:val="00F33032"/>
    <w:rsid w:val="00F50DCC"/>
    <w:rsid w:val="00F743F0"/>
    <w:rsid w:val="00F74FAD"/>
    <w:rsid w:val="00F80C32"/>
    <w:rsid w:val="00F9639F"/>
    <w:rsid w:val="00FD62F3"/>
    <w:rsid w:val="00FE316B"/>
    <w:rsid w:val="00FE45FF"/>
    <w:rsid w:val="00FF11B9"/>
    <w:rsid w:val="157DE3B9"/>
    <w:rsid w:val="3AEF21CB"/>
    <w:rsid w:val="3B2E540C"/>
    <w:rsid w:val="3FADB9A1"/>
    <w:rsid w:val="3FFF1C96"/>
    <w:rsid w:val="4A8910DF"/>
    <w:rsid w:val="55FAE790"/>
    <w:rsid w:val="5DFE7E37"/>
    <w:rsid w:val="5FFF2956"/>
    <w:rsid w:val="60DEA1BA"/>
    <w:rsid w:val="6FCB3C44"/>
    <w:rsid w:val="71FE1231"/>
    <w:rsid w:val="73FF7424"/>
    <w:rsid w:val="75F807F1"/>
    <w:rsid w:val="776BF3A0"/>
    <w:rsid w:val="79BFD306"/>
    <w:rsid w:val="7D6EB7D9"/>
    <w:rsid w:val="7F8F1888"/>
    <w:rsid w:val="7FBC003A"/>
    <w:rsid w:val="7FF9593F"/>
    <w:rsid w:val="9BFF61E1"/>
    <w:rsid w:val="B37F5919"/>
    <w:rsid w:val="B3FFF8CC"/>
    <w:rsid w:val="BB5B47BB"/>
    <w:rsid w:val="BF7D93A6"/>
    <w:rsid w:val="CFE76828"/>
    <w:rsid w:val="D76E7A69"/>
    <w:rsid w:val="DB571046"/>
    <w:rsid w:val="DBDFA46F"/>
    <w:rsid w:val="DFCD1858"/>
    <w:rsid w:val="ECFDD594"/>
    <w:rsid w:val="EFF7B303"/>
    <w:rsid w:val="F39F0E73"/>
    <w:rsid w:val="F3BFFB2E"/>
    <w:rsid w:val="F3F8CDA5"/>
    <w:rsid w:val="F5FF0E66"/>
    <w:rsid w:val="F7DFFD7C"/>
    <w:rsid w:val="F7EFB581"/>
    <w:rsid w:val="F97F1575"/>
    <w:rsid w:val="FBF6ABC8"/>
    <w:rsid w:val="FBFB00EF"/>
    <w:rsid w:val="FDFD4905"/>
    <w:rsid w:val="FF111759"/>
    <w:rsid w:val="FFEDEDDA"/>
    <w:rsid w:val="FFFC6F1A"/>
  </w:rsids>
  <m:mathPr>
    <m:mathFont m:val="Cambria Math"/>
    <m:brkBin m:val="before"/>
    <m:brkBinSub m:val="--"/>
    <m:smallFrac m:val="0"/>
    <m:dispDef/>
    <m:lMargin m:val="0"/>
    <m:rMargin m:val="0"/>
    <m:defJc m:val="centerGroup"/>
    <m:wrapIndent m:val="1440"/>
    <m:intLim m:val="subSup"/>
    <m:naryLim m:val="undOvr"/>
  </m:mathPr>
  <w:attachedSchema w:val="Tencent"/>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 w:type="character" w:styleId="7">
    <w:name w:val="Emphasis"/>
    <w:basedOn w:val="5"/>
    <w:qFormat/>
    <w:uiPriority w:val="99"/>
    <w:rPr>
      <w:rFonts w:cs="Times New Roman"/>
    </w:rPr>
  </w:style>
  <w:style w:type="character" w:customStyle="1" w:styleId="8">
    <w:name w:val="页眉 Char"/>
    <w:basedOn w:val="5"/>
    <w:link w:val="3"/>
    <w:semiHidden/>
    <w:qFormat/>
    <w:locked/>
    <w:uiPriority w:val="99"/>
    <w:rPr>
      <w:rFonts w:cs="Times New Roman"/>
      <w:sz w:val="18"/>
      <w:szCs w:val="18"/>
    </w:rPr>
  </w:style>
  <w:style w:type="character" w:customStyle="1" w:styleId="9">
    <w:name w:val="页脚 Char"/>
    <w:basedOn w:val="5"/>
    <w:link w:val="2"/>
    <w:semiHidden/>
    <w:qFormat/>
    <w:locked/>
    <w:uiPriority w:val="99"/>
    <w:rPr>
      <w:rFonts w:cs="Times New Roman"/>
      <w:sz w:val="18"/>
      <w:szCs w:val="18"/>
    </w:rPr>
  </w:style>
  <w:style w:type="paragraph" w:customStyle="1" w:styleId="10">
    <w:name w:val="正文文本1"/>
    <w:basedOn w:val="1"/>
    <w:qFormat/>
    <w:uiPriority w:val="99"/>
    <w:pPr>
      <w:spacing w:before="93"/>
    </w:pPr>
    <w:rPr>
      <w:rFonts w:ascii="仿宋_GB2312" w:hAnsi="仿宋_GB2312" w:eastAsia="仿宋_GB2312"/>
      <w:kern w:val="0"/>
      <w:sz w:val="30"/>
      <w:szCs w:val="20"/>
    </w:rPr>
  </w:style>
  <w:style w:type="character" w:customStyle="1" w:styleId="11">
    <w:name w:val="默认段落字体1"/>
    <w:qFormat/>
    <w:uiPriority w:val="99"/>
    <w:rPr>
      <w:sz w:val="22"/>
    </w:rPr>
  </w:style>
  <w:style w:type="paragraph" w:styleId="1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2934</Words>
  <Characters>3310</Characters>
  <Lines>24</Lines>
  <Paragraphs>6</Paragraphs>
  <TotalTime>103</TotalTime>
  <ScaleCrop>false</ScaleCrop>
  <LinksUpToDate>false</LinksUpToDate>
  <CharactersWithSpaces>3318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2022-01-27T12:11:00Z</dcterms:created>
  <dc:creator>薛永萍</dc:creator>
  <cp:lastModifiedBy>Jayk</cp:lastModifiedBy>
  <dcterms:modified xsi:type="dcterms:W3CDTF">2023-02-06T08:44:43Z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57B05EB69DD542DEB21303425417A95C</vt:lpwstr>
  </property>
</Properties>
</file>