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40" w:lineRule="exact"/>
        <w:textAlignment w:val="auto"/>
      </w:pPr>
    </w:p>
    <w:p>
      <w:pPr>
        <w:keepNext w:val="0"/>
        <w:keepLines w:val="0"/>
        <w:pageBreakBefore w:val="0"/>
        <w:kinsoku/>
        <w:wordWrap/>
        <w:overflowPunct/>
        <w:topLinePunct w:val="0"/>
        <w:autoSpaceDE/>
        <w:autoSpaceDN/>
        <w:bidi w:val="0"/>
        <w:adjustRightInd/>
        <w:snapToGrid/>
        <w:spacing w:line="540" w:lineRule="exact"/>
        <w:textAlignment w:val="auto"/>
      </w:pPr>
    </w:p>
    <w:p>
      <w:pPr>
        <w:keepNext w:val="0"/>
        <w:keepLines w:val="0"/>
        <w:pageBreakBefore w:val="0"/>
        <w:kinsoku/>
        <w:wordWrap/>
        <w:overflowPunct/>
        <w:topLinePunct w:val="0"/>
        <w:autoSpaceDE/>
        <w:autoSpaceDN/>
        <w:bidi w:val="0"/>
        <w:adjustRightInd/>
        <w:snapToGrid/>
        <w:spacing w:line="540" w:lineRule="exact"/>
        <w:textAlignment w:val="auto"/>
      </w:pPr>
    </w:p>
    <w:p>
      <w:pPr>
        <w:keepNext w:val="0"/>
        <w:keepLines w:val="0"/>
        <w:pageBreakBefore w:val="0"/>
        <w:kinsoku/>
        <w:wordWrap/>
        <w:overflowPunct/>
        <w:topLinePunct w:val="0"/>
        <w:autoSpaceDE/>
        <w:autoSpaceDN/>
        <w:bidi w:val="0"/>
        <w:adjustRightInd/>
        <w:snapToGrid/>
        <w:spacing w:line="540" w:lineRule="exact"/>
        <w:textAlignment w:val="auto"/>
      </w:pPr>
    </w:p>
    <w:p>
      <w:pPr>
        <w:keepNext w:val="0"/>
        <w:keepLines w:val="0"/>
        <w:pageBreakBefore w:val="0"/>
        <w:kinsoku/>
        <w:wordWrap/>
        <w:overflowPunct/>
        <w:topLinePunct w:val="0"/>
        <w:autoSpaceDE/>
        <w:autoSpaceDN/>
        <w:bidi w:val="0"/>
        <w:adjustRightInd/>
        <w:snapToGrid/>
        <w:spacing w:line="540" w:lineRule="exact"/>
        <w:ind w:firstLine="1050" w:firstLineChars="500"/>
        <w:textAlignment w:val="auto"/>
      </w:pPr>
    </w:p>
    <w:p>
      <w:pPr>
        <w:keepNext w:val="0"/>
        <w:keepLines w:val="0"/>
        <w:pageBreakBefore w:val="0"/>
        <w:kinsoku/>
        <w:wordWrap/>
        <w:overflowPunct/>
        <w:topLinePunct w:val="0"/>
        <w:autoSpaceDE/>
        <w:autoSpaceDN/>
        <w:bidi w:val="0"/>
        <w:adjustRightInd/>
        <w:snapToGrid/>
        <w:spacing w:line="540" w:lineRule="exact"/>
        <w:ind w:firstLine="1050" w:firstLineChars="500"/>
        <w:textAlignment w:val="auto"/>
      </w:pPr>
    </w:p>
    <w:p>
      <w:pPr>
        <w:keepNext w:val="0"/>
        <w:keepLines w:val="0"/>
        <w:pageBreakBefore w:val="0"/>
        <w:kinsoku/>
        <w:wordWrap/>
        <w:overflowPunct/>
        <w:topLinePunct w:val="0"/>
        <w:autoSpaceDE/>
        <w:autoSpaceDN/>
        <w:bidi w:val="0"/>
        <w:adjustRightInd/>
        <w:snapToGrid/>
        <w:spacing w:line="54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firstLine="1760" w:firstLineChars="400"/>
        <w:textAlignment w:val="auto"/>
        <w:rPr>
          <w:rFonts w:ascii="黑体" w:hAnsi="黑体" w:eastAsia="黑体"/>
          <w:sz w:val="44"/>
          <w:szCs w:val="44"/>
        </w:rPr>
      </w:pPr>
      <w:r>
        <w:rPr>
          <w:rFonts w:hint="eastAsia" w:ascii="黑体" w:hAnsi="黑体" w:eastAsia="黑体"/>
          <w:sz w:val="44"/>
          <w:szCs w:val="44"/>
        </w:rPr>
        <w:t>州委政法委</w:t>
      </w:r>
      <w:r>
        <w:rPr>
          <w:rFonts w:ascii="黑体" w:hAnsi="黑体" w:eastAsia="黑体"/>
          <w:sz w:val="44"/>
          <w:szCs w:val="44"/>
        </w:rPr>
        <w:t>202</w:t>
      </w:r>
      <w:r>
        <w:rPr>
          <w:rFonts w:hint="eastAsia" w:ascii="黑体" w:hAnsi="黑体" w:eastAsia="黑体"/>
          <w:sz w:val="44"/>
          <w:szCs w:val="44"/>
        </w:rPr>
        <w:t>2年部门预算</w:t>
      </w:r>
    </w:p>
    <w:p>
      <w:pPr>
        <w:keepNext w:val="0"/>
        <w:keepLines w:val="0"/>
        <w:pageBreakBefore w:val="0"/>
        <w:kinsoku/>
        <w:wordWrap/>
        <w:overflowPunct/>
        <w:topLinePunct w:val="0"/>
        <w:autoSpaceDE/>
        <w:autoSpaceDN/>
        <w:bidi w:val="0"/>
        <w:adjustRightInd/>
        <w:snapToGrid/>
        <w:spacing w:line="54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firstLine="2560" w:firstLineChars="800"/>
        <w:textAlignment w:val="auto"/>
        <w:rPr>
          <w:rFonts w:ascii="黑体" w:hAnsi="黑体" w:eastAsia="黑体"/>
          <w:sz w:val="32"/>
          <w:szCs w:val="32"/>
        </w:rPr>
      </w:pPr>
      <w:r>
        <w:rPr>
          <w:rFonts w:ascii="黑体" w:hAnsi="黑体" w:eastAsia="黑体"/>
          <w:sz w:val="32"/>
          <w:szCs w:val="32"/>
        </w:rPr>
        <w:t>202</w:t>
      </w:r>
      <w:r>
        <w:rPr>
          <w:rFonts w:hint="eastAsia" w:ascii="黑体" w:hAnsi="黑体" w:eastAsia="黑体"/>
          <w:sz w:val="32"/>
          <w:szCs w:val="32"/>
        </w:rPr>
        <w:t>2年1月26日</w:t>
      </w:r>
    </w:p>
    <w:p>
      <w:pPr>
        <w:keepNext w:val="0"/>
        <w:keepLines w:val="0"/>
        <w:pageBreakBefore w:val="0"/>
        <w:kinsoku/>
        <w:wordWrap/>
        <w:overflowPunct/>
        <w:topLinePunct w:val="0"/>
        <w:autoSpaceDE/>
        <w:autoSpaceDN/>
        <w:bidi w:val="0"/>
        <w:adjustRightInd/>
        <w:snapToGrid/>
        <w:spacing w:line="54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40" w:lineRule="exact"/>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firstLine="3120" w:firstLineChars="600"/>
        <w:textAlignment w:val="auto"/>
        <w:rPr>
          <w:rFonts w:ascii="黑体" w:hAnsi="黑体" w:eastAsia="黑体"/>
          <w:sz w:val="52"/>
          <w:szCs w:val="52"/>
        </w:rPr>
      </w:pPr>
      <w:r>
        <w:rPr>
          <w:rFonts w:hint="eastAsia" w:ascii="黑体" w:hAnsi="黑体" w:eastAsia="黑体"/>
          <w:sz w:val="52"/>
          <w:szCs w:val="52"/>
        </w:rPr>
        <w:t>目</w:t>
      </w:r>
      <w:r>
        <w:rPr>
          <w:rFonts w:ascii="黑体" w:hAnsi="黑体" w:eastAsia="黑体"/>
          <w:sz w:val="52"/>
          <w:szCs w:val="52"/>
        </w:rPr>
        <w:t xml:space="preserve"> </w:t>
      </w:r>
      <w:r>
        <w:rPr>
          <w:rFonts w:hint="eastAsia" w:ascii="黑体" w:hAnsi="黑体" w:eastAsia="黑体"/>
          <w:sz w:val="52"/>
          <w:szCs w:val="52"/>
        </w:rPr>
        <w:t>录</w:t>
      </w:r>
    </w:p>
    <w:p>
      <w:pPr>
        <w:keepNext w:val="0"/>
        <w:keepLines w:val="0"/>
        <w:pageBreakBefore w:val="0"/>
        <w:kinsoku/>
        <w:wordWrap/>
        <w:overflowPunct/>
        <w:topLinePunct w:val="0"/>
        <w:autoSpaceDE/>
        <w:autoSpaceDN/>
        <w:bidi w:val="0"/>
        <w:adjustRightInd/>
        <w:snapToGrid/>
        <w:spacing w:line="540" w:lineRule="exact"/>
        <w:ind w:firstLine="3080" w:firstLineChars="700"/>
        <w:textAlignment w:val="auto"/>
        <w:rPr>
          <w:rFonts w:ascii="黑体" w:hAnsi="黑体" w:eastAsia="黑体"/>
          <w:sz w:val="44"/>
          <w:szCs w:val="44"/>
        </w:rPr>
      </w:pPr>
    </w:p>
    <w:sdt>
      <w:sdtPr>
        <w:rPr>
          <w:rFonts w:ascii="宋体" w:hAnsi="宋体" w:eastAsia="宋体" w:cs="Times New Roman"/>
          <w:kern w:val="2"/>
          <w:sz w:val="21"/>
          <w:szCs w:val="22"/>
          <w:lang w:val="en-US" w:eastAsia="zh-CN" w:bidi="ar-SA"/>
        </w:rPr>
        <w:id w:val="147475221"/>
        <w15:color w:val="DBDBDB"/>
        <w:docPartObj>
          <w:docPartGallery w:val="Table of Contents"/>
          <w:docPartUnique/>
        </w:docPartObj>
      </w:sdtPr>
      <w:sdtEndPr>
        <w:rPr>
          <w:rFonts w:ascii="黑体" w:hAnsi="黑体" w:eastAsia="黑体" w:cs="Times New Roman"/>
          <w:b/>
          <w:kern w:val="2"/>
          <w:sz w:val="21"/>
          <w:szCs w:val="32"/>
          <w:lang w:val="en-US" w:eastAsia="zh-CN" w:bidi="ar-SA"/>
        </w:rPr>
      </w:sdtEndPr>
      <w:sdtContent>
        <w:p>
          <w:pPr>
            <w:spacing w:before="0" w:beforeLines="0" w:after="0" w:afterLines="0" w:line="240" w:lineRule="auto"/>
            <w:ind w:left="0" w:leftChars="0" w:right="0" w:rightChars="0" w:firstLine="0" w:firstLineChars="0"/>
            <w:jc w:val="center"/>
          </w:pPr>
          <w:bookmarkStart w:id="22" w:name="_GoBack"/>
          <w:bookmarkEnd w:id="22"/>
        </w:p>
        <w:p>
          <w:pPr>
            <w:pStyle w:val="13"/>
            <w:tabs>
              <w:tab w:val="right" w:leader="dot" w:pos="8306"/>
            </w:tabs>
            <w:rPr>
              <w:b/>
            </w:rPr>
          </w:pPr>
          <w:r>
            <w:rPr>
              <w:rFonts w:ascii="黑体" w:hAnsi="黑体" w:eastAsia="黑体"/>
              <w:sz w:val="32"/>
              <w:szCs w:val="32"/>
            </w:rPr>
            <w:fldChar w:fldCharType="begin"/>
          </w:r>
          <w:r>
            <w:rPr>
              <w:rFonts w:ascii="黑体" w:hAnsi="黑体" w:eastAsia="黑体"/>
              <w:sz w:val="32"/>
              <w:szCs w:val="32"/>
            </w:rPr>
            <w:instrText xml:space="preserve">TOC \o "1-2" \h \u </w:instrText>
          </w:r>
          <w:r>
            <w:rPr>
              <w:rFonts w:ascii="黑体" w:hAnsi="黑体" w:eastAsia="黑体"/>
              <w:sz w:val="32"/>
              <w:szCs w:val="32"/>
            </w:rPr>
            <w:fldChar w:fldCharType="separate"/>
          </w:r>
          <w:r>
            <w:rPr>
              <w:rFonts w:ascii="黑体" w:hAnsi="黑体" w:eastAsia="黑体"/>
              <w:b/>
              <w:szCs w:val="32"/>
            </w:rPr>
            <w:fldChar w:fldCharType="begin"/>
          </w:r>
          <w:r>
            <w:rPr>
              <w:rFonts w:ascii="黑体" w:hAnsi="黑体" w:eastAsia="黑体"/>
              <w:b/>
              <w:szCs w:val="32"/>
            </w:rPr>
            <w:instrText xml:space="preserve"> HYPERLINK \l _Toc16684 </w:instrText>
          </w:r>
          <w:r>
            <w:rPr>
              <w:rFonts w:ascii="黑体" w:hAnsi="黑体" w:eastAsia="黑体"/>
              <w:b/>
              <w:szCs w:val="32"/>
            </w:rPr>
            <w:fldChar w:fldCharType="separate"/>
          </w:r>
          <w:r>
            <w:rPr>
              <w:rFonts w:hint="eastAsia" w:ascii="黑体" w:eastAsia="黑体"/>
              <w:b/>
              <w:szCs w:val="32"/>
            </w:rPr>
            <w:t>一、基本职能及主要工作</w:t>
          </w:r>
          <w:r>
            <w:rPr>
              <w:b/>
            </w:rPr>
            <w:tab/>
          </w:r>
          <w:r>
            <w:rPr>
              <w:b/>
            </w:rPr>
            <w:fldChar w:fldCharType="begin"/>
          </w:r>
          <w:r>
            <w:rPr>
              <w:b/>
            </w:rPr>
            <w:instrText xml:space="preserve"> PAGEREF _Toc16684 \h </w:instrText>
          </w:r>
          <w:r>
            <w:rPr>
              <w:b/>
            </w:rPr>
            <w:fldChar w:fldCharType="separate"/>
          </w:r>
          <w:r>
            <w:rPr>
              <w:b/>
            </w:rPr>
            <w:t>3</w:t>
          </w:r>
          <w:r>
            <w:rPr>
              <w:b/>
            </w:rPr>
            <w:fldChar w:fldCharType="end"/>
          </w:r>
          <w:r>
            <w:rPr>
              <w:rFonts w:ascii="黑体" w:hAnsi="黑体" w:eastAsia="黑体"/>
              <w:b/>
              <w:szCs w:val="32"/>
            </w:rPr>
            <w:fldChar w:fldCharType="end"/>
          </w:r>
        </w:p>
        <w:p>
          <w:pPr>
            <w:pStyle w:val="14"/>
            <w:tabs>
              <w:tab w:val="right" w:leader="dot" w:pos="8306"/>
            </w:tabs>
          </w:pPr>
          <w:r>
            <w:rPr>
              <w:rFonts w:ascii="黑体" w:hAnsi="黑体" w:eastAsia="黑体"/>
              <w:szCs w:val="32"/>
            </w:rPr>
            <w:fldChar w:fldCharType="begin"/>
          </w:r>
          <w:r>
            <w:rPr>
              <w:rFonts w:ascii="黑体" w:hAnsi="黑体" w:eastAsia="黑体"/>
              <w:szCs w:val="32"/>
            </w:rPr>
            <w:instrText xml:space="preserve"> HYPERLINK \l _Toc12268 </w:instrText>
          </w:r>
          <w:r>
            <w:rPr>
              <w:rFonts w:ascii="黑体" w:hAnsi="黑体" w:eastAsia="黑体"/>
              <w:szCs w:val="32"/>
            </w:rPr>
            <w:fldChar w:fldCharType="separate"/>
          </w:r>
          <w:r>
            <w:rPr>
              <w:rFonts w:hint="eastAsia" w:ascii="楷体_GB2312" w:eastAsia="楷体_GB2312"/>
              <w:szCs w:val="32"/>
            </w:rPr>
            <w:t>（一）阿坝州委政法委职能简介</w:t>
          </w:r>
          <w:r>
            <w:tab/>
          </w:r>
          <w:r>
            <w:fldChar w:fldCharType="begin"/>
          </w:r>
          <w:r>
            <w:instrText xml:space="preserve"> PAGEREF _Toc12268 \h </w:instrText>
          </w:r>
          <w:r>
            <w:fldChar w:fldCharType="separate"/>
          </w:r>
          <w:r>
            <w:t>3</w:t>
          </w:r>
          <w:r>
            <w:fldChar w:fldCharType="end"/>
          </w:r>
          <w:r>
            <w:rPr>
              <w:rFonts w:ascii="黑体" w:hAnsi="黑体" w:eastAsia="黑体"/>
              <w:szCs w:val="32"/>
            </w:rPr>
            <w:fldChar w:fldCharType="end"/>
          </w:r>
        </w:p>
        <w:p>
          <w:pPr>
            <w:pStyle w:val="14"/>
            <w:tabs>
              <w:tab w:val="right" w:leader="dot" w:pos="8306"/>
            </w:tabs>
          </w:pPr>
          <w:r>
            <w:rPr>
              <w:rFonts w:ascii="黑体" w:hAnsi="黑体" w:eastAsia="黑体"/>
              <w:szCs w:val="32"/>
            </w:rPr>
            <w:fldChar w:fldCharType="begin"/>
          </w:r>
          <w:r>
            <w:rPr>
              <w:rFonts w:ascii="黑体" w:hAnsi="黑体" w:eastAsia="黑体"/>
              <w:szCs w:val="32"/>
            </w:rPr>
            <w:instrText xml:space="preserve"> HYPERLINK \l _Toc11138 </w:instrText>
          </w:r>
          <w:r>
            <w:rPr>
              <w:rFonts w:ascii="黑体" w:hAnsi="黑体" w:eastAsia="黑体"/>
              <w:szCs w:val="32"/>
            </w:rPr>
            <w:fldChar w:fldCharType="separate"/>
          </w:r>
          <w:r>
            <w:rPr>
              <w:rFonts w:hint="eastAsia" w:ascii="楷体_GB2312" w:eastAsia="楷体_GB2312"/>
              <w:szCs w:val="32"/>
            </w:rPr>
            <w:t>（二）阿坝州委政法委</w:t>
          </w:r>
          <w:r>
            <w:rPr>
              <w:rFonts w:ascii="楷体_GB2312" w:eastAsia="楷体_GB2312"/>
              <w:szCs w:val="32"/>
            </w:rPr>
            <w:t>202</w:t>
          </w:r>
          <w:r>
            <w:rPr>
              <w:rFonts w:hint="eastAsia" w:ascii="楷体_GB2312" w:eastAsia="楷体_GB2312"/>
              <w:szCs w:val="32"/>
            </w:rPr>
            <w:t>2年重点工作</w:t>
          </w:r>
          <w:r>
            <w:tab/>
          </w:r>
          <w:r>
            <w:fldChar w:fldCharType="begin"/>
          </w:r>
          <w:r>
            <w:instrText xml:space="preserve"> PAGEREF _Toc11138 \h </w:instrText>
          </w:r>
          <w:r>
            <w:fldChar w:fldCharType="separate"/>
          </w:r>
          <w:r>
            <w:t>3</w:t>
          </w:r>
          <w:r>
            <w:fldChar w:fldCharType="end"/>
          </w:r>
          <w:r>
            <w:rPr>
              <w:rFonts w:ascii="黑体" w:hAnsi="黑体" w:eastAsia="黑体"/>
              <w:szCs w:val="32"/>
            </w:rPr>
            <w:fldChar w:fldCharType="end"/>
          </w:r>
        </w:p>
        <w:p>
          <w:pPr>
            <w:pStyle w:val="13"/>
            <w:tabs>
              <w:tab w:val="right" w:leader="dot" w:pos="8306"/>
            </w:tabs>
            <w:rPr>
              <w:b/>
            </w:rPr>
          </w:pPr>
          <w:r>
            <w:rPr>
              <w:rFonts w:ascii="黑体" w:hAnsi="黑体" w:eastAsia="黑体"/>
              <w:b/>
              <w:szCs w:val="32"/>
            </w:rPr>
            <w:fldChar w:fldCharType="begin"/>
          </w:r>
          <w:r>
            <w:rPr>
              <w:rFonts w:ascii="黑体" w:hAnsi="黑体" w:eastAsia="黑体"/>
              <w:b/>
              <w:szCs w:val="32"/>
            </w:rPr>
            <w:instrText xml:space="preserve"> HYPERLINK \l _Toc12597 </w:instrText>
          </w:r>
          <w:r>
            <w:rPr>
              <w:rFonts w:ascii="黑体" w:hAnsi="黑体" w:eastAsia="黑体"/>
              <w:b/>
              <w:szCs w:val="32"/>
            </w:rPr>
            <w:fldChar w:fldCharType="separate"/>
          </w:r>
          <w:r>
            <w:rPr>
              <w:rFonts w:hint="eastAsia" w:ascii="黑体" w:eastAsia="黑体"/>
              <w:b/>
              <w:szCs w:val="32"/>
            </w:rPr>
            <w:t>二、部门预算单位构成</w:t>
          </w:r>
          <w:r>
            <w:rPr>
              <w:b/>
            </w:rPr>
            <w:tab/>
          </w:r>
          <w:r>
            <w:rPr>
              <w:b/>
            </w:rPr>
            <w:fldChar w:fldCharType="begin"/>
          </w:r>
          <w:r>
            <w:rPr>
              <w:b/>
            </w:rPr>
            <w:instrText xml:space="preserve"> PAGEREF _Toc12597 \h </w:instrText>
          </w:r>
          <w:r>
            <w:rPr>
              <w:b/>
            </w:rPr>
            <w:fldChar w:fldCharType="separate"/>
          </w:r>
          <w:r>
            <w:rPr>
              <w:b/>
            </w:rPr>
            <w:t>4</w:t>
          </w:r>
          <w:r>
            <w:rPr>
              <w:b/>
            </w:rPr>
            <w:fldChar w:fldCharType="end"/>
          </w:r>
          <w:r>
            <w:rPr>
              <w:rFonts w:ascii="黑体" w:hAnsi="黑体" w:eastAsia="黑体"/>
              <w:b/>
              <w:szCs w:val="32"/>
            </w:rPr>
            <w:fldChar w:fldCharType="end"/>
          </w:r>
        </w:p>
        <w:p>
          <w:pPr>
            <w:pStyle w:val="13"/>
            <w:tabs>
              <w:tab w:val="right" w:leader="dot" w:pos="8306"/>
            </w:tabs>
            <w:rPr>
              <w:b/>
            </w:rPr>
          </w:pPr>
          <w:r>
            <w:rPr>
              <w:rFonts w:ascii="黑体" w:hAnsi="黑体" w:eastAsia="黑体"/>
              <w:b/>
              <w:szCs w:val="32"/>
            </w:rPr>
            <w:fldChar w:fldCharType="begin"/>
          </w:r>
          <w:r>
            <w:rPr>
              <w:rFonts w:ascii="黑体" w:hAnsi="黑体" w:eastAsia="黑体"/>
              <w:b/>
              <w:szCs w:val="32"/>
            </w:rPr>
            <w:instrText xml:space="preserve"> HYPERLINK \l _Toc1767 </w:instrText>
          </w:r>
          <w:r>
            <w:rPr>
              <w:rFonts w:ascii="黑体" w:hAnsi="黑体" w:eastAsia="黑体"/>
              <w:b/>
              <w:szCs w:val="32"/>
            </w:rPr>
            <w:fldChar w:fldCharType="separate"/>
          </w:r>
          <w:r>
            <w:rPr>
              <w:rFonts w:hint="default" w:ascii="黑体" w:eastAsia="黑体" w:cs="Times New Roman"/>
              <w:b/>
              <w:szCs w:val="32"/>
            </w:rPr>
            <w:t xml:space="preserve">一、 </w:t>
          </w:r>
          <w:r>
            <w:rPr>
              <w:rFonts w:hint="eastAsia" w:ascii="黑体" w:eastAsia="黑体"/>
              <w:b/>
              <w:szCs w:val="32"/>
            </w:rPr>
            <w:t>收支预算情况说明</w:t>
          </w:r>
          <w:r>
            <w:rPr>
              <w:b/>
            </w:rPr>
            <w:tab/>
          </w:r>
          <w:r>
            <w:rPr>
              <w:b/>
            </w:rPr>
            <w:fldChar w:fldCharType="begin"/>
          </w:r>
          <w:r>
            <w:rPr>
              <w:b/>
            </w:rPr>
            <w:instrText xml:space="preserve"> PAGEREF _Toc1767 \h </w:instrText>
          </w:r>
          <w:r>
            <w:rPr>
              <w:b/>
            </w:rPr>
            <w:fldChar w:fldCharType="separate"/>
          </w:r>
          <w:r>
            <w:rPr>
              <w:b/>
            </w:rPr>
            <w:t>4</w:t>
          </w:r>
          <w:r>
            <w:rPr>
              <w:b/>
            </w:rPr>
            <w:fldChar w:fldCharType="end"/>
          </w:r>
          <w:r>
            <w:rPr>
              <w:rFonts w:ascii="黑体" w:hAnsi="黑体" w:eastAsia="黑体"/>
              <w:b/>
              <w:szCs w:val="32"/>
            </w:rPr>
            <w:fldChar w:fldCharType="end"/>
          </w:r>
        </w:p>
        <w:p>
          <w:pPr>
            <w:pStyle w:val="14"/>
            <w:tabs>
              <w:tab w:val="right" w:leader="dot" w:pos="8306"/>
            </w:tabs>
          </w:pPr>
          <w:r>
            <w:rPr>
              <w:rFonts w:ascii="黑体" w:hAnsi="黑体" w:eastAsia="黑体"/>
              <w:szCs w:val="32"/>
            </w:rPr>
            <w:fldChar w:fldCharType="begin"/>
          </w:r>
          <w:r>
            <w:rPr>
              <w:rFonts w:ascii="黑体" w:hAnsi="黑体" w:eastAsia="黑体"/>
              <w:szCs w:val="32"/>
            </w:rPr>
            <w:instrText xml:space="preserve"> HYPERLINK \l _Toc8410 </w:instrText>
          </w:r>
          <w:r>
            <w:rPr>
              <w:rFonts w:ascii="黑体" w:hAnsi="黑体" w:eastAsia="黑体"/>
              <w:szCs w:val="32"/>
            </w:rPr>
            <w:fldChar w:fldCharType="separate"/>
          </w:r>
          <w:r>
            <w:rPr>
              <w:rFonts w:hint="eastAsia" w:ascii="楷体_GB2312" w:eastAsia="楷体_GB2312"/>
              <w:szCs w:val="32"/>
            </w:rPr>
            <w:t>（一） 收入预算情况</w:t>
          </w:r>
          <w:r>
            <w:tab/>
          </w:r>
          <w:r>
            <w:fldChar w:fldCharType="begin"/>
          </w:r>
          <w:r>
            <w:instrText xml:space="preserve"> PAGEREF _Toc8410 \h </w:instrText>
          </w:r>
          <w:r>
            <w:fldChar w:fldCharType="separate"/>
          </w:r>
          <w:r>
            <w:t>4</w:t>
          </w:r>
          <w:r>
            <w:fldChar w:fldCharType="end"/>
          </w:r>
          <w:r>
            <w:rPr>
              <w:rFonts w:ascii="黑体" w:hAnsi="黑体" w:eastAsia="黑体"/>
              <w:szCs w:val="32"/>
            </w:rPr>
            <w:fldChar w:fldCharType="end"/>
          </w:r>
        </w:p>
        <w:p>
          <w:pPr>
            <w:pStyle w:val="14"/>
            <w:tabs>
              <w:tab w:val="right" w:leader="dot" w:pos="8306"/>
            </w:tabs>
          </w:pPr>
          <w:r>
            <w:rPr>
              <w:rFonts w:ascii="黑体" w:hAnsi="黑体" w:eastAsia="黑体"/>
              <w:szCs w:val="32"/>
            </w:rPr>
            <w:fldChar w:fldCharType="begin"/>
          </w:r>
          <w:r>
            <w:rPr>
              <w:rFonts w:ascii="黑体" w:hAnsi="黑体" w:eastAsia="黑体"/>
              <w:szCs w:val="32"/>
            </w:rPr>
            <w:instrText xml:space="preserve"> HYPERLINK \l _Toc21400 </w:instrText>
          </w:r>
          <w:r>
            <w:rPr>
              <w:rFonts w:ascii="黑体" w:hAnsi="黑体" w:eastAsia="黑体"/>
              <w:szCs w:val="32"/>
            </w:rPr>
            <w:fldChar w:fldCharType="separate"/>
          </w:r>
          <w:r>
            <w:rPr>
              <w:rFonts w:hint="eastAsia" w:ascii="楷体_GB2312" w:eastAsia="楷体_GB2312"/>
              <w:szCs w:val="32"/>
            </w:rPr>
            <w:t>（二） 支出预算情况</w:t>
          </w:r>
          <w:r>
            <w:tab/>
          </w:r>
          <w:r>
            <w:fldChar w:fldCharType="begin"/>
          </w:r>
          <w:r>
            <w:instrText xml:space="preserve"> PAGEREF _Toc21400 \h </w:instrText>
          </w:r>
          <w:r>
            <w:fldChar w:fldCharType="separate"/>
          </w:r>
          <w:r>
            <w:t>5</w:t>
          </w:r>
          <w:r>
            <w:fldChar w:fldCharType="end"/>
          </w:r>
          <w:r>
            <w:rPr>
              <w:rFonts w:ascii="黑体" w:hAnsi="黑体" w:eastAsia="黑体"/>
              <w:szCs w:val="32"/>
            </w:rPr>
            <w:fldChar w:fldCharType="end"/>
          </w:r>
        </w:p>
        <w:p>
          <w:pPr>
            <w:pStyle w:val="13"/>
            <w:tabs>
              <w:tab w:val="right" w:leader="dot" w:pos="8306"/>
            </w:tabs>
            <w:rPr>
              <w:b/>
            </w:rPr>
          </w:pPr>
          <w:r>
            <w:rPr>
              <w:rFonts w:ascii="黑体" w:hAnsi="黑体" w:eastAsia="黑体"/>
              <w:b/>
              <w:szCs w:val="32"/>
            </w:rPr>
            <w:fldChar w:fldCharType="begin"/>
          </w:r>
          <w:r>
            <w:rPr>
              <w:rFonts w:ascii="黑体" w:hAnsi="黑体" w:eastAsia="黑体"/>
              <w:b/>
              <w:szCs w:val="32"/>
            </w:rPr>
            <w:instrText xml:space="preserve"> HYPERLINK \l _Toc1165 </w:instrText>
          </w:r>
          <w:r>
            <w:rPr>
              <w:rFonts w:ascii="黑体" w:hAnsi="黑体" w:eastAsia="黑体"/>
              <w:b/>
              <w:szCs w:val="32"/>
            </w:rPr>
            <w:fldChar w:fldCharType="separate"/>
          </w:r>
          <w:r>
            <w:rPr>
              <w:rFonts w:hint="default" w:ascii="黑体" w:eastAsia="黑体" w:cs="Times New Roman"/>
              <w:b/>
              <w:szCs w:val="32"/>
            </w:rPr>
            <w:t xml:space="preserve">二、 </w:t>
          </w:r>
          <w:r>
            <w:rPr>
              <w:rFonts w:hint="eastAsia" w:ascii="黑体" w:eastAsia="黑体"/>
              <w:b/>
              <w:szCs w:val="32"/>
            </w:rPr>
            <w:t>财政拨款收支预算情况说明</w:t>
          </w:r>
          <w:r>
            <w:rPr>
              <w:b/>
            </w:rPr>
            <w:tab/>
          </w:r>
          <w:r>
            <w:rPr>
              <w:b/>
            </w:rPr>
            <w:fldChar w:fldCharType="begin"/>
          </w:r>
          <w:r>
            <w:rPr>
              <w:b/>
            </w:rPr>
            <w:instrText xml:space="preserve"> PAGEREF _Toc1165 \h </w:instrText>
          </w:r>
          <w:r>
            <w:rPr>
              <w:b/>
            </w:rPr>
            <w:fldChar w:fldCharType="separate"/>
          </w:r>
          <w:r>
            <w:rPr>
              <w:b/>
            </w:rPr>
            <w:t>5</w:t>
          </w:r>
          <w:r>
            <w:rPr>
              <w:b/>
            </w:rPr>
            <w:fldChar w:fldCharType="end"/>
          </w:r>
          <w:r>
            <w:rPr>
              <w:rFonts w:ascii="黑体" w:hAnsi="黑体" w:eastAsia="黑体"/>
              <w:b/>
              <w:szCs w:val="32"/>
            </w:rPr>
            <w:fldChar w:fldCharType="end"/>
          </w:r>
        </w:p>
        <w:p>
          <w:pPr>
            <w:pStyle w:val="13"/>
            <w:tabs>
              <w:tab w:val="right" w:leader="dot" w:pos="8306"/>
            </w:tabs>
            <w:rPr>
              <w:b/>
            </w:rPr>
          </w:pPr>
          <w:r>
            <w:rPr>
              <w:rFonts w:ascii="黑体" w:hAnsi="黑体" w:eastAsia="黑体"/>
              <w:b/>
              <w:szCs w:val="32"/>
            </w:rPr>
            <w:fldChar w:fldCharType="begin"/>
          </w:r>
          <w:r>
            <w:rPr>
              <w:rFonts w:ascii="黑体" w:hAnsi="黑体" w:eastAsia="黑体"/>
              <w:b/>
              <w:szCs w:val="32"/>
            </w:rPr>
            <w:instrText xml:space="preserve"> HYPERLINK \l _Toc30034 </w:instrText>
          </w:r>
          <w:r>
            <w:rPr>
              <w:rFonts w:ascii="黑体" w:hAnsi="黑体" w:eastAsia="黑体"/>
              <w:b/>
              <w:szCs w:val="32"/>
            </w:rPr>
            <w:fldChar w:fldCharType="separate"/>
          </w:r>
          <w:r>
            <w:rPr>
              <w:rFonts w:hint="eastAsia" w:ascii="黑体" w:eastAsia="黑体"/>
              <w:b/>
              <w:szCs w:val="32"/>
            </w:rPr>
            <w:t>五、一般公共预算当年拨款情况说明</w:t>
          </w:r>
          <w:r>
            <w:rPr>
              <w:b/>
            </w:rPr>
            <w:tab/>
          </w:r>
          <w:r>
            <w:rPr>
              <w:b/>
            </w:rPr>
            <w:fldChar w:fldCharType="begin"/>
          </w:r>
          <w:r>
            <w:rPr>
              <w:b/>
            </w:rPr>
            <w:instrText xml:space="preserve"> PAGEREF _Toc30034 \h </w:instrText>
          </w:r>
          <w:r>
            <w:rPr>
              <w:b/>
            </w:rPr>
            <w:fldChar w:fldCharType="separate"/>
          </w:r>
          <w:r>
            <w:rPr>
              <w:b/>
            </w:rPr>
            <w:t>5</w:t>
          </w:r>
          <w:r>
            <w:rPr>
              <w:b/>
            </w:rPr>
            <w:fldChar w:fldCharType="end"/>
          </w:r>
          <w:r>
            <w:rPr>
              <w:rFonts w:ascii="黑体" w:hAnsi="黑体" w:eastAsia="黑体"/>
              <w:b/>
              <w:szCs w:val="32"/>
            </w:rPr>
            <w:fldChar w:fldCharType="end"/>
          </w:r>
        </w:p>
        <w:p>
          <w:pPr>
            <w:pStyle w:val="14"/>
            <w:tabs>
              <w:tab w:val="right" w:leader="dot" w:pos="8306"/>
            </w:tabs>
          </w:pPr>
          <w:r>
            <w:rPr>
              <w:rFonts w:ascii="黑体" w:hAnsi="黑体" w:eastAsia="黑体"/>
              <w:szCs w:val="32"/>
            </w:rPr>
            <w:fldChar w:fldCharType="begin"/>
          </w:r>
          <w:r>
            <w:rPr>
              <w:rFonts w:ascii="黑体" w:hAnsi="黑体" w:eastAsia="黑体"/>
              <w:szCs w:val="32"/>
            </w:rPr>
            <w:instrText xml:space="preserve"> HYPERLINK \l _Toc14978 </w:instrText>
          </w:r>
          <w:r>
            <w:rPr>
              <w:rFonts w:ascii="黑体" w:hAnsi="黑体" w:eastAsia="黑体"/>
              <w:szCs w:val="32"/>
            </w:rPr>
            <w:fldChar w:fldCharType="separate"/>
          </w:r>
          <w:r>
            <w:rPr>
              <w:rFonts w:hint="eastAsia" w:ascii="楷体_GB2312" w:eastAsia="楷体_GB2312"/>
              <w:szCs w:val="32"/>
            </w:rPr>
            <w:t>（一）一般公共预算当年拨款规模变化情况</w:t>
          </w:r>
          <w:r>
            <w:tab/>
          </w:r>
          <w:r>
            <w:fldChar w:fldCharType="begin"/>
          </w:r>
          <w:r>
            <w:instrText xml:space="preserve"> PAGEREF _Toc14978 \h </w:instrText>
          </w:r>
          <w:r>
            <w:fldChar w:fldCharType="separate"/>
          </w:r>
          <w:r>
            <w:t>5</w:t>
          </w:r>
          <w:r>
            <w:fldChar w:fldCharType="end"/>
          </w:r>
          <w:r>
            <w:rPr>
              <w:rFonts w:ascii="黑体" w:hAnsi="黑体" w:eastAsia="黑体"/>
              <w:szCs w:val="32"/>
            </w:rPr>
            <w:fldChar w:fldCharType="end"/>
          </w:r>
        </w:p>
        <w:p>
          <w:pPr>
            <w:pStyle w:val="14"/>
            <w:tabs>
              <w:tab w:val="right" w:leader="dot" w:pos="8306"/>
            </w:tabs>
          </w:pPr>
          <w:r>
            <w:rPr>
              <w:rFonts w:ascii="黑体" w:hAnsi="黑体" w:eastAsia="黑体"/>
              <w:szCs w:val="32"/>
            </w:rPr>
            <w:fldChar w:fldCharType="begin"/>
          </w:r>
          <w:r>
            <w:rPr>
              <w:rFonts w:ascii="黑体" w:hAnsi="黑体" w:eastAsia="黑体"/>
              <w:szCs w:val="32"/>
            </w:rPr>
            <w:instrText xml:space="preserve"> HYPERLINK \l _Toc32041 </w:instrText>
          </w:r>
          <w:r>
            <w:rPr>
              <w:rFonts w:ascii="黑体" w:hAnsi="黑体" w:eastAsia="黑体"/>
              <w:szCs w:val="32"/>
            </w:rPr>
            <w:fldChar w:fldCharType="separate"/>
          </w:r>
          <w:r>
            <w:rPr>
              <w:rFonts w:hint="eastAsia" w:ascii="楷体_GB2312" w:eastAsia="楷体_GB2312"/>
              <w:szCs w:val="32"/>
            </w:rPr>
            <w:t>（三） 一般公共预算当年拨款结构情况</w:t>
          </w:r>
          <w:r>
            <w:tab/>
          </w:r>
          <w:r>
            <w:fldChar w:fldCharType="begin"/>
          </w:r>
          <w:r>
            <w:instrText xml:space="preserve"> PAGEREF _Toc32041 \h </w:instrText>
          </w:r>
          <w:r>
            <w:fldChar w:fldCharType="separate"/>
          </w:r>
          <w:r>
            <w:t>5</w:t>
          </w:r>
          <w:r>
            <w:fldChar w:fldCharType="end"/>
          </w:r>
          <w:r>
            <w:rPr>
              <w:rFonts w:ascii="黑体" w:hAnsi="黑体" w:eastAsia="黑体"/>
              <w:szCs w:val="32"/>
            </w:rPr>
            <w:fldChar w:fldCharType="end"/>
          </w:r>
        </w:p>
        <w:p>
          <w:pPr>
            <w:pStyle w:val="14"/>
            <w:tabs>
              <w:tab w:val="right" w:leader="dot" w:pos="8306"/>
            </w:tabs>
          </w:pPr>
          <w:r>
            <w:rPr>
              <w:rFonts w:ascii="黑体" w:hAnsi="黑体" w:eastAsia="黑体"/>
              <w:szCs w:val="32"/>
            </w:rPr>
            <w:fldChar w:fldCharType="begin"/>
          </w:r>
          <w:r>
            <w:rPr>
              <w:rFonts w:ascii="黑体" w:hAnsi="黑体" w:eastAsia="黑体"/>
              <w:szCs w:val="32"/>
            </w:rPr>
            <w:instrText xml:space="preserve"> HYPERLINK \l _Toc13445 </w:instrText>
          </w:r>
          <w:r>
            <w:rPr>
              <w:rFonts w:ascii="黑体" w:hAnsi="黑体" w:eastAsia="黑体"/>
              <w:szCs w:val="32"/>
            </w:rPr>
            <w:fldChar w:fldCharType="separate"/>
          </w:r>
          <w:r>
            <w:rPr>
              <w:rFonts w:hint="eastAsia" w:ascii="楷体_GB2312" w:eastAsia="楷体_GB2312"/>
              <w:szCs w:val="32"/>
            </w:rPr>
            <w:t>（四） 一般公共预算当年拨款具体使用情况</w:t>
          </w:r>
          <w:r>
            <w:tab/>
          </w:r>
          <w:r>
            <w:fldChar w:fldCharType="begin"/>
          </w:r>
          <w:r>
            <w:instrText xml:space="preserve"> PAGEREF _Toc13445 \h </w:instrText>
          </w:r>
          <w:r>
            <w:fldChar w:fldCharType="separate"/>
          </w:r>
          <w:r>
            <w:t>5</w:t>
          </w:r>
          <w:r>
            <w:fldChar w:fldCharType="end"/>
          </w:r>
          <w:r>
            <w:rPr>
              <w:rFonts w:ascii="黑体" w:hAnsi="黑体" w:eastAsia="黑体"/>
              <w:szCs w:val="32"/>
            </w:rPr>
            <w:fldChar w:fldCharType="end"/>
          </w:r>
        </w:p>
        <w:p>
          <w:pPr>
            <w:pStyle w:val="13"/>
            <w:tabs>
              <w:tab w:val="right" w:leader="dot" w:pos="8306"/>
            </w:tabs>
            <w:rPr>
              <w:b/>
            </w:rPr>
          </w:pPr>
          <w:r>
            <w:rPr>
              <w:rFonts w:ascii="黑体" w:hAnsi="黑体" w:eastAsia="黑体"/>
              <w:b/>
              <w:szCs w:val="32"/>
            </w:rPr>
            <w:fldChar w:fldCharType="begin"/>
          </w:r>
          <w:r>
            <w:rPr>
              <w:rFonts w:ascii="黑体" w:hAnsi="黑体" w:eastAsia="黑体"/>
              <w:b/>
              <w:szCs w:val="32"/>
            </w:rPr>
            <w:instrText xml:space="preserve"> HYPERLINK \l _Toc11947 </w:instrText>
          </w:r>
          <w:r>
            <w:rPr>
              <w:rFonts w:ascii="黑体" w:hAnsi="黑体" w:eastAsia="黑体"/>
              <w:b/>
              <w:szCs w:val="32"/>
            </w:rPr>
            <w:fldChar w:fldCharType="separate"/>
          </w:r>
          <w:r>
            <w:rPr>
              <w:rFonts w:hint="eastAsia" w:ascii="黑体" w:eastAsia="黑体"/>
              <w:b/>
              <w:szCs w:val="32"/>
            </w:rPr>
            <w:t>六、一般公共预算基本支出情况说明</w:t>
          </w:r>
          <w:r>
            <w:rPr>
              <w:b/>
            </w:rPr>
            <w:tab/>
          </w:r>
          <w:r>
            <w:rPr>
              <w:b/>
            </w:rPr>
            <w:fldChar w:fldCharType="begin"/>
          </w:r>
          <w:r>
            <w:rPr>
              <w:b/>
            </w:rPr>
            <w:instrText xml:space="preserve"> PAGEREF _Toc11947 \h </w:instrText>
          </w:r>
          <w:r>
            <w:rPr>
              <w:b/>
            </w:rPr>
            <w:fldChar w:fldCharType="separate"/>
          </w:r>
          <w:r>
            <w:rPr>
              <w:b/>
            </w:rPr>
            <w:t>6</w:t>
          </w:r>
          <w:r>
            <w:rPr>
              <w:b/>
            </w:rPr>
            <w:fldChar w:fldCharType="end"/>
          </w:r>
          <w:r>
            <w:rPr>
              <w:rFonts w:ascii="黑体" w:hAnsi="黑体" w:eastAsia="黑体"/>
              <w:b/>
              <w:szCs w:val="32"/>
            </w:rPr>
            <w:fldChar w:fldCharType="end"/>
          </w:r>
        </w:p>
        <w:p>
          <w:pPr>
            <w:pStyle w:val="13"/>
            <w:tabs>
              <w:tab w:val="right" w:leader="dot" w:pos="8306"/>
            </w:tabs>
            <w:rPr>
              <w:b/>
            </w:rPr>
          </w:pPr>
          <w:r>
            <w:rPr>
              <w:rFonts w:ascii="黑体" w:hAnsi="黑体" w:eastAsia="黑体"/>
              <w:b/>
              <w:szCs w:val="32"/>
            </w:rPr>
            <w:fldChar w:fldCharType="begin"/>
          </w:r>
          <w:r>
            <w:rPr>
              <w:rFonts w:ascii="黑体" w:hAnsi="黑体" w:eastAsia="黑体"/>
              <w:b/>
              <w:szCs w:val="32"/>
            </w:rPr>
            <w:instrText xml:space="preserve"> HYPERLINK \l _Toc17657 </w:instrText>
          </w:r>
          <w:r>
            <w:rPr>
              <w:rFonts w:ascii="黑体" w:hAnsi="黑体" w:eastAsia="黑体"/>
              <w:b/>
              <w:szCs w:val="32"/>
            </w:rPr>
            <w:fldChar w:fldCharType="separate"/>
          </w:r>
          <w:r>
            <w:rPr>
              <w:rFonts w:hint="eastAsia" w:ascii="黑体" w:eastAsia="黑体"/>
              <w:b/>
              <w:szCs w:val="32"/>
            </w:rPr>
            <w:t>七、 “三公”经费财政拨款预算安排情况说明</w:t>
          </w:r>
          <w:r>
            <w:rPr>
              <w:b/>
            </w:rPr>
            <w:tab/>
          </w:r>
          <w:r>
            <w:rPr>
              <w:b/>
            </w:rPr>
            <w:fldChar w:fldCharType="begin"/>
          </w:r>
          <w:r>
            <w:rPr>
              <w:b/>
            </w:rPr>
            <w:instrText xml:space="preserve"> PAGEREF _Toc17657 \h </w:instrText>
          </w:r>
          <w:r>
            <w:rPr>
              <w:b/>
            </w:rPr>
            <w:fldChar w:fldCharType="separate"/>
          </w:r>
          <w:r>
            <w:rPr>
              <w:b/>
            </w:rPr>
            <w:t>6</w:t>
          </w:r>
          <w:r>
            <w:rPr>
              <w:b/>
            </w:rPr>
            <w:fldChar w:fldCharType="end"/>
          </w:r>
          <w:r>
            <w:rPr>
              <w:rFonts w:ascii="黑体" w:hAnsi="黑体" w:eastAsia="黑体"/>
              <w:b/>
              <w:szCs w:val="32"/>
            </w:rPr>
            <w:fldChar w:fldCharType="end"/>
          </w:r>
        </w:p>
        <w:p>
          <w:pPr>
            <w:pStyle w:val="14"/>
            <w:tabs>
              <w:tab w:val="right" w:leader="dot" w:pos="8306"/>
            </w:tabs>
          </w:pPr>
          <w:r>
            <w:rPr>
              <w:rFonts w:ascii="黑体" w:hAnsi="黑体" w:eastAsia="黑体"/>
              <w:szCs w:val="32"/>
            </w:rPr>
            <w:fldChar w:fldCharType="begin"/>
          </w:r>
          <w:r>
            <w:rPr>
              <w:rFonts w:ascii="黑体" w:hAnsi="黑体" w:eastAsia="黑体"/>
              <w:szCs w:val="32"/>
            </w:rPr>
            <w:instrText xml:space="preserve"> HYPERLINK \l _Toc894 </w:instrText>
          </w:r>
          <w:r>
            <w:rPr>
              <w:rFonts w:ascii="黑体" w:hAnsi="黑体" w:eastAsia="黑体"/>
              <w:szCs w:val="32"/>
            </w:rPr>
            <w:fldChar w:fldCharType="separate"/>
          </w:r>
          <w:r>
            <w:rPr>
              <w:rFonts w:hint="eastAsia" w:ascii="仿宋_GB2312" w:eastAsia="仿宋_GB2312"/>
              <w:szCs w:val="32"/>
            </w:rPr>
            <w:t>（一）2022年无因公出国（境）经费。</w:t>
          </w:r>
          <w:r>
            <w:tab/>
          </w:r>
          <w:r>
            <w:fldChar w:fldCharType="begin"/>
          </w:r>
          <w:r>
            <w:instrText xml:space="preserve"> PAGEREF _Toc894 \h </w:instrText>
          </w:r>
          <w:r>
            <w:fldChar w:fldCharType="separate"/>
          </w:r>
          <w:r>
            <w:t>7</w:t>
          </w:r>
          <w:r>
            <w:fldChar w:fldCharType="end"/>
          </w:r>
          <w:r>
            <w:rPr>
              <w:rFonts w:ascii="黑体" w:hAnsi="黑体" w:eastAsia="黑体"/>
              <w:szCs w:val="32"/>
            </w:rPr>
            <w:fldChar w:fldCharType="end"/>
          </w:r>
        </w:p>
        <w:p>
          <w:pPr>
            <w:pStyle w:val="13"/>
            <w:tabs>
              <w:tab w:val="right" w:leader="dot" w:pos="8306"/>
            </w:tabs>
            <w:rPr>
              <w:b/>
            </w:rPr>
          </w:pPr>
          <w:r>
            <w:rPr>
              <w:rFonts w:ascii="黑体" w:hAnsi="黑体" w:eastAsia="黑体"/>
              <w:b/>
              <w:szCs w:val="32"/>
            </w:rPr>
            <w:fldChar w:fldCharType="begin"/>
          </w:r>
          <w:r>
            <w:rPr>
              <w:rFonts w:ascii="黑体" w:hAnsi="黑体" w:eastAsia="黑体"/>
              <w:b/>
              <w:szCs w:val="32"/>
            </w:rPr>
            <w:instrText xml:space="preserve"> HYPERLINK \l _Toc21649 </w:instrText>
          </w:r>
          <w:r>
            <w:rPr>
              <w:rFonts w:ascii="黑体" w:hAnsi="黑体" w:eastAsia="黑体"/>
              <w:b/>
              <w:szCs w:val="32"/>
            </w:rPr>
            <w:fldChar w:fldCharType="separate"/>
          </w:r>
          <w:r>
            <w:rPr>
              <w:rFonts w:hint="eastAsia" w:ascii="黑体" w:eastAsia="黑体"/>
              <w:b/>
              <w:szCs w:val="32"/>
            </w:rPr>
            <w:t>八、 政府性基金预算支出情况说明</w:t>
          </w:r>
          <w:r>
            <w:rPr>
              <w:b/>
            </w:rPr>
            <w:tab/>
          </w:r>
          <w:r>
            <w:rPr>
              <w:b/>
            </w:rPr>
            <w:fldChar w:fldCharType="begin"/>
          </w:r>
          <w:r>
            <w:rPr>
              <w:b/>
            </w:rPr>
            <w:instrText xml:space="preserve"> PAGEREF _Toc21649 \h </w:instrText>
          </w:r>
          <w:r>
            <w:rPr>
              <w:b/>
            </w:rPr>
            <w:fldChar w:fldCharType="separate"/>
          </w:r>
          <w:r>
            <w:rPr>
              <w:b/>
            </w:rPr>
            <w:t>7</w:t>
          </w:r>
          <w:r>
            <w:rPr>
              <w:b/>
            </w:rPr>
            <w:fldChar w:fldCharType="end"/>
          </w:r>
          <w:r>
            <w:rPr>
              <w:rFonts w:ascii="黑体" w:hAnsi="黑体" w:eastAsia="黑体"/>
              <w:b/>
              <w:szCs w:val="32"/>
            </w:rPr>
            <w:fldChar w:fldCharType="end"/>
          </w:r>
        </w:p>
        <w:p>
          <w:pPr>
            <w:pStyle w:val="13"/>
            <w:tabs>
              <w:tab w:val="right" w:leader="dot" w:pos="8306"/>
            </w:tabs>
            <w:rPr>
              <w:b/>
            </w:rPr>
          </w:pPr>
          <w:r>
            <w:rPr>
              <w:rFonts w:ascii="黑体" w:hAnsi="黑体" w:eastAsia="黑体"/>
              <w:b/>
              <w:szCs w:val="32"/>
            </w:rPr>
            <w:fldChar w:fldCharType="begin"/>
          </w:r>
          <w:r>
            <w:rPr>
              <w:rFonts w:ascii="黑体" w:hAnsi="黑体" w:eastAsia="黑体"/>
              <w:b/>
              <w:szCs w:val="32"/>
            </w:rPr>
            <w:instrText xml:space="preserve"> HYPERLINK \l _Toc18595 </w:instrText>
          </w:r>
          <w:r>
            <w:rPr>
              <w:rFonts w:ascii="黑体" w:hAnsi="黑体" w:eastAsia="黑体"/>
              <w:b/>
              <w:szCs w:val="32"/>
            </w:rPr>
            <w:fldChar w:fldCharType="separate"/>
          </w:r>
          <w:r>
            <w:rPr>
              <w:rFonts w:hint="eastAsia" w:ascii="黑体" w:eastAsia="黑体"/>
              <w:b/>
              <w:szCs w:val="32"/>
            </w:rPr>
            <w:t>九、其他重要事项的情况说明</w:t>
          </w:r>
          <w:r>
            <w:rPr>
              <w:b/>
            </w:rPr>
            <w:tab/>
          </w:r>
          <w:r>
            <w:rPr>
              <w:b/>
            </w:rPr>
            <w:fldChar w:fldCharType="begin"/>
          </w:r>
          <w:r>
            <w:rPr>
              <w:b/>
            </w:rPr>
            <w:instrText xml:space="preserve"> PAGEREF _Toc18595 \h </w:instrText>
          </w:r>
          <w:r>
            <w:rPr>
              <w:b/>
            </w:rPr>
            <w:fldChar w:fldCharType="separate"/>
          </w:r>
          <w:r>
            <w:rPr>
              <w:b/>
            </w:rPr>
            <w:t>7</w:t>
          </w:r>
          <w:r>
            <w:rPr>
              <w:b/>
            </w:rPr>
            <w:fldChar w:fldCharType="end"/>
          </w:r>
          <w:r>
            <w:rPr>
              <w:rFonts w:ascii="黑体" w:hAnsi="黑体" w:eastAsia="黑体"/>
              <w:b/>
              <w:szCs w:val="32"/>
            </w:rPr>
            <w:fldChar w:fldCharType="end"/>
          </w:r>
        </w:p>
        <w:p>
          <w:pPr>
            <w:pStyle w:val="14"/>
            <w:tabs>
              <w:tab w:val="right" w:leader="dot" w:pos="8306"/>
            </w:tabs>
          </w:pPr>
          <w:r>
            <w:rPr>
              <w:rFonts w:ascii="黑体" w:hAnsi="黑体" w:eastAsia="黑体"/>
              <w:szCs w:val="32"/>
            </w:rPr>
            <w:fldChar w:fldCharType="begin"/>
          </w:r>
          <w:r>
            <w:rPr>
              <w:rFonts w:ascii="黑体" w:hAnsi="黑体" w:eastAsia="黑体"/>
              <w:szCs w:val="32"/>
            </w:rPr>
            <w:instrText xml:space="preserve"> HYPERLINK \l _Toc20220 </w:instrText>
          </w:r>
          <w:r>
            <w:rPr>
              <w:rFonts w:ascii="黑体" w:hAnsi="黑体" w:eastAsia="黑体"/>
              <w:szCs w:val="32"/>
            </w:rPr>
            <w:fldChar w:fldCharType="separate"/>
          </w:r>
          <w:r>
            <w:rPr>
              <w:rFonts w:hint="eastAsia" w:ascii="楷体_GB2312" w:eastAsia="楷体_GB2312"/>
              <w:szCs w:val="32"/>
            </w:rPr>
            <w:t>（一）机关运行经费</w:t>
          </w:r>
          <w:r>
            <w:tab/>
          </w:r>
          <w:r>
            <w:fldChar w:fldCharType="begin"/>
          </w:r>
          <w:r>
            <w:instrText xml:space="preserve"> PAGEREF _Toc20220 \h </w:instrText>
          </w:r>
          <w:r>
            <w:fldChar w:fldCharType="separate"/>
          </w:r>
          <w:r>
            <w:t>7</w:t>
          </w:r>
          <w:r>
            <w:fldChar w:fldCharType="end"/>
          </w:r>
          <w:r>
            <w:rPr>
              <w:rFonts w:ascii="黑体" w:hAnsi="黑体" w:eastAsia="黑体"/>
              <w:szCs w:val="32"/>
            </w:rPr>
            <w:fldChar w:fldCharType="end"/>
          </w:r>
        </w:p>
        <w:p>
          <w:pPr>
            <w:pStyle w:val="14"/>
            <w:tabs>
              <w:tab w:val="right" w:leader="dot" w:pos="8306"/>
            </w:tabs>
          </w:pPr>
          <w:r>
            <w:rPr>
              <w:rFonts w:ascii="黑体" w:hAnsi="黑体" w:eastAsia="黑体"/>
              <w:szCs w:val="32"/>
            </w:rPr>
            <w:fldChar w:fldCharType="begin"/>
          </w:r>
          <w:r>
            <w:rPr>
              <w:rFonts w:ascii="黑体" w:hAnsi="黑体" w:eastAsia="黑体"/>
              <w:szCs w:val="32"/>
            </w:rPr>
            <w:instrText xml:space="preserve"> HYPERLINK \l _Toc2807 </w:instrText>
          </w:r>
          <w:r>
            <w:rPr>
              <w:rFonts w:ascii="黑体" w:hAnsi="黑体" w:eastAsia="黑体"/>
              <w:szCs w:val="32"/>
            </w:rPr>
            <w:fldChar w:fldCharType="separate"/>
          </w:r>
          <w:r>
            <w:rPr>
              <w:rFonts w:hint="eastAsia" w:ascii="楷体_GB2312" w:eastAsia="楷体_GB2312"/>
              <w:szCs w:val="32"/>
            </w:rPr>
            <w:t>（二） 政府采购情况</w:t>
          </w:r>
          <w:r>
            <w:tab/>
          </w:r>
          <w:r>
            <w:fldChar w:fldCharType="begin"/>
          </w:r>
          <w:r>
            <w:instrText xml:space="preserve"> PAGEREF _Toc2807 \h </w:instrText>
          </w:r>
          <w:r>
            <w:fldChar w:fldCharType="separate"/>
          </w:r>
          <w:r>
            <w:t>7</w:t>
          </w:r>
          <w:r>
            <w:fldChar w:fldCharType="end"/>
          </w:r>
          <w:r>
            <w:rPr>
              <w:rFonts w:ascii="黑体" w:hAnsi="黑体" w:eastAsia="黑体"/>
              <w:szCs w:val="32"/>
            </w:rPr>
            <w:fldChar w:fldCharType="end"/>
          </w:r>
        </w:p>
        <w:p>
          <w:pPr>
            <w:pStyle w:val="14"/>
            <w:tabs>
              <w:tab w:val="right" w:leader="dot" w:pos="8306"/>
            </w:tabs>
          </w:pPr>
          <w:r>
            <w:rPr>
              <w:rFonts w:ascii="黑体" w:hAnsi="黑体" w:eastAsia="黑体"/>
              <w:szCs w:val="32"/>
            </w:rPr>
            <w:fldChar w:fldCharType="begin"/>
          </w:r>
          <w:r>
            <w:rPr>
              <w:rFonts w:ascii="黑体" w:hAnsi="黑体" w:eastAsia="黑体"/>
              <w:szCs w:val="32"/>
            </w:rPr>
            <w:instrText xml:space="preserve"> HYPERLINK \l _Toc17892 </w:instrText>
          </w:r>
          <w:r>
            <w:rPr>
              <w:rFonts w:ascii="黑体" w:hAnsi="黑体" w:eastAsia="黑体"/>
              <w:szCs w:val="32"/>
            </w:rPr>
            <w:fldChar w:fldCharType="separate"/>
          </w:r>
          <w:r>
            <w:rPr>
              <w:rFonts w:hint="eastAsia" w:ascii="楷体_GB2312" w:eastAsia="楷体_GB2312"/>
              <w:szCs w:val="32"/>
            </w:rPr>
            <w:t>（三）国有资产占有使用情况</w:t>
          </w:r>
          <w:r>
            <w:tab/>
          </w:r>
          <w:r>
            <w:fldChar w:fldCharType="begin"/>
          </w:r>
          <w:r>
            <w:instrText xml:space="preserve"> PAGEREF _Toc17892 \h </w:instrText>
          </w:r>
          <w:r>
            <w:fldChar w:fldCharType="separate"/>
          </w:r>
          <w:r>
            <w:t>7</w:t>
          </w:r>
          <w:r>
            <w:fldChar w:fldCharType="end"/>
          </w:r>
          <w:r>
            <w:rPr>
              <w:rFonts w:ascii="黑体" w:hAnsi="黑体" w:eastAsia="黑体"/>
              <w:szCs w:val="32"/>
            </w:rPr>
            <w:fldChar w:fldCharType="end"/>
          </w:r>
        </w:p>
        <w:p>
          <w:pPr>
            <w:pStyle w:val="14"/>
            <w:tabs>
              <w:tab w:val="right" w:leader="dot" w:pos="8306"/>
            </w:tabs>
          </w:pPr>
          <w:r>
            <w:rPr>
              <w:rFonts w:ascii="黑体" w:hAnsi="黑体" w:eastAsia="黑体"/>
              <w:szCs w:val="32"/>
            </w:rPr>
            <w:fldChar w:fldCharType="begin"/>
          </w:r>
          <w:r>
            <w:rPr>
              <w:rFonts w:ascii="黑体" w:hAnsi="黑体" w:eastAsia="黑体"/>
              <w:szCs w:val="32"/>
            </w:rPr>
            <w:instrText xml:space="preserve"> HYPERLINK \l _Toc29876 </w:instrText>
          </w:r>
          <w:r>
            <w:rPr>
              <w:rFonts w:ascii="黑体" w:hAnsi="黑体" w:eastAsia="黑体"/>
              <w:szCs w:val="32"/>
            </w:rPr>
            <w:fldChar w:fldCharType="separate"/>
          </w:r>
          <w:r>
            <w:rPr>
              <w:rFonts w:hint="eastAsia" w:ascii="楷体_GB2312" w:eastAsia="楷体_GB2312"/>
              <w:szCs w:val="32"/>
            </w:rPr>
            <w:t>（四）绩效目标设置情况</w:t>
          </w:r>
          <w:r>
            <w:tab/>
          </w:r>
          <w:r>
            <w:fldChar w:fldCharType="begin"/>
          </w:r>
          <w:r>
            <w:instrText xml:space="preserve"> PAGEREF _Toc29876 \h </w:instrText>
          </w:r>
          <w:r>
            <w:fldChar w:fldCharType="separate"/>
          </w:r>
          <w:r>
            <w:t>7</w:t>
          </w:r>
          <w:r>
            <w:fldChar w:fldCharType="end"/>
          </w:r>
          <w:r>
            <w:rPr>
              <w:rFonts w:ascii="黑体" w:hAnsi="黑体" w:eastAsia="黑体"/>
              <w:szCs w:val="32"/>
            </w:rPr>
            <w:fldChar w:fldCharType="end"/>
          </w:r>
        </w:p>
        <w:p>
          <w:pPr>
            <w:pStyle w:val="13"/>
            <w:tabs>
              <w:tab w:val="right" w:leader="dot" w:pos="8306"/>
            </w:tabs>
            <w:rPr>
              <w:b/>
            </w:rPr>
          </w:pPr>
          <w:r>
            <w:rPr>
              <w:rFonts w:ascii="黑体" w:hAnsi="黑体" w:eastAsia="黑体"/>
              <w:b/>
              <w:szCs w:val="32"/>
            </w:rPr>
            <w:fldChar w:fldCharType="begin"/>
          </w:r>
          <w:r>
            <w:rPr>
              <w:rFonts w:ascii="黑体" w:hAnsi="黑体" w:eastAsia="黑体"/>
              <w:b/>
              <w:szCs w:val="32"/>
            </w:rPr>
            <w:instrText xml:space="preserve"> HYPERLINK \l _Toc1260 </w:instrText>
          </w:r>
          <w:r>
            <w:rPr>
              <w:rFonts w:ascii="黑体" w:hAnsi="黑体" w:eastAsia="黑体"/>
              <w:b/>
              <w:szCs w:val="32"/>
            </w:rPr>
            <w:fldChar w:fldCharType="separate"/>
          </w:r>
          <w:r>
            <w:rPr>
              <w:rFonts w:hint="eastAsia" w:ascii="黑体" w:eastAsia="黑体"/>
              <w:b/>
              <w:szCs w:val="32"/>
            </w:rPr>
            <w:t>九、 名词解释</w:t>
          </w:r>
          <w:r>
            <w:rPr>
              <w:b/>
            </w:rPr>
            <w:tab/>
          </w:r>
          <w:r>
            <w:rPr>
              <w:b/>
            </w:rPr>
            <w:fldChar w:fldCharType="begin"/>
          </w:r>
          <w:r>
            <w:rPr>
              <w:b/>
            </w:rPr>
            <w:instrText xml:space="preserve"> PAGEREF _Toc1260 \h </w:instrText>
          </w:r>
          <w:r>
            <w:rPr>
              <w:b/>
            </w:rPr>
            <w:fldChar w:fldCharType="separate"/>
          </w:r>
          <w:r>
            <w:rPr>
              <w:b/>
            </w:rPr>
            <w:t>7</w:t>
          </w:r>
          <w:r>
            <w:rPr>
              <w:b/>
            </w:rPr>
            <w:fldChar w:fldCharType="end"/>
          </w:r>
          <w:r>
            <w:rPr>
              <w:rFonts w:ascii="黑体" w:hAnsi="黑体" w:eastAsia="黑体"/>
              <w:b/>
              <w:szCs w:val="32"/>
            </w:rPr>
            <w:fldChar w:fldCharType="end"/>
          </w:r>
        </w:p>
        <w:p>
          <w:pPr>
            <w:keepNext w:val="0"/>
            <w:keepLines w:val="0"/>
            <w:pageBreakBefore w:val="0"/>
            <w:kinsoku/>
            <w:wordWrap/>
            <w:overflowPunct/>
            <w:topLinePunct w:val="0"/>
            <w:autoSpaceDE/>
            <w:autoSpaceDN/>
            <w:bidi w:val="0"/>
            <w:adjustRightInd/>
            <w:snapToGrid/>
            <w:spacing w:line="540" w:lineRule="exact"/>
            <w:textAlignment w:val="auto"/>
            <w:rPr>
              <w:rFonts w:ascii="黑体" w:hAnsi="黑体" w:eastAsia="黑体"/>
              <w:sz w:val="32"/>
              <w:szCs w:val="32"/>
            </w:rPr>
          </w:pPr>
          <w:r>
            <w:rPr>
              <w:rFonts w:ascii="黑体" w:hAnsi="黑体" w:eastAsia="黑体"/>
              <w:b/>
              <w:szCs w:val="32"/>
            </w:rPr>
            <w:fldChar w:fldCharType="end"/>
          </w:r>
        </w:p>
      </w:sdtContent>
    </w:sdt>
    <w:p>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40" w:lineRule="exact"/>
        <w:ind w:right="300"/>
        <w:jc w:val="left"/>
        <w:textAlignment w:val="auto"/>
        <w:rPr>
          <w:rFonts w:ascii="??" w:hAnsi="??" w:cs="宋体"/>
          <w:kern w:val="0"/>
          <w:sz w:val="12"/>
          <w:szCs w:val="12"/>
        </w:rPr>
      </w:pPr>
    </w:p>
    <w:p>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40" w:lineRule="exact"/>
        <w:ind w:right="300"/>
        <w:jc w:val="left"/>
        <w:textAlignment w:val="auto"/>
        <w:rPr>
          <w:rFonts w:ascii="??" w:hAnsi="??" w:cs="宋体"/>
          <w:kern w:val="0"/>
          <w:sz w:val="12"/>
          <w:szCs w:val="12"/>
        </w:rPr>
      </w:pPr>
    </w:p>
    <w:p>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黑体" w:eastAsia="黑体"/>
          <w:sz w:val="32"/>
          <w:szCs w:val="32"/>
        </w:rPr>
      </w:pPr>
    </w:p>
    <w:p>
      <w:pPr>
        <w:rPr>
          <w:rFonts w:hint="eastAsia" w:ascii="黑体" w:eastAsia="黑体"/>
          <w:sz w:val="32"/>
          <w:szCs w:val="32"/>
        </w:rPr>
      </w:pPr>
      <w:r>
        <w:rPr>
          <w:rFonts w:hint="eastAsia" w:ascii="黑体" w:eastAsia="黑体"/>
          <w:sz w:val="32"/>
          <w:szCs w:val="32"/>
        </w:rPr>
        <w:br w:type="page"/>
      </w:r>
    </w:p>
    <w:p>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outlineLvl w:val="0"/>
        <w:rPr>
          <w:rFonts w:ascii="黑体" w:eastAsia="黑体"/>
          <w:sz w:val="32"/>
          <w:szCs w:val="32"/>
        </w:rPr>
      </w:pPr>
      <w:bookmarkStart w:id="0" w:name="_Toc16684"/>
      <w:r>
        <w:rPr>
          <w:rFonts w:hint="eastAsia" w:ascii="黑体" w:eastAsia="黑体"/>
          <w:sz w:val="32"/>
          <w:szCs w:val="32"/>
        </w:rPr>
        <w:t>一、基本职能及主要工作</w:t>
      </w:r>
      <w:bookmarkEnd w:id="0"/>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outlineLvl w:val="1"/>
        <w:rPr>
          <w:rFonts w:ascii="楷体_GB2312" w:eastAsia="楷体_GB2312"/>
          <w:b/>
          <w:sz w:val="32"/>
          <w:szCs w:val="32"/>
        </w:rPr>
      </w:pPr>
      <w:bookmarkStart w:id="1" w:name="_Toc12268"/>
      <w:r>
        <w:rPr>
          <w:rFonts w:hint="eastAsia" w:ascii="楷体_GB2312" w:eastAsia="楷体_GB2312"/>
          <w:b/>
          <w:sz w:val="32"/>
          <w:szCs w:val="32"/>
        </w:rPr>
        <w:t>（一）阿坝州委政法委职能简介</w:t>
      </w:r>
      <w:bookmarkEnd w:id="1"/>
    </w:p>
    <w:p>
      <w:pPr>
        <w:keepNext w:val="0"/>
        <w:keepLines w:val="0"/>
        <w:pageBreakBefore w:val="0"/>
        <w:kinsoku/>
        <w:wordWrap/>
        <w:overflowPunct/>
        <w:topLinePunct w:val="0"/>
        <w:autoSpaceDE/>
        <w:autoSpaceDN/>
        <w:bidi w:val="0"/>
        <w:adjustRightInd/>
        <w:snapToGrid/>
        <w:spacing w:line="540" w:lineRule="exact"/>
        <w:ind w:firstLine="555"/>
        <w:textAlignment w:val="auto"/>
        <w:rPr>
          <w:rFonts w:ascii="仿宋_GB2312" w:eastAsia="仿宋_GB2312"/>
          <w:sz w:val="32"/>
          <w:szCs w:val="32"/>
        </w:rPr>
      </w:pPr>
      <w:r>
        <w:rPr>
          <w:rFonts w:hint="eastAsia" w:ascii="仿宋_GB2312" w:eastAsia="仿宋_GB2312"/>
          <w:sz w:val="32"/>
          <w:szCs w:val="32"/>
        </w:rPr>
        <w:t>1.深入贯彻党的路线方针政策和决策部署，统一政法各部门思想和行动，坚持党对政法工作的绝对领导，坚决维护党中央权威和集中统一领导。</w:t>
      </w:r>
    </w:p>
    <w:p>
      <w:pPr>
        <w:keepNext w:val="0"/>
        <w:keepLines w:val="0"/>
        <w:pageBreakBefore w:val="0"/>
        <w:kinsoku/>
        <w:wordWrap/>
        <w:overflowPunct/>
        <w:topLinePunct w:val="0"/>
        <w:autoSpaceDE/>
        <w:autoSpaceDN/>
        <w:bidi w:val="0"/>
        <w:adjustRightInd/>
        <w:snapToGrid/>
        <w:spacing w:line="540" w:lineRule="exact"/>
        <w:ind w:firstLine="555"/>
        <w:textAlignment w:val="auto"/>
        <w:rPr>
          <w:rFonts w:ascii="仿宋_GB2312" w:eastAsia="仿宋_GB2312"/>
          <w:sz w:val="32"/>
          <w:szCs w:val="32"/>
        </w:rPr>
      </w:pPr>
      <w:r>
        <w:rPr>
          <w:rFonts w:hint="eastAsia" w:ascii="仿宋_GB2312" w:eastAsia="仿宋_GB2312"/>
          <w:sz w:val="32"/>
          <w:szCs w:val="32"/>
        </w:rPr>
        <w:t>2.深入贯彻党中央决定和省委、州委决策，对政法工作提出全局性部署，推进平安阿坝建设、法治阿坝建设，加强过硬队伍建设，深化智能化建设。</w:t>
      </w:r>
    </w:p>
    <w:p>
      <w:pPr>
        <w:keepNext w:val="0"/>
        <w:keepLines w:val="0"/>
        <w:pageBreakBefore w:val="0"/>
        <w:kinsoku/>
        <w:wordWrap/>
        <w:overflowPunct/>
        <w:topLinePunct w:val="0"/>
        <w:autoSpaceDE/>
        <w:autoSpaceDN/>
        <w:bidi w:val="0"/>
        <w:adjustRightInd/>
        <w:snapToGrid/>
        <w:spacing w:line="540" w:lineRule="exact"/>
        <w:ind w:firstLine="555"/>
        <w:textAlignment w:val="auto"/>
        <w:rPr>
          <w:rFonts w:ascii="仿宋_GB2312" w:eastAsia="仿宋_GB2312"/>
          <w:sz w:val="32"/>
          <w:szCs w:val="32"/>
        </w:rPr>
      </w:pPr>
      <w:r>
        <w:rPr>
          <w:rFonts w:hint="eastAsia" w:ascii="仿宋_GB2312" w:eastAsia="仿宋_GB2312"/>
          <w:sz w:val="32"/>
          <w:szCs w:val="32"/>
        </w:rPr>
        <w:t>3.组织开展政法领域的调查研究，研究拟订全州政法工作的政策措施，及时向州委提出建议。参与有关民族自治法规、地方性法规和规章的起草、修改工作，及时提出立法建议。</w:t>
      </w:r>
    </w:p>
    <w:p>
      <w:pPr>
        <w:keepNext w:val="0"/>
        <w:keepLines w:val="0"/>
        <w:pageBreakBefore w:val="0"/>
        <w:kinsoku/>
        <w:wordWrap/>
        <w:overflowPunct/>
        <w:topLinePunct w:val="0"/>
        <w:autoSpaceDE/>
        <w:autoSpaceDN/>
        <w:bidi w:val="0"/>
        <w:adjustRightInd/>
        <w:snapToGrid/>
        <w:spacing w:line="540" w:lineRule="exact"/>
        <w:ind w:firstLine="555"/>
        <w:textAlignment w:val="auto"/>
        <w:rPr>
          <w:rFonts w:ascii="仿宋_GB2312" w:eastAsia="仿宋_GB2312"/>
          <w:sz w:val="32"/>
          <w:szCs w:val="32"/>
        </w:rPr>
      </w:pPr>
      <w:r>
        <w:rPr>
          <w:rFonts w:hint="eastAsia" w:ascii="仿宋_GB2312" w:eastAsia="仿宋_GB2312"/>
          <w:sz w:val="32"/>
          <w:szCs w:val="32"/>
        </w:rPr>
        <w:t>4.掌握分析政法舆情动态，指导协调政法部门媒体网络宣传工作，指导政法部门做好涉及政法工作的重大宣传和舆论引导工作。</w:t>
      </w:r>
    </w:p>
    <w:p>
      <w:pPr>
        <w:keepNext w:val="0"/>
        <w:keepLines w:val="0"/>
        <w:pageBreakBefore w:val="0"/>
        <w:kinsoku/>
        <w:wordWrap/>
        <w:overflowPunct/>
        <w:topLinePunct w:val="0"/>
        <w:autoSpaceDE/>
        <w:autoSpaceDN/>
        <w:bidi w:val="0"/>
        <w:adjustRightInd/>
        <w:snapToGrid/>
        <w:spacing w:line="540" w:lineRule="exact"/>
        <w:ind w:firstLine="555"/>
        <w:textAlignment w:val="auto"/>
        <w:rPr>
          <w:rFonts w:ascii="仿宋_GB2312" w:eastAsia="仿宋_GB2312"/>
          <w:sz w:val="32"/>
          <w:szCs w:val="32"/>
        </w:rPr>
      </w:pPr>
      <w:r>
        <w:rPr>
          <w:rFonts w:hint="eastAsia" w:ascii="仿宋_GB2312" w:eastAsia="仿宋_GB2312"/>
          <w:sz w:val="32"/>
          <w:szCs w:val="32"/>
        </w:rPr>
        <w:t>5.监督和支持政法各部门依法行使职权，指导和协调政法各部门密切配合，研究和协调重大、疑难案件，推进严格执法、公正司法。</w:t>
      </w:r>
    </w:p>
    <w:p>
      <w:pPr>
        <w:keepNext w:val="0"/>
        <w:keepLines w:val="0"/>
        <w:pageBreakBefore w:val="0"/>
        <w:kinsoku/>
        <w:wordWrap/>
        <w:overflowPunct/>
        <w:topLinePunct w:val="0"/>
        <w:autoSpaceDE/>
        <w:autoSpaceDN/>
        <w:bidi w:val="0"/>
        <w:adjustRightInd/>
        <w:snapToGrid/>
        <w:spacing w:line="540" w:lineRule="exact"/>
        <w:ind w:firstLine="555"/>
        <w:textAlignment w:val="auto"/>
        <w:rPr>
          <w:rFonts w:ascii="仿宋_GB2312" w:eastAsia="仿宋_GB2312"/>
          <w:sz w:val="32"/>
          <w:szCs w:val="32"/>
        </w:rPr>
      </w:pPr>
      <w:r>
        <w:rPr>
          <w:rFonts w:hint="eastAsia" w:ascii="仿宋_GB2312" w:eastAsia="仿宋_GB2312"/>
          <w:sz w:val="32"/>
          <w:szCs w:val="32"/>
        </w:rPr>
        <w:t>6.组织研究政法改革工作中带有方向性、倾向性和普遍性的重大问题，深化政法改革。</w:t>
      </w:r>
    </w:p>
    <w:p>
      <w:pPr>
        <w:keepNext w:val="0"/>
        <w:keepLines w:val="0"/>
        <w:pageBreakBefore w:val="0"/>
        <w:kinsoku/>
        <w:wordWrap/>
        <w:overflowPunct/>
        <w:topLinePunct w:val="0"/>
        <w:autoSpaceDE/>
        <w:autoSpaceDN/>
        <w:bidi w:val="0"/>
        <w:adjustRightInd/>
        <w:snapToGrid/>
        <w:spacing w:line="540" w:lineRule="exact"/>
        <w:ind w:firstLine="555"/>
        <w:textAlignment w:val="auto"/>
        <w:rPr>
          <w:rFonts w:ascii="仿宋_GB2312" w:eastAsia="仿宋_GB2312"/>
          <w:sz w:val="32"/>
          <w:szCs w:val="32"/>
        </w:rPr>
      </w:pPr>
      <w:r>
        <w:rPr>
          <w:rFonts w:hint="eastAsia" w:ascii="仿宋_GB2312" w:eastAsia="仿宋_GB2312"/>
          <w:sz w:val="32"/>
          <w:szCs w:val="32"/>
        </w:rPr>
        <w:t>7.指导推动政法系统党的建设和政法队伍建设，协同州级有关部门管理监督政法领导干部，代管阿坝州法学会。</w:t>
      </w:r>
    </w:p>
    <w:p>
      <w:pPr>
        <w:keepNext w:val="0"/>
        <w:keepLines w:val="0"/>
        <w:pageBreakBefore w:val="0"/>
        <w:kinsoku/>
        <w:wordWrap/>
        <w:overflowPunct/>
        <w:topLinePunct w:val="0"/>
        <w:autoSpaceDE/>
        <w:autoSpaceDN/>
        <w:bidi w:val="0"/>
        <w:adjustRightInd/>
        <w:snapToGrid/>
        <w:spacing w:line="540" w:lineRule="exact"/>
        <w:ind w:firstLine="555"/>
        <w:textAlignment w:val="auto"/>
        <w:rPr>
          <w:rFonts w:ascii="仿宋_GB2312" w:eastAsia="仿宋_GB2312"/>
          <w:sz w:val="32"/>
          <w:szCs w:val="32"/>
        </w:rPr>
      </w:pPr>
      <w:r>
        <w:rPr>
          <w:rFonts w:hint="eastAsia" w:ascii="仿宋_GB2312" w:eastAsia="仿宋_GB2312"/>
          <w:sz w:val="32"/>
          <w:szCs w:val="32"/>
        </w:rPr>
        <w:t>8.完成州委交办的其他任务。</w:t>
      </w:r>
    </w:p>
    <w:p>
      <w:pPr>
        <w:keepNext w:val="0"/>
        <w:keepLines w:val="0"/>
        <w:pageBreakBefore w:val="0"/>
        <w:kinsoku/>
        <w:wordWrap/>
        <w:overflowPunct/>
        <w:topLinePunct w:val="0"/>
        <w:autoSpaceDE/>
        <w:autoSpaceDN/>
        <w:bidi w:val="0"/>
        <w:adjustRightInd/>
        <w:snapToGrid/>
        <w:spacing w:line="540" w:lineRule="exact"/>
        <w:ind w:firstLine="555"/>
        <w:textAlignment w:val="auto"/>
        <w:outlineLvl w:val="1"/>
        <w:rPr>
          <w:rFonts w:ascii="楷体_GB2312" w:eastAsia="楷体_GB2312"/>
          <w:b/>
          <w:sz w:val="32"/>
          <w:szCs w:val="32"/>
        </w:rPr>
      </w:pPr>
      <w:bookmarkStart w:id="2" w:name="_Toc11138"/>
      <w:r>
        <w:rPr>
          <w:rFonts w:hint="eastAsia" w:ascii="楷体_GB2312" w:eastAsia="楷体_GB2312"/>
          <w:b/>
          <w:sz w:val="32"/>
          <w:szCs w:val="32"/>
        </w:rPr>
        <w:t>（二）阿坝州委政法委</w:t>
      </w:r>
      <w:r>
        <w:rPr>
          <w:rFonts w:ascii="楷体_GB2312" w:eastAsia="楷体_GB2312"/>
          <w:b/>
          <w:sz w:val="32"/>
          <w:szCs w:val="32"/>
        </w:rPr>
        <w:t>202</w:t>
      </w:r>
      <w:r>
        <w:rPr>
          <w:rFonts w:hint="eastAsia" w:ascii="楷体_GB2312" w:eastAsia="楷体_GB2312"/>
          <w:b/>
          <w:sz w:val="32"/>
          <w:szCs w:val="32"/>
        </w:rPr>
        <w:t>2年重点工作</w:t>
      </w:r>
      <w:bookmarkEnd w:id="2"/>
    </w:p>
    <w:p>
      <w:pPr>
        <w:keepNext w:val="0"/>
        <w:keepLines w:val="0"/>
        <w:pageBreakBefore w:val="0"/>
        <w:kinsoku/>
        <w:wordWrap/>
        <w:overflowPunct/>
        <w:topLinePunct w:val="0"/>
        <w:autoSpaceDE/>
        <w:autoSpaceDN/>
        <w:bidi w:val="0"/>
        <w:adjustRightInd/>
        <w:snapToGrid/>
        <w:spacing w:line="540" w:lineRule="exact"/>
        <w:ind w:firstLine="555"/>
        <w:textAlignment w:val="auto"/>
        <w:rPr>
          <w:rFonts w:hint="eastAsia" w:ascii="仿宋_GB2312" w:eastAsia="仿宋_GB2312"/>
          <w:sz w:val="32"/>
          <w:szCs w:val="32"/>
        </w:rPr>
      </w:pPr>
      <w:r>
        <w:rPr>
          <w:rFonts w:hint="eastAsia" w:ascii="仿宋_GB2312" w:eastAsia="仿宋_GB2312"/>
          <w:sz w:val="32"/>
          <w:szCs w:val="32"/>
        </w:rPr>
        <w:t>1.全力维护安全稳定。</w:t>
      </w:r>
    </w:p>
    <w:p>
      <w:pPr>
        <w:keepNext w:val="0"/>
        <w:keepLines w:val="0"/>
        <w:pageBreakBefore w:val="0"/>
        <w:kinsoku/>
        <w:wordWrap/>
        <w:overflowPunct/>
        <w:topLinePunct w:val="0"/>
        <w:autoSpaceDE/>
        <w:autoSpaceDN/>
        <w:bidi w:val="0"/>
        <w:adjustRightInd/>
        <w:snapToGrid/>
        <w:spacing w:line="540" w:lineRule="exact"/>
        <w:ind w:firstLine="555"/>
        <w:textAlignment w:val="auto"/>
        <w:rPr>
          <w:rFonts w:hint="eastAsia" w:ascii="仿宋_GB2312" w:eastAsia="仿宋_GB2312"/>
          <w:sz w:val="32"/>
          <w:szCs w:val="32"/>
        </w:rPr>
      </w:pPr>
      <w:r>
        <w:rPr>
          <w:rFonts w:hint="eastAsia" w:ascii="仿宋_GB2312" w:eastAsia="仿宋_GB2312"/>
          <w:sz w:val="32"/>
          <w:szCs w:val="32"/>
        </w:rPr>
        <w:t>2.深化社会治理创新。</w:t>
      </w:r>
    </w:p>
    <w:p>
      <w:pPr>
        <w:keepNext w:val="0"/>
        <w:keepLines w:val="0"/>
        <w:pageBreakBefore w:val="0"/>
        <w:kinsoku/>
        <w:wordWrap/>
        <w:overflowPunct/>
        <w:topLinePunct w:val="0"/>
        <w:autoSpaceDE/>
        <w:autoSpaceDN/>
        <w:bidi w:val="0"/>
        <w:adjustRightInd/>
        <w:snapToGrid/>
        <w:spacing w:line="540" w:lineRule="exact"/>
        <w:ind w:firstLine="555"/>
        <w:textAlignment w:val="auto"/>
        <w:rPr>
          <w:rFonts w:hint="eastAsia" w:ascii="仿宋_GB2312" w:eastAsia="仿宋_GB2312"/>
          <w:sz w:val="32"/>
          <w:szCs w:val="32"/>
        </w:rPr>
      </w:pPr>
      <w:r>
        <w:rPr>
          <w:rFonts w:hint="eastAsia" w:ascii="仿宋_GB2312" w:eastAsia="仿宋_GB2312"/>
          <w:sz w:val="32"/>
          <w:szCs w:val="32"/>
        </w:rPr>
        <w:t>3.强化政法保障职能。</w:t>
      </w:r>
    </w:p>
    <w:p>
      <w:pPr>
        <w:keepNext w:val="0"/>
        <w:keepLines w:val="0"/>
        <w:pageBreakBefore w:val="0"/>
        <w:kinsoku/>
        <w:wordWrap/>
        <w:overflowPunct/>
        <w:topLinePunct w:val="0"/>
        <w:autoSpaceDE/>
        <w:autoSpaceDN/>
        <w:bidi w:val="0"/>
        <w:adjustRightInd/>
        <w:snapToGrid/>
        <w:spacing w:line="540" w:lineRule="exact"/>
        <w:ind w:firstLine="555"/>
        <w:textAlignment w:val="auto"/>
        <w:rPr>
          <w:rFonts w:hint="eastAsia" w:ascii="Times New Roman" w:hAnsi="Times New Roman" w:eastAsia="仿宋_GB2312"/>
          <w:sz w:val="32"/>
          <w:szCs w:val="32"/>
        </w:rPr>
      </w:pPr>
      <w:r>
        <w:rPr>
          <w:rFonts w:hint="eastAsia" w:ascii="仿宋_GB2312" w:eastAsia="仿宋_GB2312"/>
          <w:sz w:val="32"/>
          <w:szCs w:val="32"/>
        </w:rPr>
        <w:t>4.深化政法领域改革。稳妥推进司法体制综合配套改革、财物统一管理、执法司法工作机制改革等，不断提</w:t>
      </w:r>
      <w:r>
        <w:rPr>
          <w:rFonts w:hint="eastAsia" w:ascii="Times New Roman" w:hAnsi="Times New Roman" w:eastAsia="仿宋_GB2312"/>
          <w:sz w:val="32"/>
          <w:szCs w:val="32"/>
        </w:rPr>
        <w:t>高执法司法质效和公信力。</w:t>
      </w:r>
    </w:p>
    <w:p>
      <w:pPr>
        <w:keepNext w:val="0"/>
        <w:keepLines w:val="0"/>
        <w:pageBreakBefore w:val="0"/>
        <w:kinsoku/>
        <w:wordWrap/>
        <w:overflowPunct/>
        <w:topLinePunct w:val="0"/>
        <w:autoSpaceDE/>
        <w:autoSpaceDN/>
        <w:bidi w:val="0"/>
        <w:adjustRightInd/>
        <w:snapToGrid/>
        <w:spacing w:line="540" w:lineRule="exact"/>
        <w:ind w:firstLine="643"/>
        <w:textAlignment w:val="auto"/>
        <w:rPr>
          <w:rFonts w:ascii="Times New Roman" w:hAnsi="Times New Roman" w:eastAsia="仿宋_GB2312"/>
          <w:sz w:val="32"/>
          <w:szCs w:val="32"/>
        </w:rPr>
      </w:pPr>
      <w:r>
        <w:rPr>
          <w:rFonts w:hint="eastAsia" w:ascii="仿宋_GB2312" w:eastAsia="仿宋_GB2312"/>
          <w:sz w:val="32"/>
          <w:szCs w:val="32"/>
        </w:rPr>
        <w:t>5.锻造阿坝政法铁军。坚持党的绝对领导，以《条例》为指引，重点用好政治督查、执法监督等“钢</w:t>
      </w:r>
      <w:r>
        <w:rPr>
          <w:rFonts w:hint="eastAsia" w:ascii="Times New Roman" w:hAnsi="Times New Roman" w:eastAsia="仿宋_GB2312"/>
          <w:sz w:val="32"/>
          <w:szCs w:val="32"/>
        </w:rPr>
        <w:t>鞭”，巩固深化政法教育整顿成果，努力锻造政法铁军。</w:t>
      </w:r>
    </w:p>
    <w:p>
      <w:pPr>
        <w:keepNext w:val="0"/>
        <w:keepLines w:val="0"/>
        <w:pageBreakBefore w:val="0"/>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textAlignment w:val="auto"/>
        <w:outlineLvl w:val="0"/>
        <w:rPr>
          <w:rFonts w:ascii="黑体" w:eastAsia="黑体"/>
          <w:sz w:val="32"/>
          <w:szCs w:val="32"/>
        </w:rPr>
      </w:pPr>
      <w:bookmarkStart w:id="3" w:name="_Toc12597"/>
      <w:r>
        <w:rPr>
          <w:rFonts w:hint="eastAsia" w:ascii="黑体" w:eastAsia="黑体"/>
          <w:sz w:val="32"/>
          <w:szCs w:val="32"/>
        </w:rPr>
        <w:t>二、部门预算单位构成</w:t>
      </w:r>
      <w:bookmarkEnd w:id="3"/>
    </w:p>
    <w:p>
      <w:pPr>
        <w:keepNext w:val="0"/>
        <w:keepLines w:val="0"/>
        <w:pageBreakBefore w:val="0"/>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州委政法委属一级预算单位，无下属二级预算单位。其中：行政单位1</w:t>
      </w:r>
      <w:r>
        <w:rPr>
          <w:rFonts w:hint="eastAsia" w:ascii="仿宋_GB2312" w:eastAsia="仿宋_GB2312"/>
          <w:sz w:val="32"/>
          <w:szCs w:val="32"/>
        </w:rPr>
        <w:t>个；参照公务员法管理的事业单位0个；其他事业单位2个，分别是：阿坝州法学会和阿坝州基层社会治理指导中心。</w:t>
      </w:r>
    </w:p>
    <w:p>
      <w:pPr>
        <w:keepNext w:val="0"/>
        <w:keepLines w:val="0"/>
        <w:pageBreakBefore w:val="0"/>
        <w:numPr>
          <w:ilvl w:val="0"/>
          <w:numId w:val="1"/>
        </w:numPr>
        <w:pBdr>
          <w:bottom w:val="single" w:color="FFFFFF" w:sz="4" w:space="31"/>
        </w:pBdr>
        <w:tabs>
          <w:tab w:val="left" w:pos="1440"/>
        </w:tabs>
        <w:kinsoku/>
        <w:wordWrap/>
        <w:overflowPunct/>
        <w:topLinePunct w:val="0"/>
        <w:autoSpaceDE/>
        <w:autoSpaceDN/>
        <w:bidi w:val="0"/>
        <w:adjustRightInd/>
        <w:snapToGrid/>
        <w:spacing w:line="540" w:lineRule="exact"/>
        <w:ind w:left="880" w:leftChars="0" w:hanging="880" w:firstLineChars="0"/>
        <w:textAlignment w:val="auto"/>
        <w:outlineLvl w:val="0"/>
        <w:rPr>
          <w:rFonts w:hint="eastAsia" w:ascii="黑体" w:eastAsia="黑体"/>
          <w:sz w:val="32"/>
          <w:szCs w:val="32"/>
        </w:rPr>
      </w:pPr>
      <w:bookmarkStart w:id="4" w:name="_Toc1767"/>
      <w:r>
        <w:rPr>
          <w:rFonts w:hint="eastAsia" w:ascii="黑体" w:eastAsia="黑体"/>
          <w:sz w:val="32"/>
          <w:szCs w:val="32"/>
        </w:rPr>
        <w:t>收支预算情况说明</w:t>
      </w:r>
      <w:bookmarkEnd w:id="4"/>
    </w:p>
    <w:p>
      <w:pPr>
        <w:keepNext w:val="0"/>
        <w:keepLines w:val="0"/>
        <w:pageBreakBefore w:val="0"/>
        <w:numPr>
          <w:numId w:val="0"/>
        </w:numPr>
        <w:pBdr>
          <w:bottom w:val="single" w:color="FFFFFF" w:sz="4" w:space="31"/>
        </w:pBdr>
        <w:tabs>
          <w:tab w:val="left" w:pos="1440"/>
        </w:tabs>
        <w:kinsoku/>
        <w:wordWrap/>
        <w:overflowPunct/>
        <w:topLinePunct w:val="0"/>
        <w:autoSpaceDE/>
        <w:autoSpaceDN/>
        <w:bidi w:val="0"/>
        <w:adjustRightInd/>
        <w:snapToGrid/>
        <w:spacing w:line="540" w:lineRule="exact"/>
        <w:ind w:leftChars="0" w:firstLine="640" w:firstLineChars="200"/>
        <w:textAlignment w:val="auto"/>
        <w:rPr>
          <w:rFonts w:hint="eastAsia" w:ascii="仿宋_GB2312" w:eastAsia="仿宋_GB2312"/>
          <w:sz w:val="32"/>
          <w:szCs w:val="32"/>
        </w:rPr>
      </w:pPr>
      <w:r>
        <w:rPr>
          <w:rFonts w:hint="eastAsia" w:ascii="仿宋_GB2312" w:eastAsia="仿宋_GB2312"/>
          <w:sz w:val="32"/>
          <w:szCs w:val="32"/>
        </w:rPr>
        <w:t>按照综合预算的原则，州委政法委所有收入和支出均纳入部门预算管理。收入包括：一般公共预算拨款收入1318.64万元，事业收入0万元，其他收入0万元；支出包括：公共安全支出1118.88万元，社会保障和就业支出92.58万元，卫生健康支出34.25万元，住房保障支出72.93万元。州委政法委2022年收支总预算1318.64万元,　比2021年收支预算总数减少253.04万元，主要原因:人员工资中津贴增加，社会保险缴费、住房公积金等经费增加、财政应返还额度比上年减少较多。</w:t>
      </w:r>
    </w:p>
    <w:p>
      <w:pPr>
        <w:keepNext w:val="0"/>
        <w:keepLines w:val="0"/>
        <w:pageBreakBefore w:val="0"/>
        <w:numPr>
          <w:ilvl w:val="0"/>
          <w:numId w:val="2"/>
        </w:numPr>
        <w:pBdr>
          <w:bottom w:val="single" w:color="FFFFFF" w:sz="4" w:space="31"/>
        </w:pBdr>
        <w:tabs>
          <w:tab w:val="left" w:pos="1440"/>
        </w:tabs>
        <w:kinsoku/>
        <w:wordWrap/>
        <w:overflowPunct/>
        <w:topLinePunct w:val="0"/>
        <w:autoSpaceDE/>
        <w:autoSpaceDN/>
        <w:bidi w:val="0"/>
        <w:adjustRightInd/>
        <w:snapToGrid/>
        <w:spacing w:line="540" w:lineRule="exact"/>
        <w:ind w:firstLine="643" w:firstLineChars="200"/>
        <w:textAlignment w:val="auto"/>
        <w:outlineLvl w:val="1"/>
        <w:rPr>
          <w:rFonts w:hint="eastAsia" w:ascii="楷体_GB2312" w:eastAsia="楷体_GB2312"/>
          <w:b/>
          <w:sz w:val="32"/>
          <w:szCs w:val="32"/>
        </w:rPr>
      </w:pPr>
      <w:bookmarkStart w:id="5" w:name="_Toc8410"/>
      <w:r>
        <w:rPr>
          <w:rFonts w:hint="eastAsia" w:ascii="楷体_GB2312" w:eastAsia="楷体_GB2312"/>
          <w:b/>
          <w:sz w:val="32"/>
          <w:szCs w:val="32"/>
        </w:rPr>
        <w:t>收入预算情况</w:t>
      </w:r>
      <w:bookmarkEnd w:id="5"/>
    </w:p>
    <w:p>
      <w:pPr>
        <w:keepNext w:val="0"/>
        <w:keepLines w:val="0"/>
        <w:pageBreakBefore w:val="0"/>
        <w:numPr>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州委政法委2022年收入预算1318.64万元，其中：一般公共预算拨款收入算1318.64万元，占100%；事业收入0万元，占0%；其他收入0万元，占0%。 </w:t>
      </w:r>
    </w:p>
    <w:p>
      <w:pPr>
        <w:keepNext w:val="0"/>
        <w:keepLines w:val="0"/>
        <w:pageBreakBefore w:val="0"/>
        <w:numPr>
          <w:ilvl w:val="0"/>
          <w:numId w:val="2"/>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3" w:firstLineChars="200"/>
        <w:textAlignment w:val="auto"/>
        <w:outlineLvl w:val="1"/>
        <w:rPr>
          <w:rFonts w:hint="eastAsia" w:ascii="楷体_GB2312" w:eastAsia="楷体_GB2312"/>
          <w:b/>
          <w:sz w:val="32"/>
          <w:szCs w:val="32"/>
        </w:rPr>
      </w:pPr>
      <w:bookmarkStart w:id="6" w:name="_Toc21400"/>
      <w:r>
        <w:rPr>
          <w:rFonts w:hint="eastAsia" w:ascii="楷体_GB2312" w:eastAsia="楷体_GB2312"/>
          <w:b/>
          <w:sz w:val="32"/>
          <w:szCs w:val="32"/>
        </w:rPr>
        <w:t>支出预算情况</w:t>
      </w:r>
      <w:bookmarkEnd w:id="6"/>
    </w:p>
    <w:p>
      <w:pPr>
        <w:keepNext w:val="0"/>
        <w:keepLines w:val="0"/>
        <w:pageBreakBefore w:val="0"/>
        <w:numPr>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州委政法委2022年支出预算1318.64万元，其中：基本支出808.34万元，占61.30%；项目支出510.30万元，占38.70%。</w:t>
      </w:r>
    </w:p>
    <w:p>
      <w:pPr>
        <w:keepNext w:val="0"/>
        <w:keepLines w:val="0"/>
        <w:pageBreakBefore w:val="0"/>
        <w:numPr>
          <w:ilvl w:val="0"/>
          <w:numId w:val="1"/>
        </w:numPr>
        <w:pBdr>
          <w:bottom w:val="single" w:color="FFFFFF" w:sz="4" w:space="31"/>
        </w:pBdr>
        <w:tabs>
          <w:tab w:val="left" w:pos="1440"/>
        </w:tabs>
        <w:kinsoku/>
        <w:wordWrap/>
        <w:overflowPunct/>
        <w:topLinePunct w:val="0"/>
        <w:autoSpaceDE/>
        <w:autoSpaceDN/>
        <w:bidi w:val="0"/>
        <w:adjustRightInd/>
        <w:snapToGrid/>
        <w:spacing w:line="540" w:lineRule="exact"/>
        <w:ind w:left="880" w:leftChars="0" w:hanging="880" w:firstLineChars="0"/>
        <w:textAlignment w:val="auto"/>
        <w:outlineLvl w:val="0"/>
        <w:rPr>
          <w:rFonts w:hint="eastAsia" w:ascii="黑体" w:eastAsia="黑体"/>
          <w:sz w:val="32"/>
          <w:szCs w:val="32"/>
        </w:rPr>
      </w:pPr>
      <w:bookmarkStart w:id="7" w:name="_Toc1165"/>
      <w:r>
        <w:rPr>
          <w:rFonts w:hint="eastAsia" w:ascii="黑体" w:eastAsia="黑体"/>
          <w:sz w:val="32"/>
          <w:szCs w:val="32"/>
        </w:rPr>
        <w:t>财政拨款收支预算情况说明</w:t>
      </w:r>
      <w:bookmarkEnd w:id="7"/>
    </w:p>
    <w:p>
      <w:pPr>
        <w:keepNext w:val="0"/>
        <w:keepLines w:val="0"/>
        <w:pageBreakBefore w:val="0"/>
        <w:numPr>
          <w:numId w:val="0"/>
        </w:numPr>
        <w:pBdr>
          <w:bottom w:val="single" w:color="FFFFFF" w:sz="4" w:space="31"/>
        </w:pBdr>
        <w:tabs>
          <w:tab w:val="left" w:pos="1440"/>
        </w:tabs>
        <w:kinsoku/>
        <w:wordWrap/>
        <w:overflowPunct/>
        <w:topLinePunct w:val="0"/>
        <w:autoSpaceDE/>
        <w:autoSpaceDN/>
        <w:bidi w:val="0"/>
        <w:adjustRightInd/>
        <w:snapToGrid/>
        <w:spacing w:line="540" w:lineRule="exact"/>
        <w:ind w:leftChars="0" w:firstLine="640" w:firstLineChars="200"/>
        <w:textAlignment w:val="auto"/>
        <w:rPr>
          <w:rFonts w:hint="eastAsia" w:ascii="仿宋_GB2312" w:eastAsia="仿宋_GB2312"/>
          <w:sz w:val="32"/>
          <w:szCs w:val="32"/>
        </w:rPr>
      </w:pPr>
      <w:r>
        <w:rPr>
          <w:rFonts w:hint="eastAsia" w:ascii="仿宋_GB2312" w:eastAsia="仿宋_GB2312"/>
          <w:sz w:val="32"/>
          <w:szCs w:val="32"/>
        </w:rPr>
        <w:t>州委政法委2022年财政拨款收入总预算1318.64万元,比2021年财政拨款收支总预算减少253.04万元，主要原因: 人员工资中津贴增加，社会保险缴费、住房公积金等经费增加、财政应返还额度比上年减少较多。收入包括：一般公共预算拨款收入1318.64万元，事业收入0万元，其他收入0万元。支出包括：公共安全支出1118.88万元，社会保障和就业支出92.58万元，卫生健康支出34.25万元，住房保障支出72.93万元。</w:t>
      </w:r>
    </w:p>
    <w:p>
      <w:pPr>
        <w:keepNext w:val="0"/>
        <w:keepLines w:val="0"/>
        <w:pageBreakBefore w:val="0"/>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textAlignment w:val="auto"/>
        <w:outlineLvl w:val="0"/>
        <w:rPr>
          <w:rFonts w:ascii="黑体" w:eastAsia="黑体"/>
          <w:sz w:val="32"/>
          <w:szCs w:val="32"/>
        </w:rPr>
      </w:pPr>
      <w:bookmarkStart w:id="8" w:name="_Toc30034"/>
      <w:r>
        <w:rPr>
          <w:rFonts w:hint="eastAsia" w:ascii="黑体" w:eastAsia="黑体"/>
          <w:sz w:val="32"/>
          <w:szCs w:val="32"/>
        </w:rPr>
        <w:t>五、一般公共预算当年拨款情况说明</w:t>
      </w:r>
      <w:bookmarkEnd w:id="8"/>
    </w:p>
    <w:p>
      <w:pPr>
        <w:keepNext w:val="0"/>
        <w:keepLines w:val="0"/>
        <w:pageBreakBefore w:val="0"/>
        <w:pBdr>
          <w:bottom w:val="single" w:color="FFFFFF" w:sz="4" w:space="31"/>
        </w:pBdr>
        <w:tabs>
          <w:tab w:val="left" w:pos="1440"/>
        </w:tabs>
        <w:kinsoku/>
        <w:wordWrap/>
        <w:overflowPunct/>
        <w:topLinePunct w:val="0"/>
        <w:autoSpaceDE/>
        <w:autoSpaceDN/>
        <w:bidi w:val="0"/>
        <w:adjustRightInd/>
        <w:snapToGrid/>
        <w:spacing w:line="540" w:lineRule="exact"/>
        <w:ind w:firstLine="643" w:firstLineChars="200"/>
        <w:textAlignment w:val="auto"/>
        <w:outlineLvl w:val="1"/>
        <w:rPr>
          <w:rFonts w:hint="eastAsia" w:ascii="楷体_GB2312" w:eastAsia="楷体_GB2312"/>
          <w:b/>
          <w:sz w:val="32"/>
          <w:szCs w:val="32"/>
        </w:rPr>
      </w:pPr>
      <w:bookmarkStart w:id="9" w:name="_Toc14978"/>
      <w:r>
        <w:rPr>
          <w:rFonts w:hint="eastAsia" w:ascii="楷体_GB2312" w:eastAsia="楷体_GB2312"/>
          <w:b/>
          <w:sz w:val="32"/>
          <w:szCs w:val="32"/>
        </w:rPr>
        <w:t>（一）一般公共预算当年拨款规模变化情况</w:t>
      </w:r>
      <w:bookmarkEnd w:id="9"/>
    </w:p>
    <w:p>
      <w:pPr>
        <w:keepNext w:val="0"/>
        <w:keepLines w:val="0"/>
        <w:pageBreakBefore w:val="0"/>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州委政法委2022年财政拨款收入总预算1318.64万元,比2021年财政拨款收支总预算减少253.04万元，主要原因: 人员工资中津贴增加，社会保险缴费、住房公积金等经费增加、财政应返还额度比上年减少较多。</w:t>
      </w:r>
    </w:p>
    <w:p>
      <w:pPr>
        <w:keepNext w:val="0"/>
        <w:keepLines w:val="0"/>
        <w:pageBreakBefore w:val="0"/>
        <w:numPr>
          <w:ilvl w:val="0"/>
          <w:numId w:val="2"/>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3" w:firstLineChars="200"/>
        <w:textAlignment w:val="auto"/>
        <w:outlineLvl w:val="1"/>
        <w:rPr>
          <w:rFonts w:hint="eastAsia" w:ascii="楷体_GB2312" w:eastAsia="楷体_GB2312"/>
          <w:b/>
          <w:sz w:val="32"/>
          <w:szCs w:val="32"/>
        </w:rPr>
      </w:pPr>
      <w:bookmarkStart w:id="10" w:name="_Toc32041"/>
      <w:r>
        <w:rPr>
          <w:rFonts w:hint="eastAsia" w:ascii="楷体_GB2312" w:eastAsia="楷体_GB2312"/>
          <w:b/>
          <w:sz w:val="32"/>
          <w:szCs w:val="32"/>
        </w:rPr>
        <w:t>一般公共预算当年拨款结构情况</w:t>
      </w:r>
      <w:bookmarkEnd w:id="10"/>
    </w:p>
    <w:p>
      <w:pPr>
        <w:keepNext w:val="0"/>
        <w:keepLines w:val="0"/>
        <w:pageBreakBefore w:val="0"/>
        <w:numPr>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公共安全支出1118.88万元，社会保障和就业支出92.58万元，卫生健康支出34.25万元，住房保障支出72.93万元。</w:t>
      </w:r>
    </w:p>
    <w:p>
      <w:pPr>
        <w:keepNext w:val="0"/>
        <w:keepLines w:val="0"/>
        <w:pageBreakBefore w:val="0"/>
        <w:numPr>
          <w:ilvl w:val="0"/>
          <w:numId w:val="2"/>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3" w:firstLineChars="200"/>
        <w:textAlignment w:val="auto"/>
        <w:outlineLvl w:val="1"/>
        <w:rPr>
          <w:rFonts w:hint="eastAsia" w:ascii="楷体_GB2312" w:eastAsia="楷体_GB2312"/>
          <w:b/>
          <w:sz w:val="32"/>
          <w:szCs w:val="32"/>
        </w:rPr>
      </w:pPr>
      <w:bookmarkStart w:id="11" w:name="_Toc13445"/>
      <w:r>
        <w:rPr>
          <w:rFonts w:hint="eastAsia" w:ascii="楷体_GB2312" w:eastAsia="楷体_GB2312"/>
          <w:b/>
          <w:sz w:val="32"/>
          <w:szCs w:val="32"/>
        </w:rPr>
        <w:t>一般公共预算当年拨款具体使用情况</w:t>
      </w:r>
      <w:bookmarkEnd w:id="11"/>
    </w:p>
    <w:p>
      <w:pPr>
        <w:keepNext w:val="0"/>
        <w:keepLines w:val="0"/>
        <w:pageBreakBefore w:val="0"/>
        <w:numPr>
          <w:ilvl w:val="0"/>
          <w:numId w:val="3"/>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社会保障和就业：机关事业单位基本养老保险缴费2022年预算数66.13万元、机关事业单位职业年金缴费2022年预算26.45万元，主要用于职工2022年缴纳养老保险和职业年金。</w:t>
      </w:r>
    </w:p>
    <w:p>
      <w:pPr>
        <w:keepNext w:val="0"/>
        <w:keepLines w:val="0"/>
        <w:pageBreakBefore w:val="0"/>
        <w:numPr>
          <w:ilvl w:val="0"/>
          <w:numId w:val="3"/>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rPr>
        <w:t>卫生健康：行政单位医疗2022年预算数24.37万元、事业单位医疗2022年预算数2.75万元、公务员医疗补助7.13万元，主要用于缴纳2022年职工医疗保险及医疗补助。</w:t>
      </w:r>
      <w:r>
        <w:rPr>
          <w:rFonts w:hint="eastAsia" w:ascii="仿宋_GB2312" w:eastAsia="仿宋_GB2312"/>
          <w:sz w:val="32"/>
          <w:szCs w:val="32"/>
          <w:lang w:val="en-US" w:eastAsia="zh-CN"/>
        </w:rPr>
        <w:t xml:space="preserve">        </w:t>
      </w:r>
    </w:p>
    <w:p>
      <w:pPr>
        <w:keepNext w:val="0"/>
        <w:keepLines w:val="0"/>
        <w:pageBreakBefore w:val="0"/>
        <w:numPr>
          <w:ilvl w:val="0"/>
          <w:numId w:val="3"/>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eastAsia="仿宋_GB2312"/>
          <w:sz w:val="32"/>
          <w:szCs w:val="32"/>
        </w:rPr>
      </w:pPr>
      <w:r>
        <w:rPr>
          <w:rFonts w:hint="eastAsia" w:ascii="仿宋_GB2312" w:eastAsia="仿宋_GB2312"/>
          <w:sz w:val="32"/>
          <w:szCs w:val="32"/>
        </w:rPr>
        <w:t>公共安全：行政运行2022年预算数1068.96万元、事业运行2022年预算数49.92万元，主要为人员工资和商品服务支出。</w:t>
      </w:r>
    </w:p>
    <w:p>
      <w:pPr>
        <w:keepNext w:val="0"/>
        <w:keepLines w:val="0"/>
        <w:pageBreakBefore w:val="0"/>
        <w:numPr>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4．住房保障：住房公积金2022年预算数72.93万元，主要为缴纳职工住房公积金。</w:t>
      </w:r>
    </w:p>
    <w:p>
      <w:pPr>
        <w:keepNext w:val="0"/>
        <w:keepLines w:val="0"/>
        <w:pageBreakBefore w:val="0"/>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textAlignment w:val="auto"/>
        <w:outlineLvl w:val="0"/>
        <w:rPr>
          <w:rFonts w:hint="eastAsia" w:ascii="黑体" w:eastAsia="黑体"/>
          <w:color w:val="000000"/>
          <w:sz w:val="32"/>
          <w:szCs w:val="32"/>
        </w:rPr>
      </w:pPr>
      <w:bookmarkStart w:id="12" w:name="_Toc11947"/>
      <w:r>
        <w:rPr>
          <w:rFonts w:hint="eastAsia" w:ascii="黑体" w:eastAsia="黑体"/>
          <w:color w:val="000000"/>
          <w:sz w:val="32"/>
          <w:szCs w:val="32"/>
        </w:rPr>
        <w:t>六、一般公共预算基本支出情况说明</w:t>
      </w:r>
      <w:bookmarkEnd w:id="12"/>
    </w:p>
    <w:p>
      <w:pPr>
        <w:keepNext w:val="0"/>
        <w:keepLines w:val="0"/>
        <w:pageBreakBefore w:val="0"/>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州委政法委2022年一般公共预算基本支出808.34万元，其中：人员经费640.02万元，主要包括：基本工资、津贴补贴、奖金、其他社会保障缴费、绩效工资、机关事业单位基本养老保险缴费、职业年金缴费、其他工资福利支出、离休费、奖励金、住房公积金、其他对个人和家庭的补助支出。公用经费167.59万元，主要包括：办公费、印刷费、手续费、水费、电费、邮电费、差旅费、维修（护）费、租赁费、会议费、培训费、劳务费、工会经费、福利费、其他交通工具运行维护费、其他商品和服务支出。</w:t>
      </w:r>
    </w:p>
    <w:p>
      <w:pPr>
        <w:keepNext w:val="0"/>
        <w:keepLines w:val="0"/>
        <w:pageBreakBefore w:val="0"/>
        <w:numPr>
          <w:ilvl w:val="0"/>
          <w:numId w:val="4"/>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textAlignment w:val="auto"/>
        <w:outlineLvl w:val="0"/>
        <w:rPr>
          <w:rFonts w:hint="eastAsia" w:ascii="黑体" w:eastAsia="黑体"/>
          <w:sz w:val="32"/>
          <w:szCs w:val="32"/>
        </w:rPr>
      </w:pPr>
      <w:bookmarkStart w:id="13" w:name="_Toc17657"/>
      <w:r>
        <w:rPr>
          <w:rFonts w:hint="eastAsia" w:ascii="黑体" w:eastAsia="黑体"/>
          <w:sz w:val="32"/>
          <w:szCs w:val="32"/>
        </w:rPr>
        <w:t>“三公”经费财政拨款预算安排情况说明</w:t>
      </w:r>
      <w:bookmarkEnd w:id="13"/>
    </w:p>
    <w:p>
      <w:pPr>
        <w:keepNext w:val="0"/>
        <w:keepLines w:val="0"/>
        <w:pageBreakBefore w:val="0"/>
        <w:numPr>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州委政法委2022年“三公”经费财政拨款预算数121.07万元，其中：无因公出国（境）经费，公务接待费2.99万元，公务用车购置及运行维护费118.08万元。 </w:t>
      </w:r>
    </w:p>
    <w:p>
      <w:pPr>
        <w:keepNext w:val="0"/>
        <w:keepLines w:val="0"/>
        <w:pageBreakBefore w:val="0"/>
        <w:numPr>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textAlignment w:val="auto"/>
        <w:outlineLvl w:val="1"/>
        <w:rPr>
          <w:rFonts w:hint="eastAsia" w:ascii="仿宋_GB2312" w:eastAsia="仿宋_GB2312"/>
          <w:sz w:val="32"/>
          <w:szCs w:val="32"/>
        </w:rPr>
      </w:pPr>
      <w:bookmarkStart w:id="14" w:name="_Toc894"/>
      <w:r>
        <w:rPr>
          <w:rFonts w:hint="eastAsia" w:ascii="仿宋_GB2312" w:eastAsia="仿宋_GB2312"/>
          <w:sz w:val="32"/>
          <w:szCs w:val="32"/>
        </w:rPr>
        <w:t>（一）2022年无因公出国（境）经费。</w:t>
      </w:r>
      <w:bookmarkEnd w:id="14"/>
    </w:p>
    <w:p>
      <w:pPr>
        <w:keepNext w:val="0"/>
        <w:keepLines w:val="0"/>
        <w:pageBreakBefore w:val="0"/>
        <w:numPr>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（二）2022年公务接待费2.99万元。比2021年预算经费增加0.19万元，主要原因是：人员工资中津贴增加，社会保险缴费、住房公积金等经费增加。</w:t>
      </w:r>
    </w:p>
    <w:p>
      <w:pPr>
        <w:keepNext w:val="0"/>
        <w:keepLines w:val="0"/>
        <w:pageBreakBefore w:val="0"/>
        <w:numPr>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（三）2022年公务用车购置及运行维护费118.08万元。其中：公务用车大修费8万元，公车运行维护费110.08万元，与2021年相同。</w:t>
      </w:r>
    </w:p>
    <w:p>
      <w:pPr>
        <w:keepNext w:val="0"/>
        <w:keepLines w:val="0"/>
        <w:pageBreakBefore w:val="0"/>
        <w:numPr>
          <w:ilvl w:val="0"/>
          <w:numId w:val="4"/>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textAlignment w:val="auto"/>
        <w:outlineLvl w:val="0"/>
        <w:rPr>
          <w:rFonts w:hint="eastAsia" w:ascii="黑体" w:eastAsia="黑体"/>
          <w:sz w:val="32"/>
          <w:szCs w:val="32"/>
        </w:rPr>
      </w:pPr>
      <w:bookmarkStart w:id="15" w:name="_Toc21649"/>
      <w:r>
        <w:rPr>
          <w:rFonts w:hint="eastAsia" w:ascii="黑体" w:eastAsia="黑体"/>
          <w:sz w:val="32"/>
          <w:szCs w:val="32"/>
        </w:rPr>
        <w:t>政府性基金预算支出情况说明</w:t>
      </w:r>
      <w:bookmarkEnd w:id="15"/>
    </w:p>
    <w:p>
      <w:pPr>
        <w:keepNext w:val="0"/>
        <w:keepLines w:val="0"/>
        <w:pageBreakBefore w:val="0"/>
        <w:numPr>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州委政法委2022年无政府性基金预算支出。 </w:t>
      </w:r>
    </w:p>
    <w:p>
      <w:pPr>
        <w:keepNext w:val="0"/>
        <w:keepLines w:val="0"/>
        <w:pageBreakBefore w:val="0"/>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textAlignment w:val="auto"/>
        <w:outlineLvl w:val="0"/>
        <w:rPr>
          <w:rFonts w:ascii="黑体" w:eastAsia="黑体"/>
          <w:sz w:val="32"/>
          <w:szCs w:val="32"/>
        </w:rPr>
      </w:pPr>
      <w:bookmarkStart w:id="16" w:name="_Toc18595"/>
      <w:r>
        <w:rPr>
          <w:rFonts w:hint="eastAsia" w:ascii="黑体" w:eastAsia="黑体"/>
          <w:sz w:val="32"/>
          <w:szCs w:val="32"/>
        </w:rPr>
        <w:t>九、其他重要事项的情况说明</w:t>
      </w:r>
      <w:bookmarkEnd w:id="16"/>
    </w:p>
    <w:p>
      <w:pPr>
        <w:keepNext w:val="0"/>
        <w:keepLines w:val="0"/>
        <w:pageBreakBefore w:val="0"/>
        <w:pBdr>
          <w:bottom w:val="single" w:color="FFFFFF" w:sz="4" w:space="31"/>
        </w:pBdr>
        <w:tabs>
          <w:tab w:val="left" w:pos="1440"/>
        </w:tabs>
        <w:kinsoku/>
        <w:wordWrap/>
        <w:overflowPunct/>
        <w:topLinePunct w:val="0"/>
        <w:autoSpaceDE/>
        <w:autoSpaceDN/>
        <w:bidi w:val="0"/>
        <w:adjustRightInd/>
        <w:snapToGrid/>
        <w:spacing w:line="540" w:lineRule="exact"/>
        <w:ind w:firstLine="643" w:firstLineChars="200"/>
        <w:textAlignment w:val="auto"/>
        <w:outlineLvl w:val="1"/>
        <w:rPr>
          <w:rFonts w:hint="eastAsia" w:ascii="楷体_GB2312" w:eastAsia="楷体_GB2312"/>
          <w:b/>
          <w:sz w:val="32"/>
          <w:szCs w:val="32"/>
        </w:rPr>
      </w:pPr>
      <w:bookmarkStart w:id="17" w:name="_Toc20220"/>
      <w:r>
        <w:rPr>
          <w:rFonts w:hint="eastAsia" w:ascii="楷体_GB2312" w:eastAsia="楷体_GB2312"/>
          <w:b/>
          <w:sz w:val="32"/>
          <w:szCs w:val="32"/>
        </w:rPr>
        <w:t>（一）机关运行经费</w:t>
      </w:r>
      <w:bookmarkEnd w:id="17"/>
    </w:p>
    <w:p>
      <w:pPr>
        <w:keepNext w:val="0"/>
        <w:keepLines w:val="0"/>
        <w:pageBreakBefore w:val="0"/>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州委政法委2022年机关运行经费财政拨款预算为167.59万元，比2021年预算增加8.31万元，增加5.22%。</w:t>
      </w:r>
    </w:p>
    <w:p>
      <w:pPr>
        <w:keepNext w:val="0"/>
        <w:keepLines w:val="0"/>
        <w:pageBreakBefore w:val="0"/>
        <w:numPr>
          <w:ilvl w:val="0"/>
          <w:numId w:val="5"/>
        </w:numPr>
        <w:pBdr>
          <w:bottom w:val="single" w:color="FFFFFF" w:sz="4" w:space="31"/>
        </w:pBdr>
        <w:tabs>
          <w:tab w:val="left" w:pos="1440"/>
        </w:tabs>
        <w:kinsoku/>
        <w:wordWrap/>
        <w:overflowPunct/>
        <w:topLinePunct w:val="0"/>
        <w:autoSpaceDE/>
        <w:autoSpaceDN/>
        <w:bidi w:val="0"/>
        <w:adjustRightInd/>
        <w:snapToGrid/>
        <w:spacing w:line="540" w:lineRule="exact"/>
        <w:ind w:firstLine="643" w:firstLineChars="200"/>
        <w:textAlignment w:val="auto"/>
        <w:outlineLvl w:val="1"/>
        <w:rPr>
          <w:rFonts w:hint="eastAsia" w:ascii="楷体_GB2312" w:eastAsia="楷体_GB2312"/>
          <w:b/>
          <w:sz w:val="32"/>
          <w:szCs w:val="32"/>
        </w:rPr>
      </w:pPr>
      <w:bookmarkStart w:id="18" w:name="_Toc2807"/>
      <w:r>
        <w:rPr>
          <w:rFonts w:hint="eastAsia" w:ascii="楷体_GB2312" w:eastAsia="楷体_GB2312"/>
          <w:b/>
          <w:sz w:val="32"/>
          <w:szCs w:val="32"/>
        </w:rPr>
        <w:t>政府采购情况</w:t>
      </w:r>
      <w:bookmarkEnd w:id="18"/>
    </w:p>
    <w:p>
      <w:pPr>
        <w:keepNext w:val="0"/>
        <w:keepLines w:val="0"/>
        <w:pageBreakBefore w:val="0"/>
        <w:numPr>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2022年州委政法委安排政府采购预算236.30万元，主要用于：州综治中心信息化建设购买服务、公务用车大修。</w:t>
      </w:r>
    </w:p>
    <w:p>
      <w:pPr>
        <w:keepNext w:val="0"/>
        <w:keepLines w:val="0"/>
        <w:pageBreakBefore w:val="0"/>
        <w:pBdr>
          <w:bottom w:val="single" w:color="FFFFFF" w:sz="4" w:space="31"/>
        </w:pBdr>
        <w:tabs>
          <w:tab w:val="left" w:pos="1440"/>
        </w:tabs>
        <w:kinsoku/>
        <w:wordWrap/>
        <w:overflowPunct/>
        <w:topLinePunct w:val="0"/>
        <w:autoSpaceDE/>
        <w:autoSpaceDN/>
        <w:bidi w:val="0"/>
        <w:adjustRightInd/>
        <w:snapToGrid/>
        <w:spacing w:line="540" w:lineRule="exact"/>
        <w:ind w:firstLine="643" w:firstLineChars="200"/>
        <w:textAlignment w:val="auto"/>
        <w:outlineLvl w:val="1"/>
        <w:rPr>
          <w:rFonts w:ascii="楷体_GB2312" w:eastAsia="楷体_GB2312"/>
          <w:b/>
          <w:sz w:val="32"/>
          <w:szCs w:val="32"/>
        </w:rPr>
      </w:pPr>
      <w:bookmarkStart w:id="19" w:name="_Toc17892"/>
      <w:r>
        <w:rPr>
          <w:rFonts w:hint="eastAsia" w:ascii="楷体_GB2312" w:eastAsia="楷体_GB2312"/>
          <w:b/>
          <w:sz w:val="32"/>
          <w:szCs w:val="32"/>
        </w:rPr>
        <w:t>（三）国有资产占有使用情况</w:t>
      </w:r>
      <w:bookmarkEnd w:id="19"/>
    </w:p>
    <w:p>
      <w:pPr>
        <w:keepNext w:val="0"/>
        <w:keepLines w:val="0"/>
        <w:pageBreakBefore w:val="0"/>
        <w:kinsoku/>
        <w:wordWrap/>
        <w:overflowPunct/>
        <w:topLinePunct w:val="0"/>
        <w:autoSpaceDE/>
        <w:autoSpaceDN/>
        <w:bidi w:val="0"/>
        <w:adjustRightInd/>
        <w:snapToGrid/>
        <w:spacing w:line="540" w:lineRule="exact"/>
        <w:ind w:firstLine="555"/>
        <w:textAlignment w:val="auto"/>
        <w:rPr>
          <w:rFonts w:hint="eastAsia" w:ascii="仿宋_GB2312" w:eastAsia="仿宋_GB2312"/>
          <w:sz w:val="32"/>
          <w:szCs w:val="32"/>
        </w:rPr>
      </w:pPr>
      <w:r>
        <w:rPr>
          <w:rFonts w:hint="eastAsia" w:ascii="仿宋_GB2312" w:eastAsia="仿宋_GB2312"/>
          <w:sz w:val="32"/>
          <w:szCs w:val="32"/>
        </w:rPr>
        <w:t>固定资产总金额793.47万元。</w:t>
      </w:r>
    </w:p>
    <w:p>
      <w:pPr>
        <w:keepNext w:val="0"/>
        <w:keepLines w:val="0"/>
        <w:pageBreakBefore w:val="0"/>
        <w:pBdr>
          <w:bottom w:val="single" w:color="FFFFFF" w:sz="4" w:space="31"/>
        </w:pBdr>
        <w:tabs>
          <w:tab w:val="left" w:pos="1440"/>
        </w:tabs>
        <w:kinsoku/>
        <w:wordWrap/>
        <w:overflowPunct/>
        <w:topLinePunct w:val="0"/>
        <w:autoSpaceDE/>
        <w:autoSpaceDN/>
        <w:bidi w:val="0"/>
        <w:adjustRightInd/>
        <w:snapToGrid/>
        <w:spacing w:line="540" w:lineRule="exact"/>
        <w:ind w:firstLine="643" w:firstLineChars="200"/>
        <w:textAlignment w:val="auto"/>
        <w:outlineLvl w:val="1"/>
        <w:rPr>
          <w:rFonts w:ascii="楷体_GB2312" w:eastAsia="楷体_GB2312"/>
          <w:b/>
          <w:sz w:val="32"/>
          <w:szCs w:val="32"/>
        </w:rPr>
      </w:pPr>
      <w:bookmarkStart w:id="20" w:name="_Toc29876"/>
      <w:r>
        <w:rPr>
          <w:rFonts w:hint="eastAsia" w:ascii="楷体_GB2312" w:eastAsia="楷体_GB2312"/>
          <w:b/>
          <w:sz w:val="32"/>
          <w:szCs w:val="32"/>
        </w:rPr>
        <w:t>（四）绩效目标设置情况</w:t>
      </w:r>
      <w:bookmarkEnd w:id="20"/>
    </w:p>
    <w:p>
      <w:pPr>
        <w:keepNext w:val="0"/>
        <w:keepLines w:val="0"/>
        <w:pageBreakBefore w:val="0"/>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textAlignment w:val="auto"/>
        <w:rPr>
          <w:rFonts w:eastAsia="方正仿宋_GBK"/>
          <w:sz w:val="32"/>
          <w:szCs w:val="32"/>
        </w:rPr>
      </w:pPr>
      <w:r>
        <w:rPr>
          <w:rFonts w:hint="eastAsia" w:ascii="仿宋_GB2312" w:eastAsia="仿宋_GB2312"/>
          <w:sz w:val="32"/>
          <w:szCs w:val="32"/>
        </w:rPr>
        <w:t>2022年州委政法委通用项目和专用项目均按要求实行绩效目标管理，涉及一般公共预算当年拨款510.30万元。</w:t>
      </w:r>
    </w:p>
    <w:p>
      <w:pPr>
        <w:keepNext w:val="0"/>
        <w:keepLines w:val="0"/>
        <w:pageBreakBefore w:val="0"/>
        <w:numPr>
          <w:ilvl w:val="0"/>
          <w:numId w:val="4"/>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textAlignment w:val="auto"/>
        <w:outlineLvl w:val="0"/>
        <w:rPr>
          <w:rFonts w:hint="eastAsia" w:ascii="黑体" w:eastAsia="黑体"/>
          <w:sz w:val="32"/>
          <w:szCs w:val="32"/>
        </w:rPr>
      </w:pPr>
      <w:bookmarkStart w:id="21" w:name="_Toc1260"/>
      <w:r>
        <w:rPr>
          <w:rFonts w:hint="eastAsia" w:ascii="黑体" w:eastAsia="黑体"/>
          <w:sz w:val="32"/>
          <w:szCs w:val="32"/>
        </w:rPr>
        <w:t>名词解释</w:t>
      </w:r>
      <w:bookmarkEnd w:id="21"/>
    </w:p>
    <w:p>
      <w:pPr>
        <w:keepNext w:val="0"/>
        <w:keepLines w:val="0"/>
        <w:pageBreakBefore w:val="0"/>
        <w:numPr>
          <w:ilvl w:val="0"/>
          <w:numId w:val="6"/>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财政拨款收入：指由财政拨款形成的部门收入。按现行管理制度，部门预算中反映的财政拨款仅包括一般公共预算拨款和政府性基金预算拨款。</w:t>
      </w:r>
    </w:p>
    <w:p>
      <w:pPr>
        <w:keepNext w:val="0"/>
        <w:keepLines w:val="0"/>
        <w:pageBreakBefore w:val="0"/>
        <w:numPr>
          <w:ilvl w:val="0"/>
          <w:numId w:val="6"/>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eastAsia="仿宋_GB2312"/>
          <w:sz w:val="32"/>
          <w:szCs w:val="32"/>
        </w:rPr>
      </w:pPr>
      <w:r>
        <w:rPr>
          <w:rFonts w:hint="eastAsia" w:ascii="仿宋_GB2312" w:eastAsia="仿宋_GB2312"/>
          <w:sz w:val="32"/>
          <w:szCs w:val="32"/>
        </w:rPr>
        <w:t>事业收入：指所属事业单位开展专业业务活动及辅助活动所取得的收入。</w:t>
      </w:r>
    </w:p>
    <w:p>
      <w:pPr>
        <w:keepNext w:val="0"/>
        <w:keepLines w:val="0"/>
        <w:pageBreakBefore w:val="0"/>
        <w:numPr>
          <w:ilvl w:val="0"/>
          <w:numId w:val="6"/>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eastAsia="仿宋_GB2312"/>
          <w:sz w:val="32"/>
          <w:szCs w:val="32"/>
        </w:rPr>
      </w:pPr>
      <w:r>
        <w:rPr>
          <w:rFonts w:hint="eastAsia" w:ascii="仿宋_GB2312" w:eastAsia="仿宋_GB2312"/>
          <w:sz w:val="32"/>
          <w:szCs w:val="32"/>
        </w:rPr>
        <w:t>事业单位经营收入：指所属事业单位在专业业务活动及其辅助活动之外开展非独立核算经营活动取得的收入。</w:t>
      </w:r>
    </w:p>
    <w:p>
      <w:pPr>
        <w:keepNext w:val="0"/>
        <w:keepLines w:val="0"/>
        <w:pageBreakBefore w:val="0"/>
        <w:numPr>
          <w:ilvl w:val="0"/>
          <w:numId w:val="6"/>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eastAsia="仿宋_GB2312"/>
          <w:sz w:val="32"/>
          <w:szCs w:val="32"/>
        </w:rPr>
      </w:pPr>
      <w:r>
        <w:rPr>
          <w:rFonts w:hint="eastAsia" w:ascii="仿宋_GB2312" w:eastAsia="仿宋_GB2312"/>
          <w:sz w:val="32"/>
          <w:szCs w:val="32"/>
        </w:rPr>
        <w:t>其他收入：指除上述“财政拨款收入”、“事业收入”、“事业单位经营收入”等以外的收入，主要是所属行政事业单位按规定动用的售房收入、存款利息收入等。</w:t>
      </w:r>
    </w:p>
    <w:p>
      <w:pPr>
        <w:keepNext w:val="0"/>
        <w:keepLines w:val="0"/>
        <w:pageBreakBefore w:val="0"/>
        <w:numPr>
          <w:ilvl w:val="0"/>
          <w:numId w:val="6"/>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公</w:t>
      </w:r>
      <w:r>
        <w:rPr>
          <w:rFonts w:hint="eastAsia" w:ascii="仿宋_GB2312" w:eastAsia="仿宋_GB2312"/>
          <w:sz w:val="32"/>
          <w:szCs w:val="32"/>
        </w:rPr>
        <w:t>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_GB2312" w:eastAsia="仿宋_GB2312"/>
          <w:sz w:val="32"/>
          <w:szCs w:val="32"/>
          <w:lang w:val="en-US" w:eastAsia="zh-CN"/>
        </w:rPr>
        <w:t xml:space="preserve">   </w:t>
      </w:r>
    </w:p>
    <w:p>
      <w:pPr>
        <w:keepNext w:val="0"/>
        <w:keepLines w:val="0"/>
        <w:pageBreakBefore w:val="0"/>
        <w:numPr>
          <w:ilvl w:val="0"/>
          <w:numId w:val="6"/>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eastAsia="仿宋_GB2312"/>
          <w:sz w:val="32"/>
          <w:szCs w:val="32"/>
        </w:rPr>
      </w:pPr>
      <w:r>
        <w:rPr>
          <w:rFonts w:hint="eastAsia" w:ascii="仿宋_GB2312" w:eastAsia="仿宋_GB2312"/>
          <w:sz w:val="32"/>
          <w:szCs w:val="32"/>
        </w:rPr>
        <w:t>上年结转：指所属行政事业单位以前年度尚未完成、结转至本年按原规定用途继续使用的资金和以前年度已完成项目剩余资金经批准用于新用途使用的资金。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napToGrid/>
        <w:spacing w:line="540" w:lineRule="exact"/>
        <w:ind w:firstLine="555"/>
        <w:textAlignment w:val="auto"/>
        <w:rPr>
          <w:rFonts w:hint="eastAsia" w:ascii="仿宋_GB2312" w:eastAsia="仿宋_GB2312"/>
          <w:sz w:val="32"/>
          <w:szCs w:val="32"/>
        </w:rPr>
      </w:pPr>
      <w:r>
        <w:rPr>
          <w:rFonts w:hint="eastAsia" w:ascii="仿宋_GB2312" w:eastAsia="仿宋_GB2312"/>
          <w:sz w:val="32"/>
          <w:szCs w:val="32"/>
        </w:rPr>
        <w:t>附件：州委政法委2022年部门预算公开表</w:t>
      </w:r>
    </w:p>
    <w:p>
      <w:pPr>
        <w:keepNext w:val="0"/>
        <w:keepLines w:val="0"/>
        <w:pageBreakBefore w:val="0"/>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textAlignment w:val="auto"/>
        <w:rPr>
          <w:rFonts w:eastAsia="方正仿宋_GBK"/>
          <w:sz w:val="32"/>
          <w:szCs w:val="32"/>
        </w:rPr>
      </w:pPr>
    </w:p>
    <w:p>
      <w:pPr>
        <w:keepNext w:val="0"/>
        <w:keepLines w:val="0"/>
        <w:pageBreakBefore w:val="0"/>
        <w:kinsoku/>
        <w:wordWrap/>
        <w:overflowPunct/>
        <w:topLinePunct w:val="0"/>
        <w:autoSpaceDE/>
        <w:autoSpaceDN/>
        <w:bidi w:val="0"/>
        <w:adjustRightInd/>
        <w:snapToGrid/>
        <w:spacing w:line="540" w:lineRule="exact"/>
        <w:ind w:firstLine="555"/>
        <w:jc w:val="right"/>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adjustRightInd/>
        <w:snapToGrid/>
        <w:spacing w:line="540" w:lineRule="exact"/>
        <w:ind w:firstLine="555"/>
        <w:jc w:val="right"/>
        <w:textAlignment w:val="auto"/>
        <w:rPr>
          <w:rFonts w:hint="eastAsia" w:ascii="仿宋_GB2312" w:eastAsia="仿宋_GB2312"/>
          <w:sz w:val="32"/>
          <w:szCs w:val="32"/>
        </w:rPr>
      </w:pPr>
      <w:r>
        <w:rPr>
          <w:rFonts w:hint="eastAsia" w:ascii="仿宋_GB2312" w:eastAsia="仿宋_GB2312"/>
          <w:sz w:val="32"/>
          <w:szCs w:val="32"/>
        </w:rPr>
        <w:t>中共阿坝州委政法委员会</w:t>
      </w:r>
    </w:p>
    <w:p>
      <w:pPr>
        <w:keepNext w:val="0"/>
        <w:keepLines w:val="0"/>
        <w:pageBreakBefore w:val="0"/>
        <w:kinsoku/>
        <w:wordWrap/>
        <w:overflowPunct/>
        <w:topLinePunct w:val="0"/>
        <w:autoSpaceDE/>
        <w:autoSpaceDN/>
        <w:bidi w:val="0"/>
        <w:adjustRightInd/>
        <w:snapToGrid/>
        <w:spacing w:line="540" w:lineRule="exact"/>
        <w:ind w:firstLine="555"/>
        <w:jc w:val="center"/>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2022年1月26日</w:t>
      </w:r>
    </w:p>
    <w:p>
      <w:pPr>
        <w:pStyle w:val="10"/>
        <w:keepNext w:val="0"/>
        <w:keepLines w:val="0"/>
        <w:pageBreakBefore w:val="0"/>
        <w:kinsoku/>
        <w:wordWrap/>
        <w:overflowPunct/>
        <w:topLinePunct w:val="0"/>
        <w:autoSpaceDE/>
        <w:autoSpaceDN/>
        <w:bidi w:val="0"/>
        <w:adjustRightInd/>
        <w:snapToGrid/>
        <w:spacing w:before="0" w:line="540" w:lineRule="exact"/>
        <w:textAlignment w:val="auto"/>
      </w:pPr>
    </w:p>
    <w:sectPr>
      <w:footerReference r:id="rId3" w:type="default"/>
      <w:footerReference r:id="rId4" w:type="even"/>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2</w:t>
    </w:r>
    <w:r>
      <w:rPr>
        <w:rStyle w:val="6"/>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27472B"/>
    <w:multiLevelType w:val="singleLevel"/>
    <w:tmpl w:val="E027472B"/>
    <w:lvl w:ilvl="0" w:tentative="0">
      <w:start w:val="7"/>
      <w:numFmt w:val="chineseCounting"/>
      <w:suff w:val="nothing"/>
      <w:lvlText w:val="%1、"/>
      <w:lvlJc w:val="left"/>
      <w:rPr>
        <w:rFonts w:hint="eastAsia"/>
      </w:rPr>
    </w:lvl>
  </w:abstractNum>
  <w:abstractNum w:abstractNumId="1">
    <w:nsid w:val="E1722FF4"/>
    <w:multiLevelType w:val="singleLevel"/>
    <w:tmpl w:val="E1722FF4"/>
    <w:lvl w:ilvl="0" w:tentative="0">
      <w:start w:val="1"/>
      <w:numFmt w:val="chineseCounting"/>
      <w:suff w:val="nothing"/>
      <w:lvlText w:val="（%1）"/>
      <w:lvlJc w:val="left"/>
      <w:rPr>
        <w:rFonts w:hint="eastAsia"/>
      </w:rPr>
    </w:lvl>
  </w:abstractNum>
  <w:abstractNum w:abstractNumId="2">
    <w:nsid w:val="28F27FE7"/>
    <w:multiLevelType w:val="multilevel"/>
    <w:tmpl w:val="28F27FE7"/>
    <w:lvl w:ilvl="0" w:tentative="0">
      <w:start w:val="1"/>
      <w:numFmt w:val="japaneseCounting"/>
      <w:lvlText w:val="%1、"/>
      <w:lvlJc w:val="left"/>
      <w:pPr>
        <w:ind w:left="880" w:hanging="88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49C81698"/>
    <w:multiLevelType w:val="singleLevel"/>
    <w:tmpl w:val="49C81698"/>
    <w:lvl w:ilvl="0" w:tentative="0">
      <w:start w:val="1"/>
      <w:numFmt w:val="chineseCounting"/>
      <w:suff w:val="nothing"/>
      <w:lvlText w:val="（%1）"/>
      <w:lvlJc w:val="left"/>
      <w:rPr>
        <w:rFonts w:hint="eastAsia"/>
      </w:rPr>
    </w:lvl>
  </w:abstractNum>
  <w:abstractNum w:abstractNumId="4">
    <w:nsid w:val="568C7D70"/>
    <w:multiLevelType w:val="singleLevel"/>
    <w:tmpl w:val="568C7D70"/>
    <w:lvl w:ilvl="0" w:tentative="0">
      <w:start w:val="2"/>
      <w:numFmt w:val="chineseCounting"/>
      <w:suff w:val="nothing"/>
      <w:lvlText w:val="（%1）"/>
      <w:lvlJc w:val="left"/>
      <w:rPr>
        <w:rFonts w:hint="eastAsia"/>
      </w:rPr>
    </w:lvl>
  </w:abstractNum>
  <w:abstractNum w:abstractNumId="5">
    <w:nsid w:val="702DA5E1"/>
    <w:multiLevelType w:val="singleLevel"/>
    <w:tmpl w:val="702DA5E1"/>
    <w:lvl w:ilvl="0" w:tentative="0">
      <w:start w:val="1"/>
      <w:numFmt w:val="decimal"/>
      <w:suff w:val="nothing"/>
      <w:lvlText w:val="%1．"/>
      <w:lvlJc w:val="left"/>
    </w:lvl>
  </w:abstractNum>
  <w:num w:numId="1">
    <w:abstractNumId w:val="2"/>
  </w:num>
  <w:num w:numId="2">
    <w:abstractNumId w:val="1"/>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QxMTVhMzA0ZmI5MzE0ZTQ4Njg5NWUwM2ZhMTJkY2QifQ=="/>
  </w:docVars>
  <w:rsids>
    <w:rsidRoot w:val="00352854"/>
    <w:rsid w:val="00012915"/>
    <w:rsid w:val="00031C86"/>
    <w:rsid w:val="000443BB"/>
    <w:rsid w:val="00063AD1"/>
    <w:rsid w:val="00085137"/>
    <w:rsid w:val="000A3686"/>
    <w:rsid w:val="000B4355"/>
    <w:rsid w:val="000B71F8"/>
    <w:rsid w:val="000C7961"/>
    <w:rsid w:val="000E44FB"/>
    <w:rsid w:val="00104B69"/>
    <w:rsid w:val="00105A77"/>
    <w:rsid w:val="00136BB4"/>
    <w:rsid w:val="00166005"/>
    <w:rsid w:val="001777E8"/>
    <w:rsid w:val="001A3C99"/>
    <w:rsid w:val="001A73DC"/>
    <w:rsid w:val="001D5B8E"/>
    <w:rsid w:val="001E0B73"/>
    <w:rsid w:val="001F7E22"/>
    <w:rsid w:val="00201602"/>
    <w:rsid w:val="002032F9"/>
    <w:rsid w:val="00213B32"/>
    <w:rsid w:val="00225D81"/>
    <w:rsid w:val="002267B3"/>
    <w:rsid w:val="0022736E"/>
    <w:rsid w:val="00250DCC"/>
    <w:rsid w:val="00252219"/>
    <w:rsid w:val="00252B81"/>
    <w:rsid w:val="00260082"/>
    <w:rsid w:val="00267418"/>
    <w:rsid w:val="002B19D9"/>
    <w:rsid w:val="002C5DCE"/>
    <w:rsid w:val="00300E84"/>
    <w:rsid w:val="003171B0"/>
    <w:rsid w:val="003320A6"/>
    <w:rsid w:val="00335497"/>
    <w:rsid w:val="00347A2B"/>
    <w:rsid w:val="00352854"/>
    <w:rsid w:val="00357C3A"/>
    <w:rsid w:val="0036208E"/>
    <w:rsid w:val="00362B30"/>
    <w:rsid w:val="003644B3"/>
    <w:rsid w:val="003762A5"/>
    <w:rsid w:val="003969A7"/>
    <w:rsid w:val="003A7201"/>
    <w:rsid w:val="003B1C9E"/>
    <w:rsid w:val="003C3771"/>
    <w:rsid w:val="003C4088"/>
    <w:rsid w:val="003D31DD"/>
    <w:rsid w:val="003D6041"/>
    <w:rsid w:val="003E2F44"/>
    <w:rsid w:val="003F048A"/>
    <w:rsid w:val="003F54B3"/>
    <w:rsid w:val="003F7CF3"/>
    <w:rsid w:val="0040609E"/>
    <w:rsid w:val="004259F6"/>
    <w:rsid w:val="004350A3"/>
    <w:rsid w:val="00435E4F"/>
    <w:rsid w:val="00444B47"/>
    <w:rsid w:val="004455CB"/>
    <w:rsid w:val="0045126A"/>
    <w:rsid w:val="00472143"/>
    <w:rsid w:val="00486DF7"/>
    <w:rsid w:val="004A3856"/>
    <w:rsid w:val="004A4D38"/>
    <w:rsid w:val="004E4E5C"/>
    <w:rsid w:val="004E6736"/>
    <w:rsid w:val="005067EE"/>
    <w:rsid w:val="005226EB"/>
    <w:rsid w:val="00535D0A"/>
    <w:rsid w:val="00546B0E"/>
    <w:rsid w:val="00562810"/>
    <w:rsid w:val="00572C77"/>
    <w:rsid w:val="00591AF3"/>
    <w:rsid w:val="005D3582"/>
    <w:rsid w:val="005D5780"/>
    <w:rsid w:val="005E2CD2"/>
    <w:rsid w:val="005F4E71"/>
    <w:rsid w:val="006069BA"/>
    <w:rsid w:val="00610D41"/>
    <w:rsid w:val="00643E1F"/>
    <w:rsid w:val="00651A0D"/>
    <w:rsid w:val="006626A9"/>
    <w:rsid w:val="00676C15"/>
    <w:rsid w:val="00691F04"/>
    <w:rsid w:val="00696C52"/>
    <w:rsid w:val="006A58B1"/>
    <w:rsid w:val="006B0564"/>
    <w:rsid w:val="006C3152"/>
    <w:rsid w:val="006C6E2F"/>
    <w:rsid w:val="006E31E1"/>
    <w:rsid w:val="007147D5"/>
    <w:rsid w:val="00723D9F"/>
    <w:rsid w:val="007356E2"/>
    <w:rsid w:val="00743C6A"/>
    <w:rsid w:val="007702D5"/>
    <w:rsid w:val="00775155"/>
    <w:rsid w:val="007A059E"/>
    <w:rsid w:val="007B0E81"/>
    <w:rsid w:val="007B2555"/>
    <w:rsid w:val="007B3677"/>
    <w:rsid w:val="007E58A3"/>
    <w:rsid w:val="007F0A18"/>
    <w:rsid w:val="007F3C78"/>
    <w:rsid w:val="007F4AD4"/>
    <w:rsid w:val="00801A1E"/>
    <w:rsid w:val="008416D0"/>
    <w:rsid w:val="00844680"/>
    <w:rsid w:val="00863119"/>
    <w:rsid w:val="00870C60"/>
    <w:rsid w:val="00871E22"/>
    <w:rsid w:val="008955B8"/>
    <w:rsid w:val="008F5DCC"/>
    <w:rsid w:val="008F63EB"/>
    <w:rsid w:val="00921354"/>
    <w:rsid w:val="0092171E"/>
    <w:rsid w:val="00924504"/>
    <w:rsid w:val="00944D16"/>
    <w:rsid w:val="009463E4"/>
    <w:rsid w:val="00952F93"/>
    <w:rsid w:val="00985BB9"/>
    <w:rsid w:val="00985F79"/>
    <w:rsid w:val="00987B5A"/>
    <w:rsid w:val="009903CB"/>
    <w:rsid w:val="009918A6"/>
    <w:rsid w:val="0099515C"/>
    <w:rsid w:val="009A4274"/>
    <w:rsid w:val="009A7D75"/>
    <w:rsid w:val="009E35B1"/>
    <w:rsid w:val="009E37A3"/>
    <w:rsid w:val="009E47BA"/>
    <w:rsid w:val="009F66E5"/>
    <w:rsid w:val="00A144F8"/>
    <w:rsid w:val="00A24DD2"/>
    <w:rsid w:val="00A37502"/>
    <w:rsid w:val="00A563D3"/>
    <w:rsid w:val="00A86C12"/>
    <w:rsid w:val="00AA34A1"/>
    <w:rsid w:val="00AA5394"/>
    <w:rsid w:val="00AC7E82"/>
    <w:rsid w:val="00AD4E10"/>
    <w:rsid w:val="00AD7148"/>
    <w:rsid w:val="00AE4D23"/>
    <w:rsid w:val="00AE7824"/>
    <w:rsid w:val="00B0408F"/>
    <w:rsid w:val="00B13903"/>
    <w:rsid w:val="00B37B6D"/>
    <w:rsid w:val="00B76696"/>
    <w:rsid w:val="00B83DAE"/>
    <w:rsid w:val="00BA45E4"/>
    <w:rsid w:val="00BD4731"/>
    <w:rsid w:val="00BE69EA"/>
    <w:rsid w:val="00BE7EAE"/>
    <w:rsid w:val="00C0348B"/>
    <w:rsid w:val="00C03DD8"/>
    <w:rsid w:val="00C07B51"/>
    <w:rsid w:val="00C24AE8"/>
    <w:rsid w:val="00C451EA"/>
    <w:rsid w:val="00C57606"/>
    <w:rsid w:val="00C8183B"/>
    <w:rsid w:val="00CB1880"/>
    <w:rsid w:val="00CE5E3F"/>
    <w:rsid w:val="00CF1564"/>
    <w:rsid w:val="00D00CF2"/>
    <w:rsid w:val="00D06278"/>
    <w:rsid w:val="00D31775"/>
    <w:rsid w:val="00D33F1B"/>
    <w:rsid w:val="00D42CB5"/>
    <w:rsid w:val="00D47E1C"/>
    <w:rsid w:val="00D55841"/>
    <w:rsid w:val="00D832E6"/>
    <w:rsid w:val="00DB2368"/>
    <w:rsid w:val="00DB3BA5"/>
    <w:rsid w:val="00DB7E8D"/>
    <w:rsid w:val="00DC4472"/>
    <w:rsid w:val="00E078C8"/>
    <w:rsid w:val="00E55EAF"/>
    <w:rsid w:val="00E724D3"/>
    <w:rsid w:val="00E7256C"/>
    <w:rsid w:val="00E74583"/>
    <w:rsid w:val="00E7775B"/>
    <w:rsid w:val="00E91140"/>
    <w:rsid w:val="00EA6097"/>
    <w:rsid w:val="00EB1F50"/>
    <w:rsid w:val="00EB66B8"/>
    <w:rsid w:val="00EF530E"/>
    <w:rsid w:val="00F03195"/>
    <w:rsid w:val="00F22CB0"/>
    <w:rsid w:val="00F33032"/>
    <w:rsid w:val="00F50DCC"/>
    <w:rsid w:val="00F743F0"/>
    <w:rsid w:val="00F74FAD"/>
    <w:rsid w:val="00F80C32"/>
    <w:rsid w:val="00F9639F"/>
    <w:rsid w:val="00FD62F3"/>
    <w:rsid w:val="00FE316B"/>
    <w:rsid w:val="00FE45FF"/>
    <w:rsid w:val="00FF11B9"/>
    <w:rsid w:val="11823EC9"/>
    <w:rsid w:val="1398435F"/>
    <w:rsid w:val="156C55BC"/>
    <w:rsid w:val="16414AC9"/>
    <w:rsid w:val="1BD05FAD"/>
    <w:rsid w:val="1DDC1AE1"/>
    <w:rsid w:val="4A011AA3"/>
    <w:rsid w:val="4CC13400"/>
    <w:rsid w:val="5B3A093D"/>
    <w:rsid w:val="5E766130"/>
    <w:rsid w:val="61BC3E5A"/>
    <w:rsid w:val="669C06FE"/>
    <w:rsid w:val="69126A56"/>
    <w:rsid w:val="69BA15C7"/>
    <w:rsid w:val="76856858"/>
  </w:rsids>
  <m:mathPr>
    <m:mathFont m:val="Cambria Math"/>
    <m:brkBin m:val="before"/>
    <m:brkBinSub m:val="--"/>
    <m:smallFrac m:val="0"/>
    <m:dispDef/>
    <m:lMargin m:val="0"/>
    <m:rMargin m:val="0"/>
    <m:defJc m:val="centerGroup"/>
    <m:wrapIndent m:val="1440"/>
    <m:intLim m:val="subSup"/>
    <m:naryLim m:val="undOvr"/>
  </m:mathPr>
  <w:attachedSchema w:val="Tencent"/>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iPriority w:val="99"/>
    <w:pPr>
      <w:tabs>
        <w:tab w:val="center" w:pos="4153"/>
        <w:tab w:val="right" w:pos="8306"/>
      </w:tabs>
      <w:snapToGrid w:val="0"/>
      <w:jc w:val="left"/>
    </w:pPr>
    <w:rPr>
      <w:sz w:val="18"/>
      <w:szCs w:val="18"/>
    </w:rPr>
  </w:style>
  <w:style w:type="paragraph" w:styleId="3">
    <w:name w:val="header"/>
    <w:basedOn w:val="1"/>
    <w:link w:val="8"/>
    <w:semiHidden/>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99"/>
    <w:rPr>
      <w:rFonts w:cs="Times New Roman"/>
    </w:rPr>
  </w:style>
  <w:style w:type="character" w:styleId="7">
    <w:name w:val="Emphasis"/>
    <w:basedOn w:val="5"/>
    <w:qFormat/>
    <w:uiPriority w:val="99"/>
    <w:rPr>
      <w:rFonts w:cs="Times New Roman"/>
    </w:rPr>
  </w:style>
  <w:style w:type="character" w:customStyle="1" w:styleId="8">
    <w:name w:val="页眉 Char"/>
    <w:basedOn w:val="5"/>
    <w:link w:val="3"/>
    <w:semiHidden/>
    <w:locked/>
    <w:uiPriority w:val="99"/>
    <w:rPr>
      <w:rFonts w:cs="Times New Roman"/>
      <w:sz w:val="18"/>
      <w:szCs w:val="18"/>
    </w:rPr>
  </w:style>
  <w:style w:type="character" w:customStyle="1" w:styleId="9">
    <w:name w:val="页脚 Char"/>
    <w:basedOn w:val="5"/>
    <w:link w:val="2"/>
    <w:semiHidden/>
    <w:qFormat/>
    <w:locked/>
    <w:uiPriority w:val="99"/>
    <w:rPr>
      <w:rFonts w:cs="Times New Roman"/>
      <w:sz w:val="18"/>
      <w:szCs w:val="18"/>
    </w:rPr>
  </w:style>
  <w:style w:type="paragraph" w:customStyle="1" w:styleId="10">
    <w:name w:val="正文文本1"/>
    <w:basedOn w:val="1"/>
    <w:qFormat/>
    <w:uiPriority w:val="99"/>
    <w:pPr>
      <w:spacing w:before="93"/>
    </w:pPr>
    <w:rPr>
      <w:rFonts w:ascii="仿宋_GB2312" w:hAnsi="仿宋_GB2312" w:eastAsia="仿宋_GB2312"/>
      <w:kern w:val="0"/>
      <w:sz w:val="30"/>
      <w:szCs w:val="20"/>
    </w:rPr>
  </w:style>
  <w:style w:type="character" w:customStyle="1" w:styleId="11">
    <w:name w:val="默认段落字体1"/>
    <w:uiPriority w:val="99"/>
    <w:rPr>
      <w:sz w:val="22"/>
    </w:rPr>
  </w:style>
  <w:style w:type="paragraph" w:styleId="12">
    <w:name w:val="List Paragraph"/>
    <w:basedOn w:val="1"/>
    <w:qFormat/>
    <w:uiPriority w:val="99"/>
    <w:pPr>
      <w:ind w:firstLine="420" w:firstLineChars="200"/>
    </w:pPr>
  </w:style>
  <w:style w:type="paragraph" w:customStyle="1" w:styleId="13">
    <w:name w:val="WPSOffice手动目录 1"/>
    <w:uiPriority w:val="0"/>
    <w:pPr>
      <w:ind w:leftChars="0"/>
    </w:pPr>
    <w:rPr>
      <w:sz w:val="20"/>
      <w:szCs w:val="20"/>
    </w:rPr>
  </w:style>
  <w:style w:type="paragraph" w:customStyle="1" w:styleId="14">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2943</Words>
  <Characters>3308</Characters>
  <Lines>24</Lines>
  <Paragraphs>6</Paragraphs>
  <TotalTime>0</TotalTime>
  <ScaleCrop>false</ScaleCrop>
  <LinksUpToDate>false</LinksUpToDate>
  <CharactersWithSpaces>3354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2022-01-25T12:11:00Z</dcterms:created>
  <dc:creator>薛永萍</dc:creator>
  <cp:lastModifiedBy>Jayk</cp:lastModifiedBy>
  <dcterms:modified xsi:type="dcterms:W3CDTF">2022-10-08T07:39:35Z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C9547161E4D840C7B5FE32E9D3435D78</vt:lpwstr>
  </property>
</Properties>
</file>