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rPr>
      </w:pPr>
    </w:p>
    <w:p>
      <w:pPr>
        <w:rPr>
          <w:rFonts w:ascii="Times New Roman" w:hAnsi="Times New Roman"/>
        </w:rPr>
      </w:pPr>
    </w:p>
    <w:p>
      <w:pPr>
        <w:rPr>
          <w:rFonts w:ascii="Times New Roman" w:hAnsi="Times New Roman"/>
        </w:rPr>
      </w:pPr>
    </w:p>
    <w:p>
      <w:pPr>
        <w:ind w:firstLine="1050" w:firstLineChars="500"/>
        <w:rPr>
          <w:rFonts w:ascii="Times New Roman" w:hAnsi="Times New Roman"/>
        </w:rPr>
      </w:pPr>
    </w:p>
    <w:p>
      <w:pPr>
        <w:ind w:firstLine="1050" w:firstLineChars="500"/>
        <w:rPr>
          <w:rFonts w:ascii="Times New Roman" w:hAnsi="Times New Roman"/>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jc w:val="center"/>
        <w:rPr>
          <w:rFonts w:ascii="Times New Roman" w:hAnsi="Times New Roman" w:eastAsia="方正小标宋_GBK"/>
          <w:sz w:val="44"/>
          <w:szCs w:val="44"/>
        </w:rPr>
      </w:pPr>
      <w:r>
        <w:rPr>
          <w:rFonts w:ascii="Times New Roman" w:hAnsi="Times New Roman" w:eastAsia="方正小标宋_GBK"/>
          <w:sz w:val="44"/>
          <w:szCs w:val="44"/>
        </w:rPr>
        <w:t>中共阿坝州委统战部（州本级）</w:t>
      </w:r>
    </w:p>
    <w:p>
      <w:pPr>
        <w:jc w:val="center"/>
        <w:rPr>
          <w:rFonts w:ascii="Times New Roman" w:hAnsi="Times New Roman" w:eastAsia="方正小标宋_GBK"/>
          <w:sz w:val="44"/>
          <w:szCs w:val="44"/>
        </w:rPr>
      </w:pPr>
      <w:r>
        <w:rPr>
          <w:rFonts w:ascii="Times New Roman" w:hAnsi="Times New Roman" w:eastAsia="方正小标宋_GBK"/>
          <w:sz w:val="44"/>
          <w:szCs w:val="44"/>
        </w:rPr>
        <w:t>2024年预算</w:t>
      </w:r>
    </w:p>
    <w:p>
      <w:pPr>
        <w:ind w:firstLine="1280" w:firstLineChars="400"/>
        <w:rPr>
          <w:rFonts w:ascii="楷体_GB2312" w:eastAsia="楷体_GB2312" w:cs="楷体_GB2312"/>
          <w:sz w:val="32"/>
          <w:szCs w:val="32"/>
        </w:rPr>
      </w:pPr>
    </w:p>
    <w:p>
      <w:pPr>
        <w:jc w:val="center"/>
        <w:rPr>
          <w:rFonts w:ascii="楷体_GB2312" w:eastAsia="楷体_GB2312" w:cs="楷体_GB2312"/>
          <w:sz w:val="32"/>
          <w:szCs w:val="32"/>
        </w:rPr>
      </w:pPr>
    </w:p>
    <w:p>
      <w:pPr>
        <w:jc w:val="center"/>
        <w:rPr>
          <w:rFonts w:ascii="楷体_GB2312" w:eastAsia="楷体_GB2312" w:cs="楷体_GB2312"/>
          <w:sz w:val="32"/>
          <w:szCs w:val="32"/>
        </w:rPr>
      </w:pPr>
    </w:p>
    <w:p>
      <w:pPr>
        <w:jc w:val="center"/>
        <w:rPr>
          <w:rFonts w:ascii="楷体_GB2312" w:eastAsia="楷体_GB2312" w:cs="楷体_GB2312"/>
          <w:sz w:val="32"/>
          <w:szCs w:val="32"/>
        </w:rPr>
      </w:pPr>
    </w:p>
    <w:p>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pPr>
        <w:jc w:val="center"/>
        <w:rPr>
          <w:rFonts w:ascii="Times New Roman" w:hAnsi="Times New Roman" w:eastAsia="楷体_GB2312"/>
          <w:sz w:val="32"/>
          <w:szCs w:val="32"/>
        </w:rPr>
      </w:pPr>
      <w:r>
        <w:rPr>
          <w:rFonts w:ascii="Times New Roman" w:hAnsi="Times New Roman" w:eastAsia="楷体_GB2312"/>
          <w:sz w:val="32"/>
          <w:szCs w:val="32"/>
        </w:rPr>
        <w:t>2024年2月6日</w:t>
      </w:r>
    </w:p>
    <w:p>
      <w:pPr>
        <w:ind w:firstLine="1280" w:firstLineChars="400"/>
        <w:rPr>
          <w:rFonts w:ascii="楷体_GB2312" w:eastAsia="楷体_GB2312" w:cs="楷体_GB2312"/>
          <w:sz w:val="32"/>
          <w:szCs w:val="32"/>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ind w:firstLine="1760" w:firstLineChars="400"/>
        <w:rPr>
          <w:rFonts w:ascii="Times New Roman" w:hAnsi="Times New Roman" w:eastAsia="黑体"/>
          <w:sz w:val="44"/>
          <w:szCs w:val="44"/>
        </w:rPr>
      </w:pPr>
    </w:p>
    <w:p>
      <w:pPr>
        <w:jc w:val="center"/>
        <w:rPr>
          <w:rFonts w:ascii="Times New Roman" w:hAnsi="Times New Roman" w:eastAsia="黑体"/>
          <w:sz w:val="52"/>
          <w:szCs w:val="52"/>
        </w:rPr>
      </w:pPr>
      <w:r>
        <w:rPr>
          <w:rFonts w:ascii="Times New Roman" w:hAnsi="Times New Roman" w:eastAsia="黑体"/>
          <w:sz w:val="52"/>
          <w:szCs w:val="52"/>
        </w:rPr>
        <w:t>目录</w:t>
      </w:r>
    </w:p>
    <w:p>
      <w:pPr>
        <w:ind w:firstLine="3080" w:firstLineChars="700"/>
        <w:rPr>
          <w:rFonts w:ascii="Times New Roman" w:hAnsi="Times New Roman" w:eastAsia="黑体"/>
          <w:sz w:val="44"/>
          <w:szCs w:val="44"/>
        </w:rPr>
      </w:pPr>
    </w:p>
    <w:p>
      <w:pPr>
        <w:pStyle w:val="9"/>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r>
        <w:rPr>
          <w:rFonts w:ascii="Times New Roman" w:hAnsi="Times New Roman" w:eastAsia="仿宋_GB2312"/>
          <w:sz w:val="32"/>
          <w:szCs w:val="32"/>
        </w:rPr>
        <w:t>...........................................................</w:t>
      </w:r>
      <w:r>
        <w:rPr>
          <w:rFonts w:ascii="Times New Roman" w:hAnsi="Times New Roman" w:eastAsia="黑体"/>
          <w:sz w:val="32"/>
          <w:szCs w:val="32"/>
        </w:rPr>
        <w:t>1</w:t>
      </w:r>
    </w:p>
    <w:p>
      <w:pPr>
        <w:rPr>
          <w:rFonts w:ascii="Times New Roman" w:hAnsi="Times New Roman" w:eastAsia="仿宋_GB2312"/>
          <w:sz w:val="32"/>
          <w:szCs w:val="32"/>
        </w:rPr>
      </w:pPr>
      <w:r>
        <w:rPr>
          <w:rFonts w:ascii="Times New Roman" w:hAnsi="Times New Roman" w:eastAsia="仿宋_GB2312"/>
          <w:sz w:val="32"/>
          <w:szCs w:val="32"/>
        </w:rPr>
        <w:t>（一）部门职能简介..................................................................1</w:t>
      </w:r>
    </w:p>
    <w:p>
      <w:pPr>
        <w:rPr>
          <w:rFonts w:ascii="Times New Roman" w:hAnsi="Times New Roman" w:eastAsia="仿宋_GB2312"/>
          <w:sz w:val="32"/>
          <w:szCs w:val="32"/>
        </w:rPr>
      </w:pPr>
      <w:r>
        <w:rPr>
          <w:rFonts w:ascii="Times New Roman" w:hAnsi="Times New Roman" w:eastAsia="仿宋_GB2312"/>
          <w:sz w:val="32"/>
          <w:szCs w:val="32"/>
        </w:rPr>
        <w:t>（二）2024年重点工作..............................................................1</w:t>
      </w:r>
    </w:p>
    <w:p>
      <w:pPr>
        <w:rPr>
          <w:rFonts w:ascii="Times New Roman" w:hAnsi="Times New Roman" w:eastAsia="仿宋_GB2312"/>
          <w:sz w:val="32"/>
          <w:szCs w:val="32"/>
        </w:rPr>
      </w:pPr>
      <w:r>
        <w:rPr>
          <w:rFonts w:ascii="Times New Roman" w:hAnsi="Times New Roman" w:eastAsia="黑体"/>
          <w:sz w:val="32"/>
          <w:szCs w:val="32"/>
        </w:rPr>
        <w:t>二、部门预算单位构成</w:t>
      </w:r>
      <w:r>
        <w:rPr>
          <w:rFonts w:ascii="Times New Roman" w:hAnsi="Times New Roman" w:eastAsia="仿宋_GB2312"/>
          <w:sz w:val="32"/>
          <w:szCs w:val="32"/>
        </w:rPr>
        <w:t>..............................................................1</w:t>
      </w:r>
    </w:p>
    <w:p>
      <w:pPr>
        <w:rPr>
          <w:rFonts w:hint="eastAsia" w:ascii="Times New Roman" w:hAnsi="Times New Roman" w:eastAsia="仿宋_GB2312"/>
          <w:sz w:val="32"/>
          <w:szCs w:val="32"/>
          <w:lang w:val="en-US" w:eastAsia="zh-CN"/>
        </w:rPr>
      </w:pPr>
      <w:r>
        <w:rPr>
          <w:rFonts w:ascii="Times New Roman" w:hAnsi="Times New Roman" w:eastAsia="黑体"/>
          <w:sz w:val="32"/>
          <w:szCs w:val="32"/>
        </w:rPr>
        <w:t>三、收支预算情况说明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1</w:t>
      </w:r>
    </w:p>
    <w:p>
      <w:pPr>
        <w:rPr>
          <w:rFonts w:ascii="Times New Roman" w:hAnsi="Times New Roman" w:eastAsia="仿宋_GB2312"/>
          <w:sz w:val="32"/>
          <w:szCs w:val="32"/>
        </w:rPr>
      </w:pPr>
      <w:r>
        <w:rPr>
          <w:rFonts w:ascii="Times New Roman" w:hAnsi="Times New Roman" w:eastAsia="黑体"/>
          <w:sz w:val="32"/>
          <w:szCs w:val="32"/>
        </w:rPr>
        <w:t>（</w:t>
      </w:r>
      <w:r>
        <w:rPr>
          <w:rFonts w:ascii="Times New Roman" w:hAnsi="Times New Roman" w:eastAsia="仿宋_GB2312"/>
          <w:sz w:val="32"/>
          <w:szCs w:val="32"/>
        </w:rPr>
        <w:t>一）收入预算情况..................................................................2</w:t>
      </w:r>
    </w:p>
    <w:p>
      <w:pPr>
        <w:rPr>
          <w:rFonts w:ascii="Times New Roman" w:hAnsi="Times New Roman" w:eastAsia="黑体"/>
          <w:sz w:val="32"/>
          <w:szCs w:val="32"/>
        </w:rPr>
      </w:pPr>
      <w:r>
        <w:rPr>
          <w:rFonts w:ascii="Times New Roman" w:hAnsi="Times New Roman" w:eastAsia="仿宋_GB2312"/>
          <w:sz w:val="32"/>
          <w:szCs w:val="32"/>
        </w:rPr>
        <w:t>（二）支出预算情况..................................................................2</w:t>
      </w:r>
    </w:p>
    <w:p>
      <w:pPr>
        <w:rPr>
          <w:rFonts w:ascii="Times New Roman" w:hAnsi="Times New Roman" w:eastAsia="黑体"/>
          <w:sz w:val="32"/>
          <w:szCs w:val="32"/>
        </w:rPr>
      </w:pPr>
      <w:r>
        <w:rPr>
          <w:rFonts w:ascii="Times New Roman" w:hAnsi="Times New Roman" w:eastAsia="黑体"/>
          <w:sz w:val="32"/>
          <w:szCs w:val="32"/>
        </w:rPr>
        <w:t>四、财政拨款收支预算情况说明</w:t>
      </w:r>
      <w:r>
        <w:rPr>
          <w:rFonts w:ascii="Times New Roman" w:hAnsi="Times New Roman" w:eastAsia="仿宋_GB2312"/>
          <w:sz w:val="32"/>
          <w:szCs w:val="32"/>
        </w:rPr>
        <w:t>..............................................2</w:t>
      </w:r>
    </w:p>
    <w:p>
      <w:pPr>
        <w:rPr>
          <w:rFonts w:ascii="Times New Roman" w:hAnsi="Times New Roman" w:eastAsia="黑体"/>
          <w:sz w:val="32"/>
          <w:szCs w:val="32"/>
        </w:rPr>
      </w:pPr>
      <w:r>
        <w:rPr>
          <w:rFonts w:ascii="Times New Roman" w:hAnsi="Times New Roman" w:eastAsia="黑体"/>
          <w:sz w:val="32"/>
          <w:szCs w:val="32"/>
        </w:rPr>
        <w:t>五、一般公共预算当年拨款情况说明</w:t>
      </w:r>
      <w:r>
        <w:rPr>
          <w:rFonts w:ascii="Times New Roman" w:hAnsi="Times New Roman" w:eastAsia="仿宋_GB2312"/>
          <w:sz w:val="32"/>
          <w:szCs w:val="32"/>
        </w:rPr>
        <w:t>......................................3</w:t>
      </w:r>
    </w:p>
    <w:p>
      <w:pPr>
        <w:rPr>
          <w:rFonts w:ascii="Times New Roman" w:hAnsi="Times New Roman" w:eastAsia="黑体"/>
          <w:sz w:val="32"/>
          <w:szCs w:val="32"/>
        </w:rPr>
      </w:pPr>
      <w:r>
        <w:rPr>
          <w:rFonts w:ascii="Times New Roman" w:hAnsi="Times New Roman" w:eastAsia="仿宋_GB2312"/>
          <w:sz w:val="32"/>
          <w:szCs w:val="32"/>
        </w:rPr>
        <w:t>（一）一般公共预算当年拨款规模变化情况..........................3</w:t>
      </w:r>
    </w:p>
    <w:p>
      <w:pPr>
        <w:rPr>
          <w:rFonts w:ascii="Times New Roman" w:hAnsi="Times New Roman" w:eastAsia="黑体"/>
          <w:sz w:val="32"/>
          <w:szCs w:val="32"/>
        </w:rPr>
      </w:pPr>
      <w:r>
        <w:rPr>
          <w:rFonts w:ascii="Times New Roman" w:hAnsi="Times New Roman" w:eastAsia="仿宋_GB2312"/>
          <w:sz w:val="32"/>
          <w:szCs w:val="32"/>
        </w:rPr>
        <w:t>（二）一般公共预算当年拨款结构情况..................................3</w:t>
      </w:r>
    </w:p>
    <w:p>
      <w:pPr>
        <w:rPr>
          <w:rFonts w:ascii="Times New Roman" w:hAnsi="Times New Roman" w:eastAsia="黑体"/>
          <w:sz w:val="32"/>
          <w:szCs w:val="32"/>
        </w:rPr>
      </w:pPr>
      <w:r>
        <w:rPr>
          <w:rFonts w:ascii="Times New Roman" w:hAnsi="Times New Roman" w:eastAsia="仿宋_GB2312"/>
          <w:sz w:val="32"/>
          <w:szCs w:val="32"/>
        </w:rPr>
        <w:t>（三）一般公共预算当年拨款具体使用情况..........................3</w:t>
      </w:r>
    </w:p>
    <w:p>
      <w:pPr>
        <w:rPr>
          <w:rFonts w:ascii="Times New Roman" w:hAnsi="Times New Roman" w:eastAsia="黑体"/>
          <w:sz w:val="32"/>
          <w:szCs w:val="32"/>
        </w:rPr>
      </w:pPr>
      <w:r>
        <w:rPr>
          <w:rFonts w:ascii="Times New Roman" w:hAnsi="Times New Roman" w:eastAsia="黑体"/>
          <w:sz w:val="32"/>
          <w:szCs w:val="32"/>
        </w:rPr>
        <w:t>六、一般公共预算基本支出情况说明</w:t>
      </w:r>
      <w:r>
        <w:rPr>
          <w:rFonts w:ascii="Times New Roman" w:hAnsi="Times New Roman" w:eastAsia="仿宋_GB2312"/>
          <w:sz w:val="32"/>
          <w:szCs w:val="32"/>
        </w:rPr>
        <w:t>......................................4</w:t>
      </w:r>
      <w:r>
        <w:rPr>
          <w:rFonts w:ascii="Times New Roman" w:hAnsi="Times New Roman" w:eastAsia="黑体"/>
          <w:sz w:val="32"/>
          <w:szCs w:val="32"/>
        </w:rPr>
        <w:br w:type="textWrapping"/>
      </w:r>
      <w:r>
        <w:rPr>
          <w:rFonts w:ascii="Times New Roman" w:hAnsi="Times New Roman" w:eastAsia="黑体"/>
          <w:sz w:val="32"/>
          <w:szCs w:val="32"/>
        </w:rPr>
        <w:t>七、“三公”经费财政拨款预算安排情况说明</w:t>
      </w:r>
      <w:r>
        <w:rPr>
          <w:rFonts w:ascii="Times New Roman" w:hAnsi="Times New Roman" w:eastAsia="仿宋_GB2312"/>
          <w:sz w:val="32"/>
          <w:szCs w:val="32"/>
        </w:rPr>
        <w:t>...........................4</w:t>
      </w:r>
      <w:r>
        <w:rPr>
          <w:rFonts w:ascii="Times New Roman" w:hAnsi="Times New Roman" w:eastAsia="黑体"/>
          <w:sz w:val="32"/>
          <w:szCs w:val="32"/>
        </w:rPr>
        <w:br w:type="textWrapping"/>
      </w:r>
      <w:r>
        <w:rPr>
          <w:rFonts w:ascii="Times New Roman" w:hAnsi="Times New Roman" w:eastAsia="黑体"/>
          <w:sz w:val="32"/>
          <w:szCs w:val="32"/>
        </w:rPr>
        <w:t>八、政府性基金预算支出情况说明..........................................5</w:t>
      </w:r>
      <w:r>
        <w:rPr>
          <w:rFonts w:ascii="Times New Roman" w:hAnsi="Times New Roman" w:eastAsia="黑体"/>
          <w:sz w:val="32"/>
          <w:szCs w:val="32"/>
        </w:rPr>
        <w:br w:type="textWrapping"/>
      </w:r>
      <w:r>
        <w:rPr>
          <w:rFonts w:ascii="Times New Roman" w:hAnsi="Times New Roman" w:eastAsia="黑体"/>
          <w:sz w:val="32"/>
          <w:szCs w:val="32"/>
        </w:rPr>
        <w:t>九、其他重要事项的情况说明..................................................5</w:t>
      </w:r>
      <w:r>
        <w:rPr>
          <w:rFonts w:ascii="Times New Roman" w:hAnsi="Times New Roman" w:eastAsia="黑体"/>
          <w:sz w:val="32"/>
          <w:szCs w:val="32"/>
        </w:rPr>
        <w:br w:type="textWrapping"/>
      </w:r>
      <w:r>
        <w:rPr>
          <w:rFonts w:ascii="Times New Roman" w:hAnsi="Times New Roman" w:eastAsia="黑体"/>
          <w:sz w:val="32"/>
          <w:szCs w:val="32"/>
        </w:rPr>
        <w:t>十、名称解释...............................................................................6</w:t>
      </w:r>
    </w:p>
    <w:p>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pPr>
        <w:pStyle w:val="9"/>
        <w:rPr>
          <w:rFonts w:ascii="Times New Roman" w:hAnsi="Times New Roman" w:eastAsia="黑体"/>
          <w:sz w:val="32"/>
          <w:szCs w:val="32"/>
        </w:rPr>
        <w:sectPr>
          <w:headerReference r:id="rId3" w:type="default"/>
          <w:pgSz w:w="11906" w:h="16838"/>
          <w:pgMar w:top="1440" w:right="1800" w:bottom="1440" w:left="1800" w:header="851" w:footer="992" w:gutter="0"/>
          <w:pgNumType w:fmt="numberInDash" w:start="1"/>
          <w:cols w:space="720" w:num="1"/>
          <w:docGrid w:type="lines" w:linePitch="312" w:charSpace="0"/>
        </w:sectPr>
      </w:pPr>
    </w:p>
    <w:p>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部门职能简介</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根据文件规定，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（二）2024年重点工作</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涉密（略）。</w:t>
      </w:r>
    </w:p>
    <w:p>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二、部门预算单位构成</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州委统战部（一级预算单位），下设州侨联（二级预算单位）和州佛学院（二级预算单位）。</w:t>
      </w:r>
    </w:p>
    <w:p>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三、收支预算情况说明</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按照综合预算的原则，州委统战部所有收入和支出均纳入部门预算管理。</w:t>
      </w:r>
    </w:p>
    <w:p>
      <w:pPr>
        <w:keepNext w:val="0"/>
        <w:keepLines w:val="0"/>
        <w:pageBreakBefore w:val="0"/>
        <w:kinsoku/>
        <w:wordWrap/>
        <w:overflowPunct/>
        <w:topLinePunct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kern w:val="0"/>
          <w:sz w:val="32"/>
          <w:szCs w:val="32"/>
        </w:rPr>
        <w:t>州委统战部2024年收入预算</w:t>
      </w:r>
      <w:r>
        <w:rPr>
          <w:rFonts w:hint="default" w:ascii="Times New Roman" w:hAnsi="Times New Roman" w:eastAsia="方正仿宋_GBK" w:cs="Times New Roman"/>
          <w:kern w:val="0"/>
          <w:sz w:val="32"/>
          <w:szCs w:val="32"/>
          <w:lang w:val="en-US" w:eastAsia="zh-CN"/>
        </w:rPr>
        <w:t>1189.93</w:t>
      </w:r>
      <w:r>
        <w:rPr>
          <w:rFonts w:hint="default" w:ascii="Times New Roman" w:hAnsi="Times New Roman" w:eastAsia="方正仿宋_GBK" w:cs="Times New Roman"/>
          <w:kern w:val="0"/>
          <w:sz w:val="32"/>
          <w:szCs w:val="32"/>
        </w:rPr>
        <w:t>万</w:t>
      </w:r>
      <w:bookmarkStart w:id="0" w:name="_GoBack"/>
      <w:r>
        <w:rPr>
          <w:rFonts w:hint="default" w:ascii="Times New Roman" w:hAnsi="Times New Roman" w:eastAsia="方正仿宋_GBK" w:cs="Times New Roman"/>
          <w:kern w:val="0"/>
          <w:sz w:val="32"/>
          <w:szCs w:val="32"/>
        </w:rPr>
        <w:t>元</w:t>
      </w:r>
      <w:bookmarkEnd w:id="0"/>
      <w:r>
        <w:rPr>
          <w:rFonts w:hint="default" w:ascii="Times New Roman" w:hAnsi="Times New Roman" w:eastAsia="方正仿宋_GBK" w:cs="Times New Roman"/>
          <w:kern w:val="0"/>
          <w:sz w:val="32"/>
          <w:szCs w:val="32"/>
        </w:rPr>
        <w:t>，其中：上年结转0万元；一般公共预算拨款收入</w:t>
      </w:r>
      <w:r>
        <w:rPr>
          <w:rFonts w:hint="default" w:ascii="Times New Roman" w:hAnsi="Times New Roman" w:eastAsia="方正仿宋_GBK" w:cs="Times New Roman"/>
          <w:kern w:val="0"/>
          <w:sz w:val="32"/>
          <w:szCs w:val="32"/>
          <w:lang w:val="en-US" w:eastAsia="zh-CN"/>
        </w:rPr>
        <w:t>1189.93</w:t>
      </w:r>
      <w:r>
        <w:rPr>
          <w:rFonts w:hint="default" w:ascii="Times New Roman" w:hAnsi="Times New Roman" w:eastAsia="方正仿宋_GBK" w:cs="Times New Roman"/>
          <w:kern w:val="0"/>
          <w:sz w:val="32"/>
          <w:szCs w:val="32"/>
        </w:rPr>
        <w:t>万元，占100%。</w:t>
      </w:r>
    </w:p>
    <w:p>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kern w:val="0"/>
          <w:sz w:val="32"/>
          <w:szCs w:val="32"/>
        </w:rPr>
        <w:t>一般公共服务支出</w:t>
      </w:r>
      <w:r>
        <w:rPr>
          <w:rFonts w:hint="default" w:ascii="Times New Roman" w:hAnsi="Times New Roman" w:eastAsia="方正仿宋_GBK" w:cs="Times New Roman"/>
          <w:kern w:val="0"/>
          <w:sz w:val="32"/>
          <w:szCs w:val="32"/>
          <w:lang w:val="en-US" w:eastAsia="zh-CN"/>
        </w:rPr>
        <w:t>967.14</w:t>
      </w:r>
      <w:r>
        <w:rPr>
          <w:rFonts w:hint="default" w:ascii="Times New Roman" w:hAnsi="Times New Roman" w:eastAsia="方正仿宋_GBK" w:cs="Times New Roman"/>
          <w:kern w:val="0"/>
          <w:sz w:val="32"/>
          <w:szCs w:val="32"/>
        </w:rPr>
        <w:t>万元，社会保障和就业支出120.36万元，卫生健康支出43.76万元，住房保障支出58.67万元。州委统战部2024年收支总预算</w:t>
      </w:r>
      <w:r>
        <w:rPr>
          <w:rFonts w:hint="default" w:ascii="Times New Roman" w:hAnsi="Times New Roman" w:eastAsia="方正仿宋_GBK" w:cs="Times New Roman"/>
          <w:kern w:val="0"/>
          <w:sz w:val="32"/>
          <w:szCs w:val="32"/>
          <w:lang w:val="en-US" w:eastAsia="zh-CN"/>
        </w:rPr>
        <w:t>1189.93</w:t>
      </w:r>
      <w:r>
        <w:rPr>
          <w:rFonts w:hint="default" w:ascii="Times New Roman" w:hAnsi="Times New Roman" w:eastAsia="方正仿宋_GBK" w:cs="Times New Roman"/>
          <w:kern w:val="0"/>
          <w:sz w:val="32"/>
          <w:szCs w:val="32"/>
        </w:rPr>
        <w:t>万元,比2023（1124.57万元）年收支预算总数多</w:t>
      </w:r>
      <w:r>
        <w:rPr>
          <w:rFonts w:hint="default" w:ascii="Times New Roman" w:hAnsi="Times New Roman" w:eastAsia="方正仿宋_GBK" w:cs="Times New Roman"/>
          <w:kern w:val="0"/>
          <w:sz w:val="32"/>
          <w:szCs w:val="32"/>
          <w:lang w:val="en-US" w:eastAsia="zh-CN"/>
        </w:rPr>
        <w:t>65.36</w:t>
      </w:r>
      <w:r>
        <w:rPr>
          <w:rFonts w:hint="default" w:ascii="Times New Roman" w:hAnsi="Times New Roman" w:eastAsia="方正仿宋_GBK" w:cs="Times New Roman"/>
          <w:kern w:val="0"/>
          <w:sz w:val="32"/>
          <w:szCs w:val="32"/>
        </w:rPr>
        <w:t>万元，主要原因:工资福利支出增加,调入公务员1名</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新增1项常规项目经费，2024年办公设备购置经费增加9万元；州台办工作量增加，相应经费增加</w:t>
      </w:r>
      <w:r>
        <w:rPr>
          <w:rFonts w:hint="default" w:ascii="Times New Roman" w:hAnsi="Times New Roman" w:eastAsia="方正仿宋_GBK" w:cs="Times New Roman"/>
          <w:kern w:val="0"/>
          <w:sz w:val="32"/>
          <w:szCs w:val="32"/>
        </w:rPr>
        <w:t>。</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州委统战部2024年支出预算</w:t>
      </w:r>
      <w:r>
        <w:rPr>
          <w:rFonts w:hint="default" w:ascii="Times New Roman" w:hAnsi="Times New Roman" w:eastAsia="方正仿宋_GBK" w:cs="Times New Roman"/>
          <w:kern w:val="0"/>
          <w:sz w:val="32"/>
          <w:szCs w:val="32"/>
          <w:lang w:val="en-US" w:eastAsia="zh-CN"/>
        </w:rPr>
        <w:t>1189.93</w:t>
      </w:r>
      <w:r>
        <w:rPr>
          <w:rFonts w:hint="eastAsia" w:ascii="Times New Roman" w:hAnsi="Times New Roman" w:eastAsia="方正仿宋_GBK" w:cs="Times New Roman"/>
          <w:kern w:val="0"/>
          <w:sz w:val="32"/>
          <w:szCs w:val="32"/>
          <w:lang w:val="en-US" w:eastAsia="zh-CN"/>
        </w:rPr>
        <w:t>万</w:t>
      </w:r>
      <w:r>
        <w:rPr>
          <w:rFonts w:hint="default" w:ascii="Times New Roman" w:hAnsi="Times New Roman" w:eastAsia="方正仿宋_GBK" w:cs="Times New Roman"/>
          <w:kern w:val="0"/>
          <w:sz w:val="32"/>
          <w:szCs w:val="32"/>
        </w:rPr>
        <w:t>元，结转下年支出0万元，共计</w:t>
      </w:r>
      <w:r>
        <w:rPr>
          <w:rFonts w:hint="default" w:ascii="Times New Roman" w:hAnsi="Times New Roman" w:eastAsia="方正仿宋_GBK" w:cs="Times New Roman"/>
          <w:kern w:val="0"/>
          <w:sz w:val="32"/>
          <w:szCs w:val="32"/>
          <w:lang w:val="en-US" w:eastAsia="zh-CN"/>
        </w:rPr>
        <w:t>1189.93</w:t>
      </w:r>
      <w:r>
        <w:rPr>
          <w:rFonts w:hint="default" w:ascii="Times New Roman" w:hAnsi="Times New Roman" w:eastAsia="方正仿宋_GBK" w:cs="Times New Roman"/>
          <w:kern w:val="0"/>
          <w:sz w:val="32"/>
          <w:szCs w:val="32"/>
        </w:rPr>
        <w:t>万元。其中：基本支出947.35万元，占79.</w:t>
      </w:r>
      <w:r>
        <w:rPr>
          <w:rFonts w:hint="default" w:ascii="Times New Roman" w:hAnsi="Times New Roman" w:eastAsia="方正仿宋_GBK" w:cs="Times New Roman"/>
          <w:kern w:val="0"/>
          <w:sz w:val="32"/>
          <w:szCs w:val="32"/>
          <w:lang w:val="en-US" w:eastAsia="zh-CN"/>
        </w:rPr>
        <w:t>61</w:t>
      </w:r>
      <w:r>
        <w:rPr>
          <w:rFonts w:hint="default" w:ascii="Times New Roman" w:hAnsi="Times New Roman" w:eastAsia="方正仿宋_GBK" w:cs="Times New Roman"/>
          <w:kern w:val="0"/>
          <w:sz w:val="32"/>
          <w:szCs w:val="32"/>
        </w:rPr>
        <w:t>%；项目支出</w:t>
      </w:r>
      <w:r>
        <w:rPr>
          <w:rFonts w:hint="default" w:ascii="Times New Roman" w:hAnsi="Times New Roman" w:eastAsia="方正仿宋_GBK" w:cs="Times New Roman"/>
          <w:kern w:val="0"/>
          <w:sz w:val="32"/>
          <w:szCs w:val="32"/>
          <w:lang w:val="en-US" w:eastAsia="zh-CN"/>
        </w:rPr>
        <w:t>242.58</w:t>
      </w:r>
      <w:r>
        <w:rPr>
          <w:rFonts w:hint="default" w:ascii="Times New Roman" w:hAnsi="Times New Roman" w:eastAsia="方正仿宋_GBK" w:cs="Times New Roman"/>
          <w:kern w:val="0"/>
          <w:sz w:val="32"/>
          <w:szCs w:val="32"/>
        </w:rPr>
        <w:t>万元，占20.</w:t>
      </w:r>
      <w:r>
        <w:rPr>
          <w:rFonts w:hint="default" w:ascii="Times New Roman" w:hAnsi="Times New Roman" w:eastAsia="方正仿宋_GBK" w:cs="Times New Roman"/>
          <w:kern w:val="0"/>
          <w:sz w:val="32"/>
          <w:szCs w:val="32"/>
          <w:lang w:val="en-US" w:eastAsia="zh-CN"/>
        </w:rPr>
        <w:t>39</w:t>
      </w:r>
      <w:r>
        <w:rPr>
          <w:rFonts w:hint="default" w:ascii="Times New Roman" w:hAnsi="Times New Roman" w:eastAsia="方正仿宋_GBK" w:cs="Times New Roman"/>
          <w:kern w:val="0"/>
          <w:sz w:val="32"/>
          <w:szCs w:val="32"/>
        </w:rPr>
        <w:t>%。</w:t>
      </w:r>
    </w:p>
    <w:p>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2024年财政拨款收支总预算</w:t>
      </w:r>
      <w:r>
        <w:rPr>
          <w:rFonts w:hint="default" w:ascii="Times New Roman" w:hAnsi="Times New Roman" w:eastAsia="方正仿宋_GBK" w:cs="Times New Roman"/>
          <w:kern w:val="0"/>
          <w:sz w:val="32"/>
          <w:szCs w:val="32"/>
          <w:lang w:val="en-US" w:eastAsia="zh-CN"/>
        </w:rPr>
        <w:t>1189.93</w:t>
      </w:r>
      <w:r>
        <w:rPr>
          <w:rFonts w:hint="default" w:ascii="Times New Roman" w:hAnsi="Times New Roman" w:eastAsia="方正仿宋_GBK" w:cs="Times New Roman"/>
          <w:kern w:val="0"/>
          <w:sz w:val="32"/>
          <w:szCs w:val="32"/>
        </w:rPr>
        <w:t>万元,比2023年财政拨款收支总预算增加</w:t>
      </w:r>
      <w:r>
        <w:rPr>
          <w:rFonts w:hint="default" w:ascii="Times New Roman" w:hAnsi="Times New Roman" w:eastAsia="方正仿宋_GBK" w:cs="Times New Roman"/>
          <w:kern w:val="0"/>
          <w:sz w:val="32"/>
          <w:szCs w:val="32"/>
          <w:lang w:val="en-US" w:eastAsia="zh-CN"/>
        </w:rPr>
        <w:t>65.36</w:t>
      </w:r>
      <w:r>
        <w:rPr>
          <w:rFonts w:hint="default" w:ascii="Times New Roman" w:hAnsi="Times New Roman" w:eastAsia="方正仿宋_GBK" w:cs="Times New Roman"/>
          <w:kern w:val="0"/>
          <w:sz w:val="32"/>
          <w:szCs w:val="32"/>
        </w:rPr>
        <w:t>万元，主要原因:工资福利支出增加,调入公务员1名；新增1项常规项目经费，2024年办公设备购置经费增加</w:t>
      </w:r>
      <w:r>
        <w:rPr>
          <w:rFonts w:hint="default" w:ascii="Times New Roman" w:hAnsi="Times New Roman" w:eastAsia="方正仿宋_GBK" w:cs="Times New Roman"/>
          <w:kern w:val="0"/>
          <w:sz w:val="32"/>
          <w:szCs w:val="32"/>
          <w:lang w:val="en-US" w:eastAsia="zh-CN"/>
        </w:rPr>
        <w:t>9</w:t>
      </w:r>
      <w:r>
        <w:rPr>
          <w:rFonts w:hint="default" w:ascii="Times New Roman" w:hAnsi="Times New Roman" w:eastAsia="方正仿宋_GBK" w:cs="Times New Roman"/>
          <w:kern w:val="0"/>
          <w:sz w:val="32"/>
          <w:szCs w:val="32"/>
        </w:rPr>
        <w:t>万元；州台办</w:t>
      </w:r>
      <w:r>
        <w:rPr>
          <w:rFonts w:hint="default" w:ascii="Times New Roman" w:hAnsi="Times New Roman" w:eastAsia="方正仿宋_GBK" w:cs="Times New Roman"/>
          <w:kern w:val="0"/>
          <w:sz w:val="32"/>
          <w:szCs w:val="32"/>
          <w:lang w:eastAsia="zh-CN"/>
        </w:rPr>
        <w:t>工作量</w:t>
      </w:r>
      <w:r>
        <w:rPr>
          <w:rFonts w:hint="default" w:ascii="Times New Roman" w:hAnsi="Times New Roman" w:eastAsia="方正仿宋_GBK" w:cs="Times New Roman"/>
          <w:kern w:val="0"/>
          <w:sz w:val="32"/>
          <w:szCs w:val="32"/>
        </w:rPr>
        <w:t>增加，相应经费增加。</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收入包括：行政运行724.56万元，一般行政管理事务</w:t>
      </w:r>
      <w:r>
        <w:rPr>
          <w:rFonts w:hint="default" w:ascii="Times New Roman" w:hAnsi="Times New Roman" w:eastAsia="方正仿宋_GBK" w:cs="Times New Roman"/>
          <w:kern w:val="0"/>
          <w:sz w:val="32"/>
          <w:szCs w:val="32"/>
          <w:lang w:val="en-US" w:eastAsia="zh-CN"/>
        </w:rPr>
        <w:t>242.58</w:t>
      </w:r>
      <w:r>
        <w:rPr>
          <w:rFonts w:hint="default" w:ascii="Times New Roman" w:hAnsi="Times New Roman" w:eastAsia="方正仿宋_GBK" w:cs="Times New Roman"/>
          <w:kern w:val="0"/>
          <w:sz w:val="32"/>
          <w:szCs w:val="32"/>
        </w:rPr>
        <w:t>万元，机关事业单位基本养老保险缴费支出80.24万元，机关事业单位职业年金缴费支出40.12万元，行政单位医疗35.11万元，公务员医疗补助8.65万元，住房公积金58.67万元。</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支出包括：行政运行724.56万元，一般行政管理事务</w:t>
      </w:r>
      <w:r>
        <w:rPr>
          <w:rFonts w:hint="default" w:ascii="Times New Roman" w:hAnsi="Times New Roman" w:eastAsia="方正仿宋_GBK" w:cs="Times New Roman"/>
          <w:kern w:val="0"/>
          <w:sz w:val="32"/>
          <w:szCs w:val="32"/>
          <w:lang w:val="en-US" w:eastAsia="zh-CN"/>
        </w:rPr>
        <w:t>242.58</w:t>
      </w:r>
      <w:r>
        <w:rPr>
          <w:rFonts w:hint="default" w:ascii="Times New Roman" w:hAnsi="Times New Roman" w:eastAsia="方正仿宋_GBK" w:cs="Times New Roman"/>
          <w:kern w:val="0"/>
          <w:sz w:val="32"/>
          <w:szCs w:val="32"/>
        </w:rPr>
        <w:t>万元，机关事业单位基本养老保险缴费支出80.24万元，机关事业单位职业年金缴费支出40.12万元，行政单位医疗35.11万元，公务员医疗补助8.65万元，住房公积金58.67万元。</w:t>
      </w:r>
    </w:p>
    <w:p>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（一）一般公共预算当年拨款规模变化情况</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2024年一般公共预算当年拨款</w:t>
      </w:r>
      <w:r>
        <w:rPr>
          <w:rFonts w:hint="default" w:ascii="Times New Roman" w:hAnsi="Times New Roman" w:eastAsia="方正仿宋_GBK" w:cs="Times New Roman"/>
          <w:kern w:val="0"/>
          <w:sz w:val="32"/>
          <w:szCs w:val="32"/>
          <w:lang w:val="en-US" w:eastAsia="zh-CN"/>
        </w:rPr>
        <w:t>1189.93</w:t>
      </w:r>
      <w:r>
        <w:rPr>
          <w:rFonts w:hint="default" w:ascii="Times New Roman" w:hAnsi="Times New Roman" w:eastAsia="方正仿宋_GBK" w:cs="Times New Roman"/>
          <w:kern w:val="0"/>
          <w:sz w:val="32"/>
          <w:szCs w:val="32"/>
        </w:rPr>
        <w:t>万元，比202</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年预算数增加</w:t>
      </w:r>
      <w:r>
        <w:rPr>
          <w:rFonts w:hint="default" w:ascii="Times New Roman" w:hAnsi="Times New Roman" w:eastAsia="方正仿宋_GBK" w:cs="Times New Roman"/>
          <w:kern w:val="0"/>
          <w:sz w:val="32"/>
          <w:szCs w:val="32"/>
          <w:lang w:val="en-US" w:eastAsia="zh-CN"/>
        </w:rPr>
        <w:t>65.36</w:t>
      </w:r>
      <w:r>
        <w:rPr>
          <w:rFonts w:hint="default" w:ascii="Times New Roman" w:hAnsi="Times New Roman" w:eastAsia="方正仿宋_GBK" w:cs="Times New Roman"/>
          <w:kern w:val="0"/>
          <w:sz w:val="32"/>
          <w:szCs w:val="32"/>
        </w:rPr>
        <w:t>万元，主要原因:工资福利支出增加,调入公务员1名</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新增1项常规项目经费，2024年办公设备购置经费增加9万元；州台办工作量增加，相应经费增加</w:t>
      </w:r>
      <w:r>
        <w:rPr>
          <w:rFonts w:hint="default" w:ascii="Times New Roman" w:hAnsi="Times New Roman" w:eastAsia="方正仿宋_GBK" w:cs="Times New Roman"/>
          <w:kern w:val="0"/>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一般公共预算当年拨款结构情况</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一般公共服务支出</w:t>
      </w:r>
      <w:r>
        <w:rPr>
          <w:rFonts w:hint="default" w:ascii="Times New Roman" w:hAnsi="Times New Roman" w:eastAsia="方正仿宋_GBK" w:cs="Times New Roman"/>
          <w:kern w:val="0"/>
          <w:sz w:val="32"/>
          <w:szCs w:val="32"/>
          <w:lang w:val="en-US" w:eastAsia="zh-CN"/>
        </w:rPr>
        <w:t>967.14</w:t>
      </w:r>
      <w:r>
        <w:rPr>
          <w:rFonts w:hint="default" w:ascii="Times New Roman" w:hAnsi="Times New Roman" w:eastAsia="方正仿宋_GBK" w:cs="Times New Roman"/>
          <w:kern w:val="0"/>
          <w:sz w:val="32"/>
          <w:szCs w:val="32"/>
        </w:rPr>
        <w:t>万元，占81.2</w:t>
      </w:r>
      <w:r>
        <w:rPr>
          <w:rFonts w:hint="default" w:ascii="Times New Roman" w:hAnsi="Times New Roman" w:eastAsia="方正仿宋_GBK" w:cs="Times New Roman"/>
          <w:kern w:val="0"/>
          <w:sz w:val="32"/>
          <w:szCs w:val="32"/>
          <w:lang w:val="en-US" w:eastAsia="zh-CN"/>
        </w:rPr>
        <w:t>8</w:t>
      </w:r>
      <w:r>
        <w:rPr>
          <w:rFonts w:hint="default" w:ascii="Times New Roman" w:hAnsi="Times New Roman" w:eastAsia="方正仿宋_GBK" w:cs="Times New Roman"/>
          <w:kern w:val="0"/>
          <w:sz w:val="32"/>
          <w:szCs w:val="32"/>
        </w:rPr>
        <w:t>%；社会保障和就业支出120.36万元，占10.11%；医疗卫生与计划生育支出43.76万元，占3.6</w:t>
      </w:r>
      <w:r>
        <w:rPr>
          <w:rFonts w:hint="default" w:ascii="Times New Roman" w:hAnsi="Times New Roman" w:eastAsia="方正仿宋_GBK" w:cs="Times New Roman"/>
          <w:kern w:val="0"/>
          <w:sz w:val="32"/>
          <w:szCs w:val="32"/>
          <w:lang w:val="en-US" w:eastAsia="zh-CN"/>
        </w:rPr>
        <w:t>8</w:t>
      </w:r>
      <w:r>
        <w:rPr>
          <w:rFonts w:hint="default" w:ascii="Times New Roman" w:hAnsi="Times New Roman" w:eastAsia="方正仿宋_GBK" w:cs="Times New Roman"/>
          <w:kern w:val="0"/>
          <w:sz w:val="32"/>
          <w:szCs w:val="32"/>
        </w:rPr>
        <w:t>%；住房保障支出58.67万元，占4.93%。</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（三）一般公共预算当年拨款具体使用情况</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1．一般公共服务统战事务行政运行经费（2013401）2024年预算数为724.56万元，主要用于:人员经费及日常公用经费支出。</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2.一般公共服务统战事务一般行政管理事务经费（2013402）2024年预算数为</w:t>
      </w:r>
      <w:r>
        <w:rPr>
          <w:rFonts w:hint="default" w:ascii="Times New Roman" w:hAnsi="Times New Roman" w:eastAsia="方正仿宋_GBK" w:cs="Times New Roman"/>
          <w:kern w:val="0"/>
          <w:sz w:val="32"/>
          <w:szCs w:val="32"/>
          <w:lang w:val="en-US" w:eastAsia="zh-CN"/>
        </w:rPr>
        <w:t>242.58</w:t>
      </w:r>
      <w:r>
        <w:rPr>
          <w:rFonts w:hint="default" w:ascii="Times New Roman" w:hAnsi="Times New Roman" w:eastAsia="方正仿宋_GBK" w:cs="Times New Roman"/>
          <w:kern w:val="0"/>
          <w:sz w:val="32"/>
          <w:szCs w:val="32"/>
        </w:rPr>
        <w:t>万元，主要用于:</w:t>
      </w:r>
      <w:r>
        <w:rPr>
          <w:rFonts w:hint="default" w:ascii="Times New Roman" w:hAnsi="Times New Roman" w:eastAsia="方正仿宋_GBK" w:cs="Times New Roman"/>
          <w:kern w:val="0"/>
          <w:sz w:val="32"/>
          <w:szCs w:val="32"/>
          <w:lang w:val="en-US" w:eastAsia="zh-CN"/>
        </w:rPr>
        <w:t>日常</w:t>
      </w:r>
      <w:r>
        <w:rPr>
          <w:rFonts w:hint="default" w:ascii="Times New Roman" w:hAnsi="Times New Roman" w:eastAsia="方正仿宋_GBK" w:cs="Times New Roman"/>
          <w:kern w:val="0"/>
          <w:sz w:val="32"/>
          <w:szCs w:val="32"/>
        </w:rPr>
        <w:t>工作运转类项目经费支出、会议、培训和慰问支出。</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3.机关事业单位基本养老保险缴费（2080505）2024年预算数为80.24万元。</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4.机关事业单位职业年金缴费（2080506）2024年预算数为40.12万元。</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5.行政单位医疗（2101101）2024年预算数为35.11万元。</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6.公务员医疗补助（2101103）2024年预算数为8.65万元。</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7.住房公积金（2210201）2024年预算数为58.67万元。</w:t>
      </w:r>
    </w:p>
    <w:p>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六、一般公共预算基本支出情况说明</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一般公共预算基本支出947.35万元，其中：人员经费807.27万元，主要包括：基本工资、津贴补贴、奖金、其他社会保障缴费、绩效工资、机关事业单位基本养老保险缴费、职业年金缴费、其他工资福利支出、离休费、奖励金、住房公积金、其他对个人和家庭的补助支出。</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公用经费140.08万元，主要包括：办公费、印刷费、水电费、邮电费、取暖费、因公出国境费、公务接待费、公务用车运行维护费、差旅费、维修（护）费、会议费、培训费、劳务费、工会经费、福利费、退休费、生活补助费、其他交通工具运行维护费、其他商品和服务支出、办公设备购置费、其他对个人和家庭的补助支出。</w:t>
      </w:r>
    </w:p>
    <w:p>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七、“三公”经费财政拨款预算安排情况说明</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2024年“三公”经费财政拨款预算数82.33万元，其中：因公出国（境）经费0万元，公务接待费9.73万元，公务用车购置及运行维护费72.6万元。</w:t>
      </w:r>
    </w:p>
    <w:p>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（一）2024年因公出国（境）经费0万元。</w:t>
      </w:r>
    </w:p>
    <w:p>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（二）2024年公务接待经费10.94万元。</w:t>
      </w:r>
      <w:r>
        <w:rPr>
          <w:rFonts w:hint="default" w:ascii="Times New Roman" w:hAnsi="Times New Roman" w:eastAsia="方正仿宋_GBK" w:cs="Times New Roman"/>
          <w:kern w:val="0"/>
          <w:sz w:val="32"/>
          <w:szCs w:val="32"/>
          <w:lang w:val="en-US" w:eastAsia="zh-CN" w:bidi="ar-SA"/>
        </w:rPr>
        <w:t>较2023年预算经费增加5.93万元，增加156.05%，增加主要原因</w:t>
      </w:r>
      <w:r>
        <w:rPr>
          <w:rFonts w:hint="eastAsia" w:ascii="Times New Roman" w:hAnsi="Times New Roman" w:eastAsia="方正仿宋_GBK" w:cs="Times New Roman"/>
          <w:kern w:val="0"/>
          <w:sz w:val="32"/>
          <w:szCs w:val="32"/>
          <w:lang w:val="en-US" w:eastAsia="zh-CN" w:bidi="ar-SA"/>
        </w:rPr>
        <w:t>为</w:t>
      </w:r>
      <w:r>
        <w:rPr>
          <w:rFonts w:hint="default" w:ascii="Times New Roman" w:hAnsi="Times New Roman" w:eastAsia="方正仿宋_GBK" w:cs="Times New Roman"/>
          <w:kern w:val="0"/>
          <w:sz w:val="32"/>
          <w:szCs w:val="32"/>
          <w:lang w:val="en-US" w:eastAsia="zh-CN" w:bidi="ar-SA"/>
        </w:rPr>
        <w:t>州台办工作量增加，相应经费增加。</w:t>
      </w:r>
    </w:p>
    <w:p>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（三）2024年公务用车购置及运行维护费</w:t>
      </w:r>
      <w:r>
        <w:rPr>
          <w:rFonts w:hint="default" w:ascii="Times New Roman" w:hAnsi="Times New Roman" w:eastAsia="方正楷体_GBK" w:cs="Times New Roman"/>
          <w:b/>
          <w:bCs/>
          <w:sz w:val="32"/>
          <w:szCs w:val="32"/>
          <w:lang w:val="en-US" w:eastAsia="zh-CN"/>
        </w:rPr>
        <w:t>72.6</w:t>
      </w:r>
      <w:r>
        <w:rPr>
          <w:rFonts w:hint="default" w:ascii="Times New Roman" w:hAnsi="Times New Roman" w:eastAsia="方正楷体_GBK" w:cs="Times New Roman"/>
          <w:b/>
          <w:bCs/>
          <w:sz w:val="32"/>
          <w:szCs w:val="32"/>
        </w:rPr>
        <w:t>万元。</w:t>
      </w:r>
      <w:r>
        <w:rPr>
          <w:rFonts w:hint="default" w:ascii="Times New Roman" w:hAnsi="Times New Roman" w:eastAsia="方正仿宋_GBK" w:cs="Times New Roman"/>
          <w:kern w:val="0"/>
          <w:sz w:val="32"/>
          <w:szCs w:val="32"/>
          <w:lang w:val="en-US" w:eastAsia="zh-CN" w:bidi="ar-SA"/>
        </w:rPr>
        <w:t>较2023年预算经费减少5.38万元，减少6.90%。</w:t>
      </w:r>
    </w:p>
    <w:p>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2024年政府性基金预算拨款安排的支出0万元。较202</w:t>
      </w:r>
      <w:r>
        <w:rPr>
          <w:rFonts w:hint="default"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年预算经费增加0万元，增长0%。</w:t>
      </w:r>
    </w:p>
    <w:p>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九、其他重要事项的情况说明</w:t>
      </w:r>
    </w:p>
    <w:p>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（一）机关运行经费</w:t>
      </w:r>
      <w:r>
        <w:rPr>
          <w:rFonts w:hint="default" w:ascii="Times New Roman" w:hAnsi="Times New Roman" w:eastAsia="楷体_GB2312" w:cs="Times New Roman"/>
          <w:kern w:val="2"/>
          <w:sz w:val="32"/>
          <w:szCs w:val="32"/>
        </w:rPr>
        <w:br w:type="textWrapping"/>
      </w:r>
      <w:r>
        <w:rPr>
          <w:rFonts w:hint="default" w:ascii="Times New Roman" w:hAnsi="Times New Roman" w:cs="Times New Roman"/>
          <w:kern w:val="2"/>
          <w:sz w:val="32"/>
          <w:szCs w:val="32"/>
        </w:rPr>
        <w:t xml:space="preserve">　  </w:t>
      </w:r>
      <w:r>
        <w:rPr>
          <w:rFonts w:hint="default" w:ascii="Times New Roman" w:hAnsi="Times New Roman" w:eastAsia="方正仿宋_GBK" w:cs="Times New Roman"/>
          <w:kern w:val="0"/>
          <w:sz w:val="32"/>
          <w:szCs w:val="32"/>
          <w:lang w:val="en-US" w:eastAsia="zh-CN" w:bidi="ar-SA"/>
        </w:rPr>
        <w:t>2024年机关运行经费财政拨款预算为724.56万元，</w:t>
      </w:r>
      <w:r>
        <w:rPr>
          <w:rFonts w:hint="eastAsia" w:ascii="Times New Roman" w:hAnsi="Times New Roman" w:eastAsia="方正仿宋_GBK" w:cs="Times New Roman"/>
          <w:kern w:val="0"/>
          <w:sz w:val="32"/>
          <w:szCs w:val="32"/>
          <w:lang w:val="en-US" w:eastAsia="zh-CN" w:bidi="ar-SA"/>
        </w:rPr>
        <w:t>较</w:t>
      </w:r>
      <w:r>
        <w:rPr>
          <w:rFonts w:hint="default" w:ascii="Times New Roman" w:hAnsi="Times New Roman" w:eastAsia="方正仿宋_GBK" w:cs="Times New Roman"/>
          <w:kern w:val="0"/>
          <w:sz w:val="32"/>
          <w:szCs w:val="32"/>
          <w:lang w:val="en-US" w:eastAsia="zh-CN" w:bidi="ar-SA"/>
        </w:rPr>
        <w:t>2023年预算增加29.66万元，增加4.27%。主要原因是工资福利支出增加,调入公务员1名。</w:t>
      </w:r>
    </w:p>
    <w:p>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（二）政府采购情况</w:t>
      </w:r>
      <w:r>
        <w:rPr>
          <w:rFonts w:hint="default" w:ascii="Times New Roman" w:hAnsi="Times New Roman" w:eastAsia="方正楷体_GBK" w:cs="Times New Roman"/>
          <w:b/>
          <w:bCs/>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w:t>
      </w:r>
      <w:r>
        <w:rPr>
          <w:rFonts w:hint="default" w:ascii="Times New Roman" w:hAnsi="Times New Roman" w:eastAsia="方正仿宋_GBK" w:cs="Times New Roman"/>
          <w:kern w:val="0"/>
          <w:sz w:val="32"/>
          <w:szCs w:val="32"/>
          <w:lang w:val="en-US" w:eastAsia="zh-CN" w:bidi="ar-SA"/>
        </w:rPr>
        <w:t>2024年安排政府采购预算27万元，主要用于购置碎纸机3台0.24万元，扫描仪1台0.15万元，一体机3台3.6万元，国产打印机2台0.3万元，笔记本电脑5台0.35万元，沙发1架0.12万元，保险柜1台0.06万元，电脑桌椅1套0.1万元；国产替代产品：内网国产打印机1台0.4万元，内网便携式打印机1台0.4万元，国产台式机2台1.6万元，内网台式6台9.6万元，内网打印机6台2.4万元，内网笔记本3台5.4万元。</w:t>
      </w:r>
    </w:p>
    <w:p>
      <w:pPr>
        <w:pStyle w:val="10"/>
        <w:keepNext w:val="0"/>
        <w:keepLines w:val="0"/>
        <w:pageBreakBefore w:val="0"/>
        <w:widowControl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（三）国有资产占有使用情况</w:t>
      </w:r>
    </w:p>
    <w:p>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截至2023年12月31日，我单位固定资产590.04万元。</w:t>
      </w:r>
    </w:p>
    <w:p>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eastAsia" w:ascii="Times New Roman" w:hAnsi="Times New Roman" w:eastAsia="方正楷体_GBK" w:cs="Times New Roman"/>
          <w:b/>
          <w:bCs/>
          <w:sz w:val="32"/>
          <w:szCs w:val="32"/>
          <w:lang w:eastAsia="zh-CN"/>
        </w:rPr>
        <w:t>（</w:t>
      </w:r>
      <w:r>
        <w:rPr>
          <w:rFonts w:hint="eastAsia" w:ascii="Times New Roman" w:hAnsi="Times New Roman" w:eastAsia="方正楷体_GBK" w:cs="Times New Roman"/>
          <w:b/>
          <w:bCs/>
          <w:sz w:val="32"/>
          <w:szCs w:val="32"/>
          <w:lang w:val="en-US" w:eastAsia="zh-CN"/>
        </w:rPr>
        <w:t>四</w:t>
      </w:r>
      <w:r>
        <w:rPr>
          <w:rFonts w:hint="eastAsia"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绩效目标设置情况</w:t>
      </w:r>
      <w:r>
        <w:rPr>
          <w:rFonts w:hint="default" w:ascii="Times New Roman" w:hAnsi="Times New Roman" w:eastAsia="楷体_GB2312"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方正仿宋_GBK" w:cs="Times New Roman"/>
          <w:kern w:val="0"/>
          <w:sz w:val="32"/>
          <w:szCs w:val="32"/>
          <w:lang w:val="en-US" w:eastAsia="zh-CN" w:bidi="ar-SA"/>
        </w:rPr>
        <w:t>　2024年通用项目和专用项目均按要求实行绩效目标管理，涉及一般公共预算当年拨款242.58万元。</w:t>
      </w:r>
    </w:p>
    <w:p>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 xml:space="preserve">十、名称解释 </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（一）财政拨款收入：</w:t>
      </w:r>
      <w:r>
        <w:rPr>
          <w:rFonts w:hint="default" w:ascii="Times New Roman" w:hAnsi="Times New Roman" w:eastAsia="方正仿宋_GBK" w:cs="Times New Roman"/>
          <w:kern w:val="0"/>
          <w:sz w:val="32"/>
          <w:szCs w:val="32"/>
          <w:lang w:val="en-US" w:eastAsia="zh-CN" w:bidi="ar-SA"/>
        </w:rPr>
        <w:t>指由财政拨款形成的部门收入。按现行管理制度，部门预算中反映的财政拨款仅包括一般公共预算拨款和政府性基金预算拨款。</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（二）事业收入：</w:t>
      </w:r>
      <w:r>
        <w:rPr>
          <w:rFonts w:hint="default" w:ascii="Times New Roman" w:hAnsi="Times New Roman" w:eastAsia="方正仿宋_GBK" w:cs="Times New Roman"/>
          <w:kern w:val="0"/>
          <w:sz w:val="32"/>
          <w:szCs w:val="32"/>
          <w:lang w:val="en-US" w:eastAsia="zh-CN" w:bidi="ar-SA"/>
        </w:rPr>
        <w:t>指所属事业单位开展专业业务活动及辅助活动所取得的收入。</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（三）事业单位经营收入</w:t>
      </w:r>
      <w:r>
        <w:rPr>
          <w:rFonts w:hint="default" w:ascii="Times New Roman" w:hAnsi="Times New Roman" w:eastAsia="楷体_GB2312" w:cs="Times New Roman"/>
          <w:kern w:val="2"/>
          <w:sz w:val="32"/>
          <w:szCs w:val="32"/>
        </w:rPr>
        <w:t>：</w:t>
      </w:r>
      <w:r>
        <w:rPr>
          <w:rFonts w:hint="default" w:ascii="Times New Roman" w:hAnsi="Times New Roman" w:eastAsia="方正仿宋_GBK" w:cs="Times New Roman"/>
          <w:kern w:val="0"/>
          <w:sz w:val="32"/>
          <w:szCs w:val="32"/>
          <w:lang w:val="en-US" w:eastAsia="zh-CN" w:bidi="ar-SA"/>
        </w:rPr>
        <w:t>指所属事业单位在专业业务活动及其辅助活动之外开展非独立核算经营活动取得的收入。</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（四）其他收入：</w:t>
      </w:r>
      <w:r>
        <w:rPr>
          <w:rFonts w:hint="default" w:ascii="Times New Roman" w:hAnsi="Times New Roman" w:eastAsia="方正仿宋_GBK" w:cs="Times New Roman"/>
          <w:kern w:val="0"/>
          <w:sz w:val="32"/>
          <w:szCs w:val="32"/>
          <w:lang w:val="en-US" w:eastAsia="zh-CN" w:bidi="ar-SA"/>
        </w:rPr>
        <w:t>指除上述“财政拨款收入”、“事业收入”、“事业单位经营收入”等以外的收入，主要是所属行政事业单位按规定动用的售房收入、存款利息收入等。</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（五）用事业基金弥补收支差额：</w:t>
      </w:r>
      <w:r>
        <w:rPr>
          <w:rFonts w:hint="default" w:ascii="Times New Roman" w:hAnsi="Times New Roman" w:eastAsia="方正仿宋_GBK" w:cs="Times New Roman"/>
          <w:kern w:val="0"/>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p>
    <w:p>
      <w:pPr>
        <w:pStyle w:val="10"/>
        <w:keepNext w:val="0"/>
        <w:keepLines w:val="0"/>
        <w:pageBreakBefore w:val="0"/>
        <w:kinsoku/>
        <w:wordWrap/>
        <w:overflowPunct/>
        <w:topLinePunct w:val="0"/>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rPr>
        <w:t>（六）上年结转：</w:t>
      </w:r>
      <w:r>
        <w:rPr>
          <w:rFonts w:hint="default" w:ascii="Times New Roman" w:hAnsi="Times New Roman" w:eastAsia="方正仿宋_GBK" w:cs="Times New Roman"/>
          <w:kern w:val="0"/>
          <w:sz w:val="32"/>
          <w:szCs w:val="32"/>
          <w:lang w:val="en-US" w:eastAsia="zh-CN" w:bidi="ar-SA"/>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p>
    <w:p/>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3665" distR="113665" simplePos="0" relativeHeight="251659264" behindDoc="0" locked="0" layoutInCell="1" allowOverlap="1">
              <wp:simplePos x="0" y="0"/>
              <wp:positionH relativeFrom="margin">
                <wp:align>right</wp:align>
              </wp:positionH>
              <wp:positionV relativeFrom="paragraph">
                <wp:posOffset>0</wp:posOffset>
              </wp:positionV>
              <wp:extent cx="444500" cy="230505"/>
              <wp:effectExtent l="0" t="0" r="0" b="0"/>
              <wp:wrapNone/>
              <wp:docPr id="1" name="文本框 3"/>
              <wp:cNvGraphicFramePr/>
              <a:graphic xmlns:a="http://schemas.openxmlformats.org/drawingml/2006/main">
                <a:graphicData uri="http://schemas.microsoft.com/office/word/2010/wordprocessingShape">
                  <wps:wsp>
                    <wps:cNvSpPr/>
                    <wps:spPr>
                      <a:xfrm>
                        <a:off x="0" y="0"/>
                        <a:ext cx="444500" cy="230251"/>
                      </a:xfrm>
                      <a:prstGeom prst="rect">
                        <a:avLst/>
                      </a:prstGeom>
                      <a:noFill/>
                      <a:ln w="9525" cap="flat" cmpd="sng">
                        <a:noFill/>
                        <a:prstDash val="solid"/>
                        <a:miter/>
                      </a:ln>
                    </wps:spPr>
                    <wps:txbx>
                      <w:txbxContent>
                        <w:p>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right;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BfX2QrAwIAAPQDAAAOAAAAAAAAAAEAIAAAACABAABkcnMvZTJv&#10;RG9jLnhtbFBLBQYAAAAABgAGAFkBAACVBQAAAAA=&#10;">
              <v:fill on="f" focussize="0,0"/>
              <v:stroke on="f" joinstyle="miter"/>
              <v:imagedata o:title=""/>
              <o:lock v:ext="edit" aspectratio="f"/>
              <v:textbox inset="0mm,0mm,0mm,0mm" style="mso-fit-shape-to-text:t;">
                <w:txbxContent>
                  <w:p>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MDExNzk4ZDQ5NGYxNzMxMTcwNDQ2N2U0ZDQwZDdjYzgifQ=="/>
  </w:docVars>
  <w:rsids>
    <w:rsidRoot w:val="00000000"/>
    <w:rsid w:val="0C5E4C9F"/>
    <w:rsid w:val="29975169"/>
    <w:rsid w:val="386E5121"/>
    <w:rsid w:val="5B064E51"/>
    <w:rsid w:val="626D0121"/>
    <w:rsid w:val="67005B4F"/>
    <w:rsid w:val="696438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8">
    <w:name w:val="Default Paragraph Font"/>
    <w:autoRedefine/>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autoRedefine/>
    <w:qFormat/>
    <w:uiPriority w:val="0"/>
    <w:pPr>
      <w:ind w:firstLine="200" w:firstLineChars="200"/>
    </w:pPr>
  </w:style>
  <w:style w:type="paragraph" w:customStyle="1" w:styleId="10">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3009</Words>
  <Characters>4359</Characters>
  <Lines>183</Lines>
  <Paragraphs>69</Paragraphs>
  <TotalTime>0</TotalTime>
  <ScaleCrop>false</ScaleCrop>
  <LinksUpToDate>false</LinksUpToDate>
  <CharactersWithSpaces>4390</CharactersWithSpaces>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2023-01-10T10:13:00Z</dcterms:created>
  <dc:creator>Administrator</dc:creator>
  <cp:lastModifiedBy>幽然</cp:lastModifiedBy>
  <dcterms:modified xsi:type="dcterms:W3CDTF">2024-02-07T08:39:52Z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4921BF7ACC6D42AEB7E5BE61115F5411</vt:lpwstr>
  </property>
</Properties>
</file>