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四川藏语佛学院阿坝分院202</w:t>
      </w:r>
      <w:r>
        <w:rPr>
          <w:rFonts w:hint="eastAsia" w:ascii="方正小标宋_GBK" w:hAnsi="方正小标宋_GBK" w:eastAsia="方正小标宋_GBK" w:cs="方正小标宋_GBK"/>
          <w:sz w:val="72"/>
          <w:szCs w:val="72"/>
          <w:lang w:val="en-US" w:eastAsia="zh-CN"/>
        </w:rPr>
        <w:t>3</w:t>
      </w:r>
      <w:r>
        <w:rPr>
          <w:rFonts w:hint="eastAsia" w:ascii="方正小标宋_GBK" w:hAnsi="方正小标宋_GBK" w:eastAsia="方正小标宋_GBK" w:cs="方正小标宋_GBK"/>
          <w:sz w:val="72"/>
          <w:szCs w:val="72"/>
        </w:rPr>
        <w:t>年部门预算</w:t>
      </w:r>
    </w:p>
    <w:p>
      <w:pPr>
        <w:jc w:val="center"/>
        <w:rPr>
          <w:rFonts w:ascii="黑体" w:hAnsi="黑体" w:eastAsia="黑体" w:cs="Times New Roman"/>
          <w:sz w:val="44"/>
          <w:szCs w:val="44"/>
        </w:rPr>
      </w:pPr>
    </w:p>
    <w:p>
      <w:pPr>
        <w:pStyle w:val="16"/>
        <w:rPr>
          <w:rFonts w:ascii="黑体" w:hAnsi="黑体" w:eastAsia="黑体" w:cs="Times New Roman"/>
          <w:sz w:val="44"/>
          <w:szCs w:val="44"/>
        </w:rPr>
      </w:pPr>
    </w:p>
    <w:p>
      <w:pPr>
        <w:pStyle w:val="16"/>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Times New Roman" w:hAnsi="Times New Roman" w:eastAsia="楷体_GB2312"/>
          <w:sz w:val="32"/>
          <w:szCs w:val="32"/>
        </w:rPr>
      </w:pPr>
      <w:r>
        <w:rPr>
          <w:rFonts w:hint="eastAsia" w:ascii="楷体_GB2312" w:hAnsi="楷体_GB2312" w:eastAsia="楷体_GB2312" w:cs="楷体_GB2312"/>
          <w:sz w:val="32"/>
          <w:szCs w:val="32"/>
        </w:rPr>
        <w:t>（已经保密审</w:t>
      </w:r>
      <w:r>
        <w:rPr>
          <w:rFonts w:ascii="Times New Roman" w:hAnsi="Times New Roman" w:eastAsia="楷体_GB2312"/>
          <w:sz w:val="32"/>
          <w:szCs w:val="32"/>
        </w:rPr>
        <w:t>查、内容审定、同意对外公开）</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both"/>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w:t>
      </w:r>
      <w:r>
        <w:rPr>
          <w:rFonts w:hint="eastAsia" w:ascii="方正小标宋_GBK" w:hAnsi="方正小标宋_GBK" w:eastAsia="方正小标宋_GBK" w:cs="方正小标宋_GBK"/>
          <w:sz w:val="32"/>
          <w:szCs w:val="32"/>
          <w:lang w:val="en-US" w:eastAsia="zh-CN"/>
        </w:rPr>
        <w:t>3</w:t>
      </w:r>
      <w:r>
        <w:rPr>
          <w:rFonts w:hint="eastAsia" w:ascii="方正小标宋_GBK" w:hAnsi="方正小标宋_GBK" w:eastAsia="方正小标宋_GBK" w:cs="方正小标宋_GBK"/>
          <w:sz w:val="32"/>
          <w:szCs w:val="32"/>
        </w:rPr>
        <w:t>年1月</w:t>
      </w:r>
      <w:r>
        <w:rPr>
          <w:rFonts w:hint="eastAsia" w:ascii="方正小标宋_GBK" w:hAnsi="方正小标宋_GBK" w:eastAsia="方正小标宋_GBK" w:cs="方正小标宋_GBK"/>
          <w:sz w:val="32"/>
          <w:szCs w:val="32"/>
          <w:lang w:val="en-US" w:eastAsia="zh-CN"/>
        </w:rPr>
        <w:t>06</w:t>
      </w:r>
      <w:r>
        <w:rPr>
          <w:rFonts w:hint="eastAsia" w:ascii="方正小标宋_GBK" w:hAnsi="方正小标宋_GBK" w:eastAsia="方正小标宋_GBK" w:cs="方正小标宋_GBK"/>
          <w:sz w:val="32"/>
          <w:szCs w:val="32"/>
        </w:rPr>
        <w:t>日</w:t>
      </w:r>
    </w:p>
    <w:p>
      <w:pPr>
        <w:rPr>
          <w:rFonts w:ascii="黑体" w:hAnsi="黑体" w:eastAsia="黑体" w:cs="Times New Roman"/>
          <w:sz w:val="44"/>
          <w:szCs w:val="44"/>
        </w:rPr>
      </w:pPr>
    </w:p>
    <w:p>
      <w:pPr>
        <w:rPr>
          <w:rFonts w:ascii="黑体" w:hAnsi="黑体" w:eastAsia="黑体" w:cs="Times New Roman"/>
          <w:sz w:val="44"/>
          <w:szCs w:val="44"/>
        </w:rPr>
      </w:pPr>
    </w:p>
    <w:p>
      <w:pPr>
        <w:pStyle w:val="16"/>
        <w:rPr>
          <w:rFonts w:hint="eastAsia" w:ascii="方正黑体简体" w:hAnsi="方正黑体简体" w:eastAsia="方正黑体简体" w:cs="方正黑体简体"/>
          <w:b w:val="0"/>
          <w:bCs w:val="0"/>
          <w:sz w:val="52"/>
          <w:szCs w:val="52"/>
        </w:rPr>
      </w:pPr>
    </w:p>
    <w:p>
      <w:pPr>
        <w:pStyle w:val="16"/>
        <w:rPr>
          <w:rFonts w:hint="eastAsia" w:ascii="方正黑体简体" w:hAnsi="方正黑体简体" w:eastAsia="方正黑体简体" w:cs="方正黑体简体"/>
          <w:b w:val="0"/>
          <w:bCs w:val="0"/>
          <w:sz w:val="52"/>
          <w:szCs w:val="52"/>
        </w:rPr>
      </w:pPr>
    </w:p>
    <w:p>
      <w:pPr>
        <w:pStyle w:val="16"/>
        <w:rPr>
          <w:rFonts w:hint="eastAsia" w:ascii="方正黑体简体" w:hAnsi="方正黑体简体" w:eastAsia="方正黑体简体" w:cs="方正黑体简体"/>
          <w:b w:val="0"/>
          <w:bCs w:val="0"/>
          <w:sz w:val="52"/>
          <w:szCs w:val="52"/>
        </w:rPr>
      </w:pPr>
    </w:p>
    <w:p>
      <w:pPr>
        <w:ind w:firstLine="3120" w:firstLineChars="600"/>
        <w:rPr>
          <w:rFonts w:hint="eastAsia" w:ascii="方正黑体简体" w:hAnsi="方正黑体简体" w:eastAsia="方正黑体简体" w:cs="方正黑体简体"/>
          <w:b w:val="0"/>
          <w:bCs w:val="0"/>
          <w:sz w:val="52"/>
          <w:szCs w:val="52"/>
        </w:rPr>
      </w:pPr>
      <w:r>
        <w:rPr>
          <w:rFonts w:hint="eastAsia" w:ascii="方正黑体简体" w:hAnsi="方正黑体简体" w:eastAsia="方正黑体简体" w:cs="方正黑体简体"/>
          <w:b w:val="0"/>
          <w:bCs w:val="0"/>
          <w:sz w:val="52"/>
          <w:szCs w:val="52"/>
        </w:rPr>
        <w:t>目</w:t>
      </w:r>
      <w:r>
        <w:rPr>
          <w:rFonts w:hint="eastAsia" w:ascii="方正黑体简体" w:hAnsi="方正黑体简体" w:eastAsia="方正黑体简体" w:cs="方正黑体简体"/>
          <w:b w:val="0"/>
          <w:bCs w:val="0"/>
          <w:sz w:val="52"/>
          <w:szCs w:val="52"/>
          <w:lang w:val="en-US" w:eastAsia="zh-CN"/>
        </w:rPr>
        <w:t xml:space="preserve">   </w:t>
      </w:r>
      <w:r>
        <w:rPr>
          <w:rFonts w:hint="eastAsia" w:ascii="方正黑体简体" w:hAnsi="方正黑体简体" w:eastAsia="方正黑体简体" w:cs="方正黑体简体"/>
          <w:b w:val="0"/>
          <w:bCs w:val="0"/>
          <w:sz w:val="52"/>
          <w:szCs w:val="52"/>
        </w:rPr>
        <w:t>录</w:t>
      </w:r>
    </w:p>
    <w:p>
      <w:pPr>
        <w:pStyle w:val="16"/>
        <w:rPr>
          <w:rFonts w:hint="eastAsia"/>
        </w:rPr>
      </w:pPr>
    </w:p>
    <w:p>
      <w:pPr>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第一部分 四川藏语佛学院阿坝分院概况</w:t>
      </w:r>
    </w:p>
    <w:p>
      <w:pPr>
        <w:pStyle w:val="21"/>
        <w:ind w:firstLine="0" w:firstLineChars="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一、基本职能及主要工作</w:t>
      </w:r>
    </w:p>
    <w:p>
      <w:pPr>
        <w:rPr>
          <w:rFonts w:hint="eastAsia" w:ascii="仿宋_GB2312" w:eastAsia="仿宋_GB2312"/>
          <w:sz w:val="32"/>
          <w:szCs w:val="32"/>
        </w:rPr>
      </w:pPr>
      <w:r>
        <w:rPr>
          <w:rFonts w:hint="eastAsia" w:ascii="仿宋_GB2312" w:eastAsia="仿宋_GB2312"/>
          <w:sz w:val="32"/>
          <w:szCs w:val="32"/>
        </w:rPr>
        <w:t>二、部门预算单位构成</w:t>
      </w:r>
    </w:p>
    <w:p>
      <w:pPr>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第二部分 四川藏语佛学院阿坝分院2023年单位预算表</w:t>
      </w:r>
    </w:p>
    <w:p>
      <w:pPr>
        <w:numPr>
          <w:ilvl w:val="0"/>
          <w:numId w:val="1"/>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单位收支总表</w:t>
      </w:r>
    </w:p>
    <w:p>
      <w:pPr>
        <w:numPr>
          <w:ilvl w:val="0"/>
          <w:numId w:val="1"/>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单位收入总表</w:t>
      </w:r>
    </w:p>
    <w:p>
      <w:pPr>
        <w:numPr>
          <w:ilvl w:val="0"/>
          <w:numId w:val="1"/>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单位支出总表</w:t>
      </w:r>
    </w:p>
    <w:p>
      <w:pPr>
        <w:numPr>
          <w:ilvl w:val="0"/>
          <w:numId w:val="1"/>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财政拨款收支预算总表</w:t>
      </w:r>
    </w:p>
    <w:p>
      <w:pPr>
        <w:numPr>
          <w:ilvl w:val="0"/>
          <w:numId w:val="1"/>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财政拨款支出预算表（部门经济分类科目）</w:t>
      </w:r>
    </w:p>
    <w:p>
      <w:pPr>
        <w:numPr>
          <w:ilvl w:val="0"/>
          <w:numId w:val="1"/>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一般公共预算支出预算表</w:t>
      </w:r>
    </w:p>
    <w:p>
      <w:pPr>
        <w:numPr>
          <w:ilvl w:val="0"/>
          <w:numId w:val="1"/>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一般公共预算基本支出预算表</w:t>
      </w:r>
    </w:p>
    <w:p>
      <w:pPr>
        <w:numPr>
          <w:ilvl w:val="0"/>
          <w:numId w:val="1"/>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一般公共预算项目支出预算表</w:t>
      </w:r>
    </w:p>
    <w:p>
      <w:pPr>
        <w:numPr>
          <w:ilvl w:val="0"/>
          <w:numId w:val="1"/>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一般公共预算“三公”经费支出预算表</w:t>
      </w:r>
    </w:p>
    <w:p>
      <w:pPr>
        <w:numPr>
          <w:ilvl w:val="0"/>
          <w:numId w:val="1"/>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政府性基金支出预算表</w:t>
      </w:r>
    </w:p>
    <w:p>
      <w:pPr>
        <w:numPr>
          <w:ilvl w:val="0"/>
          <w:numId w:val="1"/>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政府性基金预算“三公”经费支出预算表</w:t>
      </w:r>
    </w:p>
    <w:p>
      <w:pPr>
        <w:numPr>
          <w:ilvl w:val="0"/>
          <w:numId w:val="1"/>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国有资本经营预算支出预算表</w:t>
      </w:r>
    </w:p>
    <w:p>
      <w:pPr>
        <w:numPr>
          <w:ilvl w:val="0"/>
          <w:numId w:val="1"/>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单位预算项目支出绩效目标表</w:t>
      </w:r>
    </w:p>
    <w:p>
      <w:pPr>
        <w:pStyle w:val="16"/>
        <w:rPr>
          <w:rFonts w:hint="eastAsia"/>
        </w:rPr>
      </w:pPr>
    </w:p>
    <w:p>
      <w:pPr>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第三部分 四川藏语佛学院阿坝分院2023年单位预算情况</w:t>
      </w:r>
    </w:p>
    <w:p>
      <w:pPr>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说明</w:t>
      </w:r>
    </w:p>
    <w:p>
      <w:pPr>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第四部分 名词解释</w:t>
      </w:r>
    </w:p>
    <w:p>
      <w:pPr>
        <w:pStyle w:val="5"/>
        <w:rPr>
          <w:rFonts w:hint="eastAsia" w:ascii="方正小标宋_GBK" w:hAnsi="方正小标宋_GBK" w:eastAsia="方正小标宋_GBK" w:cs="方正小标宋_GBK"/>
          <w:sz w:val="32"/>
          <w:szCs w:val="32"/>
        </w:rPr>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jc w:val="center"/>
      </w:pPr>
    </w:p>
    <w:p>
      <w:pPr>
        <w:pStyle w:val="5"/>
        <w:jc w:val="center"/>
      </w:pPr>
    </w:p>
    <w:p>
      <w:pPr>
        <w:pStyle w:val="5"/>
        <w:jc w:val="center"/>
      </w:pPr>
    </w:p>
    <w:p>
      <w:pPr>
        <w:numPr>
          <w:ilvl w:val="0"/>
          <w:numId w:val="2"/>
        </w:numPr>
        <w:jc w:val="center"/>
        <w:rPr>
          <w:rFonts w:hint="eastAsia" w:ascii="方正小标宋_GBK" w:hAnsi="方正小标宋_GBK" w:eastAsia="方正小标宋_GBK" w:cs="方正小标宋_GBK"/>
          <w:sz w:val="48"/>
          <w:szCs w:val="48"/>
          <w:lang w:val="en-US" w:eastAsia="zh-CN"/>
        </w:rPr>
      </w:pPr>
      <w:r>
        <w:rPr>
          <w:rFonts w:hint="eastAsia" w:ascii="方正小标宋_GBK" w:hAnsi="方正小标宋_GBK" w:eastAsia="方正小标宋_GBK" w:cs="方正小标宋_GBK"/>
          <w:sz w:val="48"/>
          <w:szCs w:val="48"/>
          <w:lang w:val="en-US" w:eastAsia="zh-CN"/>
        </w:rPr>
        <w:t>四川藏语佛学院阿坝分院</w:t>
      </w:r>
    </w:p>
    <w:p>
      <w:pPr>
        <w:numPr>
          <w:ilvl w:val="0"/>
          <w:numId w:val="0"/>
        </w:numPr>
        <w:jc w:val="center"/>
        <w:rPr>
          <w:rFonts w:hint="eastAsia" w:ascii="方正小标宋_GBK" w:hAnsi="方正小标宋_GBK" w:eastAsia="方正小标宋_GBK" w:cs="方正小标宋_GBK"/>
          <w:sz w:val="48"/>
          <w:szCs w:val="48"/>
          <w:lang w:val="en-US" w:eastAsia="zh-CN"/>
        </w:rPr>
      </w:pPr>
      <w:r>
        <w:rPr>
          <w:rFonts w:hint="eastAsia" w:ascii="方正小标宋_GBK" w:hAnsi="方正小标宋_GBK" w:eastAsia="方正小标宋_GBK" w:cs="方正小标宋_GBK"/>
          <w:sz w:val="48"/>
          <w:szCs w:val="48"/>
          <w:lang w:val="en-US" w:eastAsia="zh-CN"/>
        </w:rPr>
        <w:t>概况</w:t>
      </w:r>
    </w:p>
    <w:p>
      <w:pPr>
        <w:pStyle w:val="5"/>
        <w:jc w:val="center"/>
      </w:pPr>
    </w:p>
    <w:p>
      <w:pPr>
        <w:pStyle w:val="5"/>
        <w:jc w:val="center"/>
      </w:pPr>
    </w:p>
    <w:p>
      <w:pPr>
        <w:pStyle w:val="5"/>
        <w:jc w:val="center"/>
      </w:pPr>
    </w:p>
    <w:p>
      <w:pPr>
        <w:pStyle w:val="5"/>
        <w:jc w:val="center"/>
      </w:pPr>
    </w:p>
    <w:p>
      <w:pPr>
        <w:pStyle w:val="5"/>
        <w:jc w:val="center"/>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19"/>
        <w:numPr>
          <w:ilvl w:val="0"/>
          <w:numId w:val="0"/>
        </w:numPr>
        <w:spacing w:before="0" w:line="360" w:lineRule="auto"/>
        <w:rPr>
          <w:rFonts w:hint="eastAsia" w:ascii="方正黑体_GBK" w:hAnsi="方正黑体_GBK" w:eastAsia="方正黑体_GBK" w:cs="方正黑体_GBK"/>
          <w:b w:val="0"/>
          <w:bCs w:val="0"/>
          <w:kern w:val="2"/>
          <w:sz w:val="32"/>
          <w:szCs w:val="32"/>
        </w:rPr>
      </w:pPr>
      <w:r>
        <w:rPr>
          <w:rFonts w:hint="eastAsia" w:ascii="方正黑体_GBK" w:hAnsi="方正黑体_GBK" w:eastAsia="方正黑体_GBK" w:cs="方正黑体_GBK"/>
          <w:b w:val="0"/>
          <w:bCs w:val="0"/>
          <w:kern w:val="2"/>
          <w:sz w:val="32"/>
          <w:szCs w:val="32"/>
          <w:lang w:val="en-US" w:eastAsia="zh-CN"/>
        </w:rPr>
        <w:t>一、</w:t>
      </w:r>
      <w:r>
        <w:rPr>
          <w:rFonts w:hint="eastAsia" w:ascii="方正黑体_GBK" w:hAnsi="方正黑体_GBK" w:eastAsia="方正黑体_GBK" w:cs="方正黑体_GBK"/>
          <w:b w:val="0"/>
          <w:bCs w:val="0"/>
          <w:kern w:val="2"/>
          <w:sz w:val="32"/>
          <w:szCs w:val="32"/>
        </w:rPr>
        <w:t>基本职能及主要工作</w:t>
      </w:r>
    </w:p>
    <w:p>
      <w:pPr>
        <w:pStyle w:val="19"/>
        <w:spacing w:before="0" w:line="360" w:lineRule="auto"/>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（一）四川藏语佛学院阿坝分院职能简介。</w:t>
      </w:r>
    </w:p>
    <w:p>
      <w:pPr>
        <w:pStyle w:val="19"/>
        <w:keepNext w:val="0"/>
        <w:keepLines w:val="0"/>
        <w:pageBreakBefore w:val="0"/>
        <w:widowControl w:val="0"/>
        <w:kinsoku/>
        <w:wordWrap/>
        <w:overflowPunct/>
        <w:topLinePunct w:val="0"/>
        <w:autoSpaceDE/>
        <w:autoSpaceDN/>
        <w:bidi w:val="0"/>
        <w:adjustRightInd/>
        <w:snapToGrid/>
        <w:spacing w:before="0" w:line="480" w:lineRule="auto"/>
        <w:ind w:firstLine="627" w:firstLineChars="196"/>
        <w:textAlignment w:val="auto"/>
        <w:rPr>
          <w:rFonts w:hint="eastAsia" w:hAnsi="黑体"/>
          <w:kern w:val="2"/>
          <w:sz w:val="32"/>
          <w:szCs w:val="32"/>
        </w:rPr>
      </w:pPr>
      <w:r>
        <w:rPr>
          <w:rFonts w:hint="eastAsia" w:hAnsi="黑体"/>
          <w:kern w:val="2"/>
          <w:sz w:val="32"/>
          <w:szCs w:val="32"/>
        </w:rPr>
        <w:t>四川藏语佛学院阿坝分院由州统战部管理公益性一类事业单位。主要负责藏传佛教界人士学历教学和教育培训；承担藏传佛教学衔授予，承担藏传佛教文化研究，承接涉藏干部培训任务等工作。</w:t>
      </w:r>
    </w:p>
    <w:p>
      <w:pPr>
        <w:pStyle w:val="19"/>
        <w:spacing w:before="0" w:line="360" w:lineRule="auto"/>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（二）四川藏语佛学院阿坝分院2023年重点工作</w:t>
      </w:r>
    </w:p>
    <w:p>
      <w:pPr>
        <w:keepNext w:val="0"/>
        <w:keepLines w:val="0"/>
        <w:pageBreakBefore w:val="0"/>
        <w:widowControl w:val="0"/>
        <w:numPr>
          <w:ilvl w:val="0"/>
          <w:numId w:val="0"/>
        </w:numPr>
        <w:kinsoku/>
        <w:wordWrap/>
        <w:overflowPunct/>
        <w:topLinePunct w:val="0"/>
        <w:autoSpaceDN/>
        <w:bidi w:val="0"/>
        <w:adjustRightInd/>
        <w:snapToGrid/>
        <w:spacing w:line="576" w:lineRule="exact"/>
        <w:ind w:firstLine="640" w:firstLineChars="200"/>
        <w:rPr>
          <w:rFonts w:ascii="Times New Roman" w:hAnsi="Times New Roman" w:eastAsia="方正黑体_GBK"/>
          <w:color w:val="auto"/>
          <w:sz w:val="52"/>
          <w:szCs w:val="52"/>
        </w:rPr>
      </w:pPr>
      <w:r>
        <w:rPr>
          <w:rFonts w:hint="eastAsia" w:ascii="仿宋_GB2312" w:hAnsi="仿宋_GB2312" w:eastAsia="仿宋_GB2312" w:cs="仿宋_GB2312"/>
          <w:color w:val="auto"/>
          <w:sz w:val="32"/>
          <w:szCs w:val="32"/>
          <w:shd w:val="clear" w:color="auto" w:fill="FFFFFF"/>
          <w:lang w:val="en-US" w:eastAsia="zh-CN"/>
        </w:rPr>
        <w:t>2023年是我院初级学衔教育开局之年，我院将坚持以深入学习宣传贯彻党的二十大精神为契机，聚焦建设高水平藏语系佛学院为目标，落实</w:t>
      </w:r>
      <w:r>
        <w:rPr>
          <w:rFonts w:hint="eastAsia" w:ascii="仿宋_GB2312" w:hAnsi="仿宋_GB2312" w:eastAsia="仿宋_GB2312" w:cs="仿宋_GB2312"/>
          <w:color w:val="auto"/>
          <w:sz w:val="32"/>
          <w:szCs w:val="32"/>
          <w:lang w:val="en-US" w:eastAsia="zh-CN"/>
        </w:rPr>
        <w:t>全国、省、州宗教工作会精神，</w:t>
      </w:r>
      <w:r>
        <w:rPr>
          <w:rFonts w:hint="eastAsia" w:ascii="仿宋_GB2312" w:hAnsi="仿宋_GB2312" w:eastAsia="仿宋_GB2312" w:cs="仿宋_GB2312"/>
          <w:color w:val="auto"/>
          <w:sz w:val="32"/>
          <w:szCs w:val="32"/>
          <w:shd w:val="clear" w:color="auto" w:fill="FFFFFF"/>
          <w:lang w:val="en-US" w:eastAsia="zh-CN"/>
        </w:rPr>
        <w:t>对标“四条标准”，按照省州工作要求，围绕学习宣传贯彻好党的二十大精神这一重点任务，用好“六项抓手”，确保党的二十大精神全面落地、学衔教育全面提质、培训效果全面提效、设施服务全面提档、内部运转全面提标、党建工作全面提升六项重点工作落地见效，为坚持</w:t>
      </w:r>
      <w:r>
        <w:rPr>
          <w:rFonts w:hint="eastAsia" w:ascii="仿宋_GB2312" w:hAnsi="仿宋_GB2312" w:eastAsia="仿宋_GB2312" w:cs="仿宋_GB2312"/>
          <w:color w:val="auto"/>
          <w:sz w:val="32"/>
          <w:szCs w:val="32"/>
          <w:shd w:val="clear" w:color="auto" w:fill="FFFFFF"/>
        </w:rPr>
        <w:t>我国宗教中国化方向，积极引导藏传佛教与社会主义社会相适应贡献新的力量。</w:t>
      </w:r>
    </w:p>
    <w:p>
      <w:pPr>
        <w:keepNext w:val="0"/>
        <w:keepLines w:val="0"/>
        <w:pageBreakBefore w:val="0"/>
        <w:widowControl w:val="0"/>
        <w:numPr>
          <w:ilvl w:val="0"/>
          <w:numId w:val="3"/>
        </w:numPr>
        <w:kinsoku/>
        <w:wordWrap/>
        <w:overflowPunct/>
        <w:topLinePunct w:val="0"/>
        <w:autoSpaceDN/>
        <w:bidi w:val="0"/>
        <w:adjustRightInd/>
        <w:snapToGrid/>
        <w:spacing w:line="576" w:lineRule="exact"/>
        <w:ind w:firstLine="640"/>
        <w:rPr>
          <w:rFonts w:hint="eastAsia" w:ascii="仿宋_GB2312" w:hAnsi="仿宋_GB2312" w:eastAsia="仿宋_GB2312" w:cs="仿宋_GB2312"/>
          <w:color w:val="auto"/>
          <w:sz w:val="32"/>
          <w:szCs w:val="32"/>
          <w:shd w:val="clear" w:color="auto" w:fill="FFFFFF"/>
        </w:rPr>
      </w:pPr>
      <w:r>
        <w:rPr>
          <w:rFonts w:hint="eastAsia" w:ascii="方正楷体_GBK" w:hAnsi="Times New Roman" w:eastAsia="方正楷体_GBK" w:cs="Times New Roman"/>
          <w:b w:val="0"/>
          <w:bCs w:val="0"/>
          <w:color w:val="auto"/>
          <w:sz w:val="32"/>
          <w:szCs w:val="32"/>
          <w:shd w:val="clear" w:color="auto" w:fill="FFFFFF"/>
          <w:lang w:val="en-US" w:eastAsia="zh-CN"/>
        </w:rPr>
        <w:t>抓宣传，促进党的二十大精神全面落地。</w:t>
      </w:r>
      <w:r>
        <w:rPr>
          <w:rFonts w:hint="eastAsia" w:ascii="仿宋_GB2312" w:hAnsi="仿宋_GB2312" w:eastAsia="仿宋_GB2312" w:cs="仿宋_GB2312"/>
          <w:color w:val="auto"/>
          <w:sz w:val="32"/>
          <w:szCs w:val="32"/>
          <w:shd w:val="clear" w:color="auto" w:fill="FFFFFF"/>
        </w:rPr>
        <w:t>坚持把学习宣传党的二十大精神作为2023年度一项重要政治任务来抓，不断深化拓展宣传方式，在常设党的二十大精神学习课程的基础上进一步丰富宣传手段，确保让党的二十大精神在学员心中生根发芽。同时，坚持以党的二十大精神为指引，全面推动学院各项工作再上新台阶，推动学院建设不断向制度化迈进。</w:t>
      </w:r>
    </w:p>
    <w:p>
      <w:pPr>
        <w:keepNext w:val="0"/>
        <w:keepLines w:val="0"/>
        <w:pageBreakBefore w:val="0"/>
        <w:widowControl w:val="0"/>
        <w:kinsoku/>
        <w:wordWrap/>
        <w:overflowPunct/>
        <w:topLinePunct w:val="0"/>
        <w:autoSpaceDN/>
        <w:bidi w:val="0"/>
        <w:adjustRightInd/>
        <w:snapToGrid/>
        <w:spacing w:line="576" w:lineRule="exact"/>
        <w:ind w:firstLine="640"/>
        <w:rPr>
          <w:rFonts w:hint="eastAsia" w:ascii="仿宋_GB2312" w:hAnsi="仿宋_GB2312" w:eastAsia="仿宋_GB2312" w:cs="仿宋_GB2312"/>
          <w:color w:val="auto"/>
          <w:sz w:val="32"/>
          <w:szCs w:val="32"/>
          <w:shd w:val="clear" w:color="auto" w:fill="FFFFFF"/>
        </w:rPr>
      </w:pPr>
      <w:r>
        <w:rPr>
          <w:rFonts w:hint="eastAsia" w:ascii="方正楷体_GBK" w:hAnsi="Times New Roman" w:eastAsia="方正楷体_GBK" w:cs="Times New Roman"/>
          <w:b w:val="0"/>
          <w:bCs w:val="0"/>
          <w:color w:val="auto"/>
          <w:sz w:val="32"/>
          <w:szCs w:val="32"/>
          <w:shd w:val="clear" w:color="auto" w:fill="FFFFFF"/>
          <w:lang w:val="en-US" w:eastAsia="zh-CN"/>
        </w:rPr>
        <w:t>（二）抓教学，促进学衔教育模式全面提质。</w:t>
      </w:r>
      <w:r>
        <w:rPr>
          <w:rFonts w:hint="eastAsia" w:ascii="仿宋_GB2312" w:hAnsi="仿宋_GB2312" w:eastAsia="仿宋_GB2312" w:cs="仿宋_GB2312"/>
          <w:color w:val="auto"/>
          <w:sz w:val="32"/>
          <w:szCs w:val="32"/>
          <w:shd w:val="clear" w:color="auto" w:fill="FFFFFF"/>
          <w:lang w:val="en-US" w:eastAsia="zh-CN"/>
        </w:rPr>
        <w:t>专注提升教学质量，</w:t>
      </w:r>
      <w:r>
        <w:rPr>
          <w:rFonts w:hint="eastAsia" w:ascii="仿宋_GB2312" w:hAnsi="仿宋_GB2312" w:eastAsia="仿宋_GB2312" w:cs="仿宋_GB2312"/>
          <w:color w:val="auto"/>
          <w:sz w:val="32"/>
          <w:szCs w:val="32"/>
          <w:shd w:val="clear" w:color="auto" w:fill="FFFFFF"/>
        </w:rPr>
        <w:t>坚持在实践中学习、在实践中总结，不断探索建立符合我院实际的学衔教育模式。始终保持正确的政治方向，在做好常态化教育教学工作的同时，主动研究具有</w:t>
      </w:r>
      <w:r>
        <w:rPr>
          <w:rFonts w:hint="eastAsia" w:ascii="仿宋_GB2312" w:hAnsi="仿宋_GB2312" w:eastAsia="仿宋_GB2312" w:cs="仿宋_GB2312"/>
          <w:color w:val="auto"/>
          <w:sz w:val="32"/>
          <w:szCs w:val="32"/>
          <w:shd w:val="clear" w:color="auto" w:fill="FFFFFF"/>
          <w:lang w:eastAsia="zh-CN"/>
        </w:rPr>
        <w:t>我院</w:t>
      </w:r>
      <w:r>
        <w:rPr>
          <w:rFonts w:hint="eastAsia" w:ascii="仿宋_GB2312" w:hAnsi="仿宋_GB2312" w:eastAsia="仿宋_GB2312" w:cs="仿宋_GB2312"/>
          <w:color w:val="auto"/>
          <w:sz w:val="32"/>
          <w:szCs w:val="32"/>
          <w:shd w:val="clear" w:color="auto" w:fill="FFFFFF"/>
        </w:rPr>
        <w:t>特色的教学课程安排和教学实验，为建设</w:t>
      </w:r>
      <w:r>
        <w:rPr>
          <w:rFonts w:hint="eastAsia" w:ascii="仿宋_GB2312" w:hAnsi="仿宋_GB2312" w:eastAsia="仿宋_GB2312" w:cs="仿宋_GB2312"/>
          <w:color w:val="auto"/>
          <w:sz w:val="32"/>
          <w:szCs w:val="32"/>
          <w:shd w:val="clear" w:color="auto" w:fill="FFFFFF"/>
          <w:lang w:eastAsia="zh-CN"/>
        </w:rPr>
        <w:t>涉藏地区</w:t>
      </w:r>
      <w:r>
        <w:rPr>
          <w:rFonts w:hint="eastAsia" w:ascii="仿宋_GB2312" w:hAnsi="仿宋_GB2312" w:eastAsia="仿宋_GB2312" w:cs="仿宋_GB2312"/>
          <w:color w:val="auto"/>
          <w:sz w:val="32"/>
          <w:szCs w:val="32"/>
          <w:shd w:val="clear" w:color="auto" w:fill="FFFFFF"/>
        </w:rPr>
        <w:t>高水平藏语系佛学院奠定坚实基础。同时，</w:t>
      </w:r>
      <w:r>
        <w:rPr>
          <w:rFonts w:hint="eastAsia" w:ascii="仿宋_GB2312" w:hAnsi="仿宋_GB2312" w:eastAsia="仿宋_GB2312" w:cs="仿宋_GB2312"/>
          <w:color w:val="auto"/>
          <w:sz w:val="32"/>
          <w:szCs w:val="32"/>
          <w:shd w:val="clear" w:color="auto" w:fill="FFFFFF"/>
          <w:lang w:val="en-US" w:eastAsia="zh-CN"/>
        </w:rPr>
        <w:t>提前谋划</w:t>
      </w:r>
      <w:r>
        <w:rPr>
          <w:rFonts w:hint="eastAsia" w:ascii="仿宋_GB2312" w:hAnsi="仿宋_GB2312" w:eastAsia="仿宋_GB2312" w:cs="仿宋_GB2312"/>
          <w:color w:val="auto"/>
          <w:sz w:val="32"/>
          <w:szCs w:val="32"/>
          <w:shd w:val="clear" w:color="auto" w:fill="FFFFFF"/>
        </w:rPr>
        <w:t>2023学年初级学衔班招生动员工作，确保做到按时开班。</w:t>
      </w:r>
    </w:p>
    <w:p>
      <w:pPr>
        <w:keepNext w:val="0"/>
        <w:keepLines w:val="0"/>
        <w:pageBreakBefore w:val="0"/>
        <w:widowControl w:val="0"/>
        <w:kinsoku/>
        <w:wordWrap/>
        <w:overflowPunct/>
        <w:topLinePunct w:val="0"/>
        <w:autoSpaceDN/>
        <w:bidi w:val="0"/>
        <w:adjustRightInd/>
        <w:snapToGrid/>
        <w:spacing w:line="576" w:lineRule="exact"/>
        <w:ind w:firstLine="640"/>
        <w:rPr>
          <w:rFonts w:hint="default" w:ascii="Times New Roman" w:hAnsi="Times New Roman" w:eastAsia="仿宋_GB2312"/>
          <w:color w:val="auto"/>
          <w:sz w:val="32"/>
          <w:szCs w:val="32"/>
          <w:shd w:val="clear" w:color="auto" w:fill="FFFFFF"/>
          <w:lang w:val="en-US" w:eastAsia="zh-CN"/>
        </w:rPr>
      </w:pPr>
      <w:r>
        <w:rPr>
          <w:rFonts w:hint="eastAsia" w:ascii="方正楷体_GBK" w:hAnsi="Times New Roman" w:eastAsia="方正楷体_GBK" w:cs="Times New Roman"/>
          <w:b w:val="0"/>
          <w:bCs w:val="0"/>
          <w:color w:val="auto"/>
          <w:sz w:val="32"/>
          <w:szCs w:val="32"/>
          <w:shd w:val="clear" w:color="auto" w:fill="FFFFFF"/>
          <w:lang w:val="en-US" w:eastAsia="zh-CN"/>
        </w:rPr>
        <w:t>（三）抓课程，促进各类培训效果全面提效。</w:t>
      </w:r>
      <w:r>
        <w:rPr>
          <w:rFonts w:hint="eastAsia" w:ascii="Times New Roman" w:hAnsi="Times New Roman" w:eastAsia="仿宋_GB2312" w:cs="Times New Roman"/>
          <w:color w:val="auto"/>
          <w:sz w:val="32"/>
          <w:szCs w:val="32"/>
          <w:shd w:val="clear" w:color="auto" w:fill="FFFFFF"/>
          <w:lang w:val="en-US" w:eastAsia="zh-CN"/>
        </w:rPr>
        <w:t>专注提升各类培训针对性效果，</w:t>
      </w:r>
      <w:r>
        <w:rPr>
          <w:rFonts w:hint="eastAsia" w:ascii="Times New Roman" w:hAnsi="Times New Roman" w:eastAsia="仿宋_GB2312" w:cs="Times New Roman"/>
          <w:color w:val="auto"/>
          <w:sz w:val="32"/>
          <w:szCs w:val="32"/>
          <w:shd w:val="clear" w:color="auto" w:fill="FFFFFF"/>
        </w:rPr>
        <w:t>坚持“小规模、多批次”原则，继续主动承接省、州下达培训任务，有序扩大自主对接培训规模。依</w:t>
      </w:r>
      <w:r>
        <w:rPr>
          <w:rFonts w:hint="eastAsia" w:ascii="Times New Roman" w:hAnsi="Times New Roman" w:eastAsia="仿宋_GB2312"/>
          <w:color w:val="auto"/>
          <w:sz w:val="32"/>
          <w:szCs w:val="32"/>
          <w:shd w:val="clear" w:color="auto" w:fill="FFFFFF"/>
        </w:rPr>
        <w:t>靠培训推广学衔教育，增加旁听学衔教育等体验环节，介绍学衔教育成效，增强学衔教育吸引力。优化培训课程设置，丰富教学手段，提高培训有效时间，推动我院培训</w:t>
      </w:r>
      <w:r>
        <w:rPr>
          <w:rFonts w:hint="eastAsia" w:ascii="Times New Roman" w:hAnsi="Times New Roman" w:eastAsia="仿宋_GB2312"/>
          <w:color w:val="auto"/>
          <w:sz w:val="32"/>
          <w:szCs w:val="32"/>
          <w:shd w:val="clear" w:color="auto" w:fill="FFFFFF"/>
          <w:lang w:val="en-US" w:eastAsia="zh-CN"/>
        </w:rPr>
        <w:t>规模、质量和效果全面提升</w:t>
      </w:r>
      <w:r>
        <w:rPr>
          <w:rFonts w:hint="eastAsia" w:ascii="Times New Roman" w:hAnsi="Times New Roman" w:eastAsia="仿宋_GB2312"/>
          <w:color w:val="auto"/>
          <w:sz w:val="32"/>
          <w:szCs w:val="32"/>
          <w:shd w:val="clear" w:color="auto" w:fill="FFFFFF"/>
        </w:rPr>
        <w:t>。</w:t>
      </w:r>
    </w:p>
    <w:p>
      <w:pPr>
        <w:keepNext w:val="0"/>
        <w:keepLines w:val="0"/>
        <w:pageBreakBefore w:val="0"/>
        <w:widowControl w:val="0"/>
        <w:kinsoku/>
        <w:wordWrap/>
        <w:overflowPunct/>
        <w:topLinePunct w:val="0"/>
        <w:autoSpaceDN/>
        <w:bidi w:val="0"/>
        <w:adjustRightInd/>
        <w:snapToGrid/>
        <w:spacing w:line="576" w:lineRule="exact"/>
        <w:ind w:firstLine="640"/>
        <w:rPr>
          <w:rFonts w:hint="eastAsia" w:ascii="仿宋_GB2312" w:hAnsi="仿宋_GB2312" w:eastAsia="仿宋_GB2312" w:cs="仿宋_GB2312"/>
          <w:color w:val="auto"/>
          <w:sz w:val="32"/>
          <w:szCs w:val="32"/>
          <w:shd w:val="clear" w:color="auto" w:fill="FFFFFF"/>
        </w:rPr>
      </w:pPr>
      <w:r>
        <w:rPr>
          <w:rFonts w:hint="eastAsia" w:ascii="方正楷体_GBK" w:hAnsi="Times New Roman" w:eastAsia="方正楷体_GBK"/>
          <w:b w:val="0"/>
          <w:bCs w:val="0"/>
          <w:color w:val="auto"/>
          <w:sz w:val="32"/>
          <w:szCs w:val="32"/>
          <w:shd w:val="clear" w:color="auto" w:fill="FFFFFF"/>
        </w:rPr>
        <w:t>（四）</w:t>
      </w:r>
      <w:r>
        <w:rPr>
          <w:rFonts w:hint="eastAsia" w:ascii="方正楷体_GBK" w:hAnsi="Times New Roman" w:eastAsia="方正楷体_GBK"/>
          <w:b w:val="0"/>
          <w:bCs w:val="0"/>
          <w:color w:val="auto"/>
          <w:sz w:val="32"/>
          <w:szCs w:val="32"/>
          <w:shd w:val="clear" w:color="auto" w:fill="FFFFFF"/>
          <w:lang w:val="en-US" w:eastAsia="zh-CN"/>
        </w:rPr>
        <w:t>抓细节，</w:t>
      </w:r>
      <w:r>
        <w:rPr>
          <w:rFonts w:hint="eastAsia" w:ascii="方正楷体_GBK" w:hAnsi="Times New Roman" w:eastAsia="方正楷体_GBK" w:cs="Times New Roman"/>
          <w:b w:val="0"/>
          <w:bCs w:val="0"/>
          <w:color w:val="auto"/>
          <w:sz w:val="32"/>
          <w:szCs w:val="32"/>
          <w:shd w:val="clear" w:color="auto" w:fill="FFFFFF"/>
          <w:lang w:val="en-US" w:eastAsia="zh-CN"/>
        </w:rPr>
        <w:t>促进后勤保障服务全面提档。</w:t>
      </w:r>
      <w:r>
        <w:rPr>
          <w:rFonts w:hint="eastAsia" w:ascii="仿宋_GB2312" w:hAnsi="仿宋_GB2312" w:eastAsia="仿宋_GB2312" w:cs="仿宋_GB2312"/>
          <w:color w:val="auto"/>
          <w:sz w:val="32"/>
          <w:szCs w:val="32"/>
          <w:shd w:val="clear" w:color="auto" w:fill="FFFFFF"/>
          <w:lang w:val="en-US" w:eastAsia="zh-CN"/>
        </w:rPr>
        <w:t>专注提升软硬件服务档次，</w:t>
      </w:r>
      <w:r>
        <w:rPr>
          <w:rFonts w:hint="eastAsia" w:ascii="仿宋_GB2312" w:hAnsi="仿宋_GB2312" w:eastAsia="仿宋_GB2312" w:cs="仿宋_GB2312"/>
          <w:color w:val="auto"/>
          <w:sz w:val="32"/>
          <w:szCs w:val="32"/>
          <w:shd w:val="clear" w:color="auto" w:fill="FFFFFF"/>
        </w:rPr>
        <w:t>持续推进后勤保障标准化建设，建立健全执行物业服务量化考核标准，增设全过程服务评价，着力狠抓学员反馈问题，确保餐饮、客房等各项服务符合预期要求。突出安全第一要务，完善食品、消防、交通等安全体系，制定完善相关应急预案，确保关键时刻拿的出用得上。加快推进二期项目前期工作，</w:t>
      </w:r>
      <w:r>
        <w:rPr>
          <w:rFonts w:hint="eastAsia" w:ascii="仿宋_GB2312" w:hAnsi="仿宋_GB2312" w:eastAsia="仿宋_GB2312" w:cs="仿宋_GB2312"/>
          <w:color w:val="auto"/>
          <w:sz w:val="32"/>
          <w:szCs w:val="32"/>
          <w:shd w:val="clear" w:color="auto" w:fill="FFFFFF"/>
          <w:lang w:val="en-US" w:eastAsia="zh-CN"/>
        </w:rPr>
        <w:t>优先建设学员活动中心及藏传佛教文化交流中心，进一步完善学员综合服务功能，</w:t>
      </w:r>
      <w:r>
        <w:rPr>
          <w:rFonts w:hint="eastAsia" w:ascii="仿宋_GB2312" w:hAnsi="仿宋_GB2312" w:eastAsia="仿宋_GB2312" w:cs="仿宋_GB2312"/>
          <w:color w:val="auto"/>
          <w:sz w:val="32"/>
          <w:szCs w:val="32"/>
          <w:shd w:val="clear" w:color="auto" w:fill="FFFFFF"/>
        </w:rPr>
        <w:t>力争2023年实现落地开工。</w:t>
      </w:r>
    </w:p>
    <w:p>
      <w:pPr>
        <w:keepNext w:val="0"/>
        <w:keepLines w:val="0"/>
        <w:pageBreakBefore w:val="0"/>
        <w:widowControl w:val="0"/>
        <w:kinsoku/>
        <w:wordWrap/>
        <w:overflowPunct/>
        <w:topLinePunct w:val="0"/>
        <w:autoSpaceDN/>
        <w:bidi w:val="0"/>
        <w:adjustRightInd/>
        <w:snapToGrid/>
        <w:spacing w:line="576" w:lineRule="exact"/>
        <w:ind w:firstLine="640"/>
        <w:rPr>
          <w:rFonts w:hint="eastAsia" w:ascii="仿宋_GB2312" w:hAnsi="仿宋_GB2312" w:eastAsia="仿宋_GB2312" w:cs="仿宋_GB2312"/>
          <w:color w:val="auto"/>
          <w:sz w:val="32"/>
          <w:szCs w:val="32"/>
          <w:shd w:val="clear" w:color="auto" w:fill="FFFFFF"/>
        </w:rPr>
      </w:pPr>
      <w:r>
        <w:rPr>
          <w:rFonts w:hint="eastAsia" w:ascii="方正楷体_GBK" w:hAnsi="Times New Roman" w:eastAsia="方正楷体_GBK"/>
          <w:b w:val="0"/>
          <w:bCs w:val="0"/>
          <w:color w:val="auto"/>
          <w:sz w:val="32"/>
          <w:szCs w:val="32"/>
          <w:shd w:val="clear" w:color="auto" w:fill="FFFFFF"/>
        </w:rPr>
        <w:t>（五）</w:t>
      </w:r>
      <w:r>
        <w:rPr>
          <w:rFonts w:hint="eastAsia" w:ascii="方正楷体_GBK" w:hAnsi="Times New Roman" w:eastAsia="方正楷体_GBK"/>
          <w:b w:val="0"/>
          <w:bCs w:val="0"/>
          <w:color w:val="auto"/>
          <w:sz w:val="32"/>
          <w:szCs w:val="32"/>
          <w:shd w:val="clear" w:color="auto" w:fill="FFFFFF"/>
          <w:lang w:val="en-US" w:eastAsia="zh-CN"/>
        </w:rPr>
        <w:t>抓制度，</w:t>
      </w:r>
      <w:r>
        <w:rPr>
          <w:rFonts w:hint="eastAsia" w:ascii="方正楷体_GBK" w:hAnsi="Times New Roman" w:eastAsia="方正楷体_GBK" w:cs="Times New Roman"/>
          <w:b w:val="0"/>
          <w:bCs w:val="0"/>
          <w:color w:val="auto"/>
          <w:sz w:val="32"/>
          <w:szCs w:val="32"/>
          <w:shd w:val="clear" w:color="auto" w:fill="FFFFFF"/>
          <w:lang w:val="en-US" w:eastAsia="zh-CN"/>
        </w:rPr>
        <w:t>促进学院运转效率全面提标。</w:t>
      </w:r>
      <w:r>
        <w:rPr>
          <w:rFonts w:hint="eastAsia" w:ascii="仿宋_GB2312" w:hAnsi="仿宋_GB2312" w:eastAsia="仿宋_GB2312" w:cs="仿宋_GB2312"/>
          <w:color w:val="auto"/>
          <w:sz w:val="32"/>
          <w:szCs w:val="32"/>
          <w:shd w:val="clear" w:color="auto" w:fill="FFFFFF"/>
          <w:lang w:val="en-US" w:eastAsia="zh-CN"/>
        </w:rPr>
        <w:t>专注提升标准化管理水平，</w:t>
      </w:r>
      <w:r>
        <w:rPr>
          <w:rFonts w:hint="eastAsia" w:ascii="仿宋_GB2312" w:hAnsi="仿宋_GB2312" w:eastAsia="仿宋_GB2312" w:cs="仿宋_GB2312"/>
          <w:color w:val="auto"/>
          <w:sz w:val="32"/>
          <w:szCs w:val="32"/>
          <w:shd w:val="clear" w:color="auto" w:fill="FFFFFF"/>
        </w:rPr>
        <w:t>坚持以制度管事、管人的总要求不动摇，不断完善各项制度建设。积极对上争取扩编增岗，</w:t>
      </w:r>
      <w:r>
        <w:rPr>
          <w:rFonts w:hint="eastAsia" w:ascii="仿宋_GB2312" w:hAnsi="仿宋_GB2312" w:eastAsia="仿宋_GB2312" w:cs="仿宋_GB2312"/>
          <w:color w:val="auto"/>
          <w:sz w:val="32"/>
          <w:szCs w:val="32"/>
          <w:shd w:val="clear" w:color="auto" w:fill="FFFFFF"/>
          <w:lang w:val="en-US" w:eastAsia="zh-CN"/>
        </w:rPr>
        <w:t>满足</w:t>
      </w:r>
      <w:r>
        <w:rPr>
          <w:rFonts w:hint="eastAsia" w:ascii="仿宋_GB2312" w:hAnsi="仿宋_GB2312" w:eastAsia="仿宋_GB2312" w:cs="仿宋_GB2312"/>
          <w:color w:val="auto"/>
          <w:sz w:val="32"/>
          <w:szCs w:val="32"/>
          <w:shd w:val="clear" w:color="auto" w:fill="FFFFFF"/>
        </w:rPr>
        <w:t>当前</w:t>
      </w:r>
      <w:r>
        <w:rPr>
          <w:rFonts w:hint="eastAsia" w:ascii="仿宋_GB2312" w:hAnsi="仿宋_GB2312" w:eastAsia="仿宋_GB2312" w:cs="仿宋_GB2312"/>
          <w:color w:val="auto"/>
          <w:sz w:val="32"/>
          <w:szCs w:val="32"/>
          <w:shd w:val="clear" w:color="auto" w:fill="FFFFFF"/>
          <w:lang w:val="en-US" w:eastAsia="zh-CN"/>
        </w:rPr>
        <w:t>和</w:t>
      </w:r>
      <w:r>
        <w:rPr>
          <w:rFonts w:hint="eastAsia" w:ascii="仿宋_GB2312" w:hAnsi="仿宋_GB2312" w:eastAsia="仿宋_GB2312" w:cs="仿宋_GB2312"/>
          <w:color w:val="auto"/>
          <w:sz w:val="32"/>
          <w:szCs w:val="32"/>
          <w:shd w:val="clear" w:color="auto" w:fill="FFFFFF"/>
        </w:rPr>
        <w:t>2023年</w:t>
      </w:r>
      <w:r>
        <w:rPr>
          <w:rFonts w:hint="eastAsia" w:ascii="仿宋_GB2312" w:hAnsi="仿宋_GB2312" w:eastAsia="仿宋_GB2312" w:cs="仿宋_GB2312"/>
          <w:color w:val="auto"/>
          <w:sz w:val="32"/>
          <w:szCs w:val="32"/>
        </w:rPr>
        <w:t>及后期四个学衔班运转</w:t>
      </w:r>
      <w:r>
        <w:rPr>
          <w:rFonts w:hint="eastAsia" w:ascii="仿宋_GB2312" w:hAnsi="仿宋_GB2312" w:eastAsia="仿宋_GB2312" w:cs="仿宋_GB2312"/>
          <w:color w:val="auto"/>
          <w:sz w:val="32"/>
          <w:szCs w:val="32"/>
          <w:lang w:val="en-US" w:eastAsia="zh-CN"/>
        </w:rPr>
        <w:t>需求</w:t>
      </w:r>
      <w:r>
        <w:rPr>
          <w:rFonts w:hint="eastAsia" w:ascii="仿宋_GB2312" w:hAnsi="仿宋_GB2312" w:eastAsia="仿宋_GB2312" w:cs="仿宋_GB2312"/>
          <w:color w:val="auto"/>
          <w:sz w:val="32"/>
          <w:szCs w:val="32"/>
        </w:rPr>
        <w:t>。严格执行财经纪律制度，规范财务支出要求，大力争取预算费用，确保学院平稳运转。自觉接受驻部纪检组及其他督查检查单位监督，切实抓好各项日常工作，确保检查督查不出问题</w:t>
      </w:r>
      <w:r>
        <w:rPr>
          <w:rFonts w:hint="eastAsia" w:ascii="仿宋_GB2312" w:hAnsi="仿宋_GB2312" w:eastAsia="仿宋_GB2312" w:cs="仿宋_GB2312"/>
          <w:color w:val="auto"/>
          <w:sz w:val="32"/>
          <w:szCs w:val="32"/>
          <w:lang w:eastAsia="zh-CN"/>
        </w:rPr>
        <w:t>，促进学院高效运转。</w:t>
      </w:r>
    </w:p>
    <w:p>
      <w:pPr>
        <w:keepNext w:val="0"/>
        <w:keepLines w:val="0"/>
        <w:pageBreakBefore w:val="0"/>
        <w:widowControl w:val="0"/>
        <w:kinsoku/>
        <w:wordWrap/>
        <w:overflowPunct/>
        <w:topLinePunct w:val="0"/>
        <w:autoSpaceDN/>
        <w:bidi w:val="0"/>
        <w:adjustRightInd/>
        <w:snapToGrid/>
        <w:spacing w:line="576" w:lineRule="exact"/>
        <w:ind w:firstLine="640"/>
        <w:rPr>
          <w:rFonts w:hint="eastAsia" w:ascii="仿宋_GB2312" w:hAnsi="仿宋_GB2312" w:eastAsia="仿宋_GB2312" w:cs="仿宋_GB2312"/>
          <w:color w:val="auto"/>
          <w:kern w:val="2"/>
          <w:sz w:val="32"/>
          <w:szCs w:val="32"/>
        </w:rPr>
      </w:pPr>
      <w:r>
        <w:rPr>
          <w:rFonts w:hint="eastAsia" w:ascii="方正楷体_GBK" w:hAnsi="Times New Roman" w:eastAsia="方正楷体_GBK"/>
          <w:b w:val="0"/>
          <w:bCs w:val="0"/>
          <w:color w:val="auto"/>
          <w:sz w:val="32"/>
          <w:szCs w:val="32"/>
          <w:shd w:val="clear" w:color="auto" w:fill="FFFFFF"/>
          <w:lang w:val="en-US" w:eastAsia="zh-CN"/>
        </w:rPr>
        <w:t>（六）抓活动，促进学院党建工作全面提升。</w:t>
      </w:r>
      <w:r>
        <w:rPr>
          <w:rFonts w:hint="eastAsia" w:ascii="仿宋_GB2312" w:hAnsi="仿宋_GB2312" w:eastAsia="仿宋_GB2312" w:cs="仿宋_GB2312"/>
          <w:color w:val="auto"/>
          <w:sz w:val="32"/>
          <w:szCs w:val="32"/>
          <w:lang w:val="en-US" w:eastAsia="zh-CN"/>
        </w:rPr>
        <w:t>专注提升干部精气神，</w:t>
      </w:r>
      <w:r>
        <w:rPr>
          <w:rFonts w:hint="eastAsia" w:ascii="仿宋_GB2312" w:hAnsi="仿宋_GB2312" w:eastAsia="仿宋_GB2312" w:cs="仿宋_GB2312"/>
          <w:color w:val="auto"/>
          <w:sz w:val="32"/>
          <w:szCs w:val="32"/>
        </w:rPr>
        <w:t>坚持发挥党组织的核心阵地作用，结合学院工作实际，把深入学习贯彻党的二十大精神与学院党建工作结合起来，坚持落实“三会一课”制度，定期规范开展党支部活动和主题党日活动，坚持落实</w:t>
      </w:r>
      <w:r>
        <w:rPr>
          <w:rFonts w:hint="eastAsia" w:ascii="仿宋_GB2312" w:hAnsi="仿宋_GB2312" w:eastAsia="仿宋_GB2312" w:cs="仿宋_GB2312"/>
          <w:color w:val="auto"/>
          <w:sz w:val="32"/>
          <w:szCs w:val="32"/>
          <w:lang w:eastAsia="zh-CN"/>
        </w:rPr>
        <w:t>党委书记讲党课、支部书记党课要求和</w:t>
      </w:r>
      <w:r>
        <w:rPr>
          <w:rFonts w:hint="eastAsia" w:ascii="仿宋_GB2312" w:hAnsi="仿宋_GB2312" w:eastAsia="仿宋_GB2312" w:cs="仿宋_GB2312"/>
          <w:color w:val="auto"/>
          <w:sz w:val="32"/>
          <w:szCs w:val="32"/>
        </w:rPr>
        <w:t>中心组学习制度，始终将“第一议题”制度贯穿</w:t>
      </w:r>
      <w:r>
        <w:rPr>
          <w:rFonts w:hint="eastAsia" w:ascii="仿宋_GB2312" w:hAnsi="仿宋_GB2312" w:eastAsia="仿宋_GB2312" w:cs="仿宋_GB2312"/>
          <w:color w:val="auto"/>
          <w:sz w:val="32"/>
          <w:szCs w:val="32"/>
          <w:lang w:eastAsia="zh-CN"/>
        </w:rPr>
        <w:t>各类</w:t>
      </w:r>
      <w:r>
        <w:rPr>
          <w:rFonts w:hint="eastAsia" w:ascii="仿宋_GB2312" w:hAnsi="仿宋_GB2312" w:eastAsia="仿宋_GB2312" w:cs="仿宋_GB2312"/>
          <w:color w:val="auto"/>
          <w:sz w:val="32"/>
          <w:szCs w:val="32"/>
        </w:rPr>
        <w:t>学习</w:t>
      </w:r>
      <w:r>
        <w:rPr>
          <w:rFonts w:hint="eastAsia" w:ascii="仿宋_GB2312" w:hAnsi="仿宋_GB2312" w:eastAsia="仿宋_GB2312" w:cs="仿宋_GB2312"/>
          <w:color w:val="auto"/>
          <w:sz w:val="32"/>
          <w:szCs w:val="32"/>
          <w:lang w:eastAsia="zh-CN"/>
        </w:rPr>
        <w:t>活动</w:t>
      </w:r>
      <w:r>
        <w:rPr>
          <w:rFonts w:hint="eastAsia" w:ascii="仿宋_GB2312" w:hAnsi="仿宋_GB2312" w:eastAsia="仿宋_GB2312" w:cs="仿宋_GB2312"/>
          <w:color w:val="auto"/>
          <w:sz w:val="32"/>
          <w:szCs w:val="32"/>
        </w:rPr>
        <w:t>始终。深化党风廉政建设，组织干部职工前往锦江监狱等地开展实地教育教学活动，增强警示教育在干部职工心中的震慑力。</w:t>
      </w:r>
    </w:p>
    <w:p>
      <w:pPr>
        <w:pStyle w:val="19"/>
        <w:spacing w:before="0" w:line="360" w:lineRule="auto"/>
        <w:rPr>
          <w:rFonts w:hint="eastAsia" w:ascii="方正黑体_GBK" w:hAnsi="方正黑体_GBK" w:eastAsia="方正黑体_GBK" w:cs="方正黑体_GBK"/>
          <w:b w:val="0"/>
          <w:bCs w:val="0"/>
          <w:kern w:val="2"/>
          <w:sz w:val="32"/>
          <w:szCs w:val="32"/>
        </w:rPr>
      </w:pPr>
      <w:r>
        <w:rPr>
          <w:rFonts w:hint="eastAsia" w:ascii="方正黑体_GBK" w:hAnsi="方正黑体_GBK" w:eastAsia="方正黑体_GBK" w:cs="方正黑体_GBK"/>
          <w:b w:val="0"/>
          <w:bCs w:val="0"/>
          <w:kern w:val="2"/>
          <w:sz w:val="32"/>
          <w:szCs w:val="32"/>
        </w:rPr>
        <w:t>二、部门预算单位构成</w:t>
      </w:r>
    </w:p>
    <w:p>
      <w:pPr>
        <w:spacing w:line="600" w:lineRule="exact"/>
        <w:ind w:firstLine="640" w:firstLineChars="200"/>
        <w:outlineLvl w:val="1"/>
        <w:rPr>
          <w:rFonts w:hint="default" w:ascii="仿宋_GB2312" w:hAnsi="仿宋_GB2312" w:eastAsia="仿宋_GB2312" w:cs="仿宋_GB2312"/>
          <w:b w:val="0"/>
          <w:bCs w:val="0"/>
          <w:sz w:val="32"/>
          <w:szCs w:val="32"/>
          <w:lang w:val="en-US"/>
        </w:rPr>
      </w:pPr>
      <w:r>
        <w:rPr>
          <w:rFonts w:hint="eastAsia" w:ascii="仿宋_GB2312" w:hAnsi="仿宋_GB2312" w:eastAsia="仿宋_GB2312" w:cs="仿宋_GB2312"/>
          <w:color w:val="000000"/>
          <w:kern w:val="2"/>
          <w:sz w:val="32"/>
          <w:szCs w:val="32"/>
          <w:lang w:val="en-US" w:eastAsia="zh-CN" w:bidi="ar-SA"/>
        </w:rPr>
        <w:t>四川藏语佛学院阿坝分院属一级预算单位。本部门内设机构6个。</w:t>
      </w:r>
      <w:r>
        <w:rPr>
          <w:rFonts w:hint="eastAsia" w:ascii="仿宋_GB2312" w:hAnsi="仿宋_GB2312" w:eastAsia="仿宋_GB2312" w:cs="仿宋_GB2312"/>
          <w:b w:val="0"/>
          <w:bCs w:val="0"/>
          <w:sz w:val="32"/>
          <w:szCs w:val="32"/>
        </w:rPr>
        <w:t>分别是：办公室，教务</w:t>
      </w:r>
      <w:r>
        <w:rPr>
          <w:rFonts w:hint="eastAsia" w:ascii="仿宋_GB2312" w:hAnsi="仿宋_GB2312" w:eastAsia="仿宋_GB2312" w:cs="仿宋_GB2312"/>
          <w:b w:val="0"/>
          <w:bCs w:val="0"/>
          <w:sz w:val="32"/>
          <w:szCs w:val="32"/>
          <w:lang w:val="en-US" w:eastAsia="zh-CN"/>
        </w:rPr>
        <w:t>科</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培训科</w:t>
      </w:r>
      <w:r>
        <w:rPr>
          <w:rFonts w:hint="eastAsia" w:ascii="仿宋_GB2312" w:hAnsi="仿宋_GB2312" w:eastAsia="仿宋_GB2312" w:cs="仿宋_GB2312"/>
          <w:b w:val="0"/>
          <w:bCs w:val="0"/>
          <w:sz w:val="32"/>
          <w:szCs w:val="32"/>
        </w:rPr>
        <w:t>，后勤</w:t>
      </w:r>
      <w:r>
        <w:rPr>
          <w:rFonts w:hint="eastAsia" w:ascii="仿宋_GB2312" w:hAnsi="仿宋_GB2312" w:eastAsia="仿宋_GB2312" w:cs="仿宋_GB2312"/>
          <w:b w:val="0"/>
          <w:bCs w:val="0"/>
          <w:sz w:val="32"/>
          <w:szCs w:val="32"/>
          <w:lang w:val="en-US" w:eastAsia="zh-CN"/>
        </w:rPr>
        <w:t>科、学员管理科、保卫科。</w:t>
      </w:r>
    </w:p>
    <w:p>
      <w:pPr>
        <w:pStyle w:val="19"/>
        <w:spacing w:before="0" w:line="360" w:lineRule="auto"/>
        <w:ind w:firstLine="627" w:firstLineChars="196"/>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总编制20名，均属于事业编制。人员实有人数为9人。其中党委书记、第一副院长1名，副书记、党委委员、副院长2人名。</w:t>
      </w: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ind w:firstLine="627" w:firstLineChars="196"/>
        <w:jc w:val="center"/>
        <w:rPr>
          <w:rFonts w:hint="eastAsia" w:ascii="仿宋_GB2312" w:hAnsi="仿宋" w:eastAsia="仿宋_GB2312" w:cs="宋体"/>
          <w:color w:val="000000"/>
          <w:kern w:val="0"/>
          <w:sz w:val="32"/>
          <w:szCs w:val="32"/>
          <w:lang w:eastAsia="zh-CN"/>
        </w:rPr>
      </w:pPr>
    </w:p>
    <w:p>
      <w:pPr>
        <w:jc w:val="center"/>
        <w:rPr>
          <w:rFonts w:hint="eastAsia" w:ascii="方正小标宋_GBK" w:hAnsi="方正小标宋_GBK" w:eastAsia="方正小标宋_GBK" w:cs="方正小标宋_GBK"/>
          <w:sz w:val="52"/>
          <w:szCs w:val="52"/>
          <w:lang w:val="en-US" w:eastAsia="zh-CN"/>
        </w:rPr>
      </w:pPr>
      <w:r>
        <w:rPr>
          <w:rFonts w:hint="eastAsia" w:ascii="方正小标宋_GBK" w:hAnsi="方正小标宋_GBK" w:eastAsia="方正小标宋_GBK" w:cs="方正小标宋_GBK"/>
          <w:sz w:val="52"/>
          <w:szCs w:val="52"/>
          <w:lang w:val="en-US" w:eastAsia="zh-CN"/>
        </w:rPr>
        <w:t>第二部分  四川藏语佛学院阿坝分院2023年单位预算表</w:t>
      </w:r>
    </w:p>
    <w:p>
      <w:pPr>
        <w:pStyle w:val="19"/>
        <w:spacing w:before="0" w:line="360" w:lineRule="auto"/>
        <w:ind w:firstLine="1019" w:firstLineChars="196"/>
        <w:jc w:val="center"/>
        <w:rPr>
          <w:rFonts w:hint="eastAsia" w:ascii="方正小标宋_GBK" w:hAnsi="方正小标宋_GBK" w:eastAsia="方正小标宋_GBK" w:cs="方正小标宋_GBK"/>
          <w:color w:val="000000"/>
          <w:kern w:val="0"/>
          <w:sz w:val="52"/>
          <w:szCs w:val="52"/>
          <w:lang w:eastAsia="zh-CN"/>
        </w:rPr>
      </w:pP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ind w:firstLine="627" w:firstLineChars="196"/>
        <w:rPr>
          <w:rFonts w:hint="eastAsia" w:ascii="仿宋_GB2312" w:hAnsi="仿宋" w:eastAsia="仿宋_GB2312" w:cs="宋体"/>
          <w:color w:val="000000"/>
          <w:kern w:val="0"/>
          <w:sz w:val="32"/>
          <w:szCs w:val="32"/>
          <w:lang w:eastAsia="zh-CN"/>
        </w:rPr>
      </w:pPr>
    </w:p>
    <w:p>
      <w:pPr>
        <w:pStyle w:val="19"/>
        <w:spacing w:before="0" w:line="360" w:lineRule="auto"/>
        <w:rPr>
          <w:rFonts w:hint="eastAsia" w:ascii="仿宋_GB2312" w:hAnsi="仿宋" w:eastAsia="仿宋_GB2312" w:cs="宋体"/>
          <w:color w:val="000000"/>
          <w:kern w:val="0"/>
          <w:sz w:val="32"/>
          <w:szCs w:val="32"/>
          <w:lang w:eastAsia="zh-CN"/>
        </w:rPr>
      </w:pPr>
    </w:p>
    <w:p>
      <w:pPr>
        <w:pStyle w:val="19"/>
        <w:spacing w:before="0" w:line="360" w:lineRule="auto"/>
        <w:rPr>
          <w:rFonts w:hint="eastAsia" w:ascii="仿宋_GB2312" w:hAnsi="仿宋" w:eastAsia="仿宋_GB2312" w:cs="宋体"/>
          <w:color w:val="000000"/>
          <w:kern w:val="0"/>
          <w:sz w:val="32"/>
          <w:szCs w:val="32"/>
          <w:lang w:eastAsia="zh-CN"/>
        </w:rPr>
      </w:pPr>
    </w:p>
    <w:p>
      <w:pPr>
        <w:pStyle w:val="19"/>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rPr>
        <w:t>一、单位收支总表（公开表 1）</w:t>
      </w:r>
    </w:p>
    <w:p>
      <w:pPr>
        <w:pStyle w:val="19"/>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rPr>
        <w:drawing>
          <wp:inline distT="0" distB="0" distL="0" distR="0">
            <wp:extent cx="5271135" cy="6739255"/>
            <wp:effectExtent l="0" t="0" r="0" b="0"/>
            <wp:docPr id="1" name="_x0000_i1025"/>
            <wp:cNvGraphicFramePr/>
            <a:graphic xmlns:a="http://schemas.openxmlformats.org/drawingml/2006/main">
              <a:graphicData uri="http://schemas.openxmlformats.org/drawingml/2006/picture">
                <pic:pic xmlns:pic="http://schemas.openxmlformats.org/drawingml/2006/picture">
                  <pic:nvPicPr>
                    <pic:cNvPr id="1" name="_x0000_i1025"/>
                    <pic:cNvPicPr/>
                  </pic:nvPicPr>
                  <pic:blipFill>
                    <a:blip r:embed="rId5"/>
                    <a:stretch>
                      <a:fillRect/>
                    </a:stretch>
                  </pic:blipFill>
                  <pic:spPr>
                    <a:xfrm>
                      <a:off x="0" y="0"/>
                      <a:ext cx="5271135" cy="6739255"/>
                    </a:xfrm>
                    <a:prstGeom prst="rect">
                      <a:avLst/>
                    </a:prstGeom>
                  </pic:spPr>
                </pic:pic>
              </a:graphicData>
            </a:graphic>
          </wp:inline>
        </w:drawing>
      </w:r>
    </w:p>
    <w:p>
      <w:pPr>
        <w:pStyle w:val="19"/>
        <w:numPr>
          <w:ilvl w:val="0"/>
          <w:numId w:val="0"/>
        </w:numPr>
        <w:spacing w:before="0" w:line="360" w:lineRule="auto"/>
        <w:ind w:leftChars="0"/>
        <w:rPr>
          <w:rFonts w:hint="eastAsia" w:ascii="黑体" w:hAnsi="黑体" w:eastAsia="黑体" w:cs="黑体"/>
          <w:kern w:val="2"/>
          <w:sz w:val="32"/>
          <w:szCs w:val="32"/>
        </w:rPr>
      </w:pPr>
      <w:r>
        <w:rPr>
          <w:rFonts w:hint="eastAsia" w:ascii="黑体" w:hAnsi="黑体" w:eastAsia="黑体" w:cs="黑体"/>
          <w:kern w:val="2"/>
          <w:sz w:val="32"/>
          <w:szCs w:val="32"/>
          <w:lang w:val="en-US" w:eastAsia="zh-CN"/>
        </w:rPr>
        <w:t>二、</w:t>
      </w:r>
      <w:r>
        <w:rPr>
          <w:rFonts w:hint="eastAsia" w:ascii="黑体" w:hAnsi="黑体" w:eastAsia="黑体" w:cs="黑体"/>
          <w:kern w:val="2"/>
          <w:sz w:val="32"/>
          <w:szCs w:val="32"/>
        </w:rPr>
        <w:t>单位收入总表（公开表 1-1）</w:t>
      </w:r>
    </w:p>
    <w:p>
      <w:pPr>
        <w:pStyle w:val="19"/>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rPr>
        <w:drawing>
          <wp:inline distT="0" distB="0" distL="0" distR="0">
            <wp:extent cx="5498465" cy="1056005"/>
            <wp:effectExtent l="0" t="0" r="0" b="0"/>
            <wp:docPr id="2" name="_x0000_i1026"/>
            <wp:cNvGraphicFramePr/>
            <a:graphic xmlns:a="http://schemas.openxmlformats.org/drawingml/2006/main">
              <a:graphicData uri="http://schemas.openxmlformats.org/drawingml/2006/picture">
                <pic:pic xmlns:pic="http://schemas.openxmlformats.org/drawingml/2006/picture">
                  <pic:nvPicPr>
                    <pic:cNvPr id="2" name="_x0000_i1026"/>
                    <pic:cNvPicPr/>
                  </pic:nvPicPr>
                  <pic:blipFill>
                    <a:blip r:embed="rId6"/>
                    <a:stretch>
                      <a:fillRect/>
                    </a:stretch>
                  </pic:blipFill>
                  <pic:spPr>
                    <a:xfrm>
                      <a:off x="0" y="0"/>
                      <a:ext cx="5498465" cy="1056005"/>
                    </a:xfrm>
                    <a:prstGeom prst="rect">
                      <a:avLst/>
                    </a:prstGeom>
                  </pic:spPr>
                </pic:pic>
              </a:graphicData>
            </a:graphic>
          </wp:inline>
        </w:drawing>
      </w:r>
      <w:r>
        <w:rPr>
          <w:rFonts w:hint="eastAsia" w:ascii="黑体" w:hAnsi="黑体" w:eastAsia="黑体" w:cs="黑体"/>
          <w:kern w:val="2"/>
          <w:sz w:val="32"/>
          <w:szCs w:val="32"/>
        </w:rPr>
        <w:t>三、单位支出总表（公开表 1-2）</w:t>
      </w:r>
    </w:p>
    <w:p>
      <w:pPr>
        <w:pStyle w:val="19"/>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rPr>
        <w:drawing>
          <wp:inline distT="0" distB="0" distL="0" distR="0">
            <wp:extent cx="5598795" cy="3035300"/>
            <wp:effectExtent l="0" t="0" r="0" b="0"/>
            <wp:docPr id="3" name="_x0000_i1027"/>
            <wp:cNvGraphicFramePr/>
            <a:graphic xmlns:a="http://schemas.openxmlformats.org/drawingml/2006/main">
              <a:graphicData uri="http://schemas.openxmlformats.org/drawingml/2006/picture">
                <pic:pic xmlns:pic="http://schemas.openxmlformats.org/drawingml/2006/picture">
                  <pic:nvPicPr>
                    <pic:cNvPr id="3" name="_x0000_i1027"/>
                    <pic:cNvPicPr/>
                  </pic:nvPicPr>
                  <pic:blipFill>
                    <a:blip r:embed="rId7"/>
                    <a:stretch>
                      <a:fillRect/>
                    </a:stretch>
                  </pic:blipFill>
                  <pic:spPr>
                    <a:xfrm>
                      <a:off x="0" y="0"/>
                      <a:ext cx="5598795" cy="3035300"/>
                    </a:xfrm>
                    <a:prstGeom prst="rect">
                      <a:avLst/>
                    </a:prstGeom>
                  </pic:spPr>
                </pic:pic>
              </a:graphicData>
            </a:graphic>
          </wp:inline>
        </w:drawing>
      </w:r>
    </w:p>
    <w:p>
      <w:pPr>
        <w:pStyle w:val="19"/>
        <w:spacing w:before="0" w:line="360" w:lineRule="auto"/>
        <w:rPr>
          <w:rFonts w:hint="eastAsia" w:ascii="黑体" w:hAnsi="黑体" w:eastAsia="黑体" w:cs="黑体"/>
          <w:kern w:val="2"/>
          <w:sz w:val="32"/>
          <w:szCs w:val="32"/>
        </w:rPr>
      </w:pPr>
    </w:p>
    <w:p>
      <w:pPr>
        <w:pStyle w:val="19"/>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rPr>
        <w:t>四、财政拨款收支预算总表（公开表 2）</w:t>
      </w:r>
    </w:p>
    <w:p>
      <w:pPr>
        <w:pStyle w:val="19"/>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rPr>
        <w:drawing>
          <wp:inline distT="0" distB="0" distL="0" distR="0">
            <wp:extent cx="5272405" cy="4158615"/>
            <wp:effectExtent l="0" t="0" r="0" b="0"/>
            <wp:docPr id="4" name="_x0000_i1028"/>
            <wp:cNvGraphicFramePr/>
            <a:graphic xmlns:a="http://schemas.openxmlformats.org/drawingml/2006/main">
              <a:graphicData uri="http://schemas.openxmlformats.org/drawingml/2006/picture">
                <pic:pic xmlns:pic="http://schemas.openxmlformats.org/drawingml/2006/picture">
                  <pic:nvPicPr>
                    <pic:cNvPr id="4" name="_x0000_i1028"/>
                    <pic:cNvPicPr/>
                  </pic:nvPicPr>
                  <pic:blipFill>
                    <a:blip r:embed="rId8"/>
                    <a:stretch>
                      <a:fillRect/>
                    </a:stretch>
                  </pic:blipFill>
                  <pic:spPr>
                    <a:xfrm>
                      <a:off x="0" y="0"/>
                      <a:ext cx="5272405" cy="4158615"/>
                    </a:xfrm>
                    <a:prstGeom prst="rect">
                      <a:avLst/>
                    </a:prstGeom>
                  </pic:spPr>
                </pic:pic>
              </a:graphicData>
            </a:graphic>
          </wp:inline>
        </w:drawing>
      </w:r>
    </w:p>
    <w:p>
      <w:pPr>
        <w:pStyle w:val="19"/>
        <w:numPr>
          <w:ilvl w:val="0"/>
          <w:numId w:val="0"/>
        </w:numPr>
        <w:spacing w:before="0" w:line="360" w:lineRule="auto"/>
        <w:rPr>
          <w:rFonts w:hint="eastAsia" w:ascii="黑体" w:hAnsi="黑体" w:eastAsia="黑体" w:cs="黑体"/>
          <w:kern w:val="2"/>
          <w:sz w:val="32"/>
          <w:szCs w:val="32"/>
        </w:rPr>
      </w:pPr>
    </w:p>
    <w:p>
      <w:pPr>
        <w:pStyle w:val="19"/>
        <w:numPr>
          <w:ilvl w:val="0"/>
          <w:numId w:val="4"/>
        </w:numPr>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rPr>
        <w:t>财政拨款支出预算表（部门经济分类科目）（公开表 2-1）</w:t>
      </w:r>
    </w:p>
    <w:p>
      <w:pPr>
        <w:pStyle w:val="19"/>
        <w:numPr>
          <w:ilvl w:val="0"/>
          <w:numId w:val="0"/>
        </w:numPr>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rPr>
        <w:drawing>
          <wp:inline distT="0" distB="0" distL="0" distR="0">
            <wp:extent cx="5457825" cy="5144135"/>
            <wp:effectExtent l="0" t="0" r="0" b="0"/>
            <wp:docPr id="5" name="_x0000_i1029"/>
            <wp:cNvGraphicFramePr/>
            <a:graphic xmlns:a="http://schemas.openxmlformats.org/drawingml/2006/main">
              <a:graphicData uri="http://schemas.openxmlformats.org/drawingml/2006/picture">
                <pic:pic xmlns:pic="http://schemas.openxmlformats.org/drawingml/2006/picture">
                  <pic:nvPicPr>
                    <pic:cNvPr id="5" name="_x0000_i1029"/>
                    <pic:cNvPicPr/>
                  </pic:nvPicPr>
                  <pic:blipFill>
                    <a:blip r:embed="rId9"/>
                    <a:stretch>
                      <a:fillRect/>
                    </a:stretch>
                  </pic:blipFill>
                  <pic:spPr>
                    <a:xfrm>
                      <a:off x="0" y="0"/>
                      <a:ext cx="5457825" cy="5144135"/>
                    </a:xfrm>
                    <a:prstGeom prst="rect">
                      <a:avLst/>
                    </a:prstGeom>
                  </pic:spPr>
                </pic:pic>
              </a:graphicData>
            </a:graphic>
          </wp:inline>
        </w:drawing>
      </w:r>
    </w:p>
    <w:p>
      <w:pPr>
        <w:pStyle w:val="19"/>
        <w:numPr>
          <w:ilvl w:val="0"/>
          <w:numId w:val="0"/>
        </w:numPr>
        <w:spacing w:before="0" w:line="360" w:lineRule="auto"/>
        <w:rPr>
          <w:rFonts w:hint="eastAsia" w:ascii="黑体" w:hAnsi="黑体" w:eastAsia="黑体" w:cs="黑体"/>
          <w:kern w:val="2"/>
          <w:sz w:val="32"/>
          <w:szCs w:val="32"/>
        </w:rPr>
      </w:pPr>
    </w:p>
    <w:p>
      <w:pPr>
        <w:pStyle w:val="19"/>
        <w:numPr>
          <w:ilvl w:val="0"/>
          <w:numId w:val="0"/>
        </w:numPr>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rPr>
        <w:t>六、一般公共预算支出预算表（公开表 3）</w:t>
      </w:r>
    </w:p>
    <w:p>
      <w:pPr>
        <w:pStyle w:val="19"/>
        <w:numPr>
          <w:ilvl w:val="0"/>
          <w:numId w:val="0"/>
        </w:numPr>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rPr>
        <w:drawing>
          <wp:inline distT="0" distB="0" distL="0" distR="0">
            <wp:extent cx="5269865" cy="2378075"/>
            <wp:effectExtent l="0" t="0" r="0" b="0"/>
            <wp:docPr id="6" name="_x0000_i1030"/>
            <wp:cNvGraphicFramePr/>
            <a:graphic xmlns:a="http://schemas.openxmlformats.org/drawingml/2006/main">
              <a:graphicData uri="http://schemas.openxmlformats.org/drawingml/2006/picture">
                <pic:pic xmlns:pic="http://schemas.openxmlformats.org/drawingml/2006/picture">
                  <pic:nvPicPr>
                    <pic:cNvPr id="6" name="_x0000_i1030"/>
                    <pic:cNvPicPr/>
                  </pic:nvPicPr>
                  <pic:blipFill>
                    <a:blip r:embed="rId10"/>
                    <a:stretch>
                      <a:fillRect/>
                    </a:stretch>
                  </pic:blipFill>
                  <pic:spPr>
                    <a:xfrm>
                      <a:off x="0" y="0"/>
                      <a:ext cx="5269865" cy="2378075"/>
                    </a:xfrm>
                    <a:prstGeom prst="rect">
                      <a:avLst/>
                    </a:prstGeom>
                  </pic:spPr>
                </pic:pic>
              </a:graphicData>
            </a:graphic>
          </wp:inline>
        </w:drawing>
      </w:r>
    </w:p>
    <w:p>
      <w:pPr>
        <w:pStyle w:val="19"/>
        <w:numPr>
          <w:ilvl w:val="0"/>
          <w:numId w:val="0"/>
        </w:numPr>
        <w:spacing w:before="0" w:line="360" w:lineRule="auto"/>
        <w:rPr>
          <w:rFonts w:hint="eastAsia" w:ascii="黑体" w:hAnsi="黑体" w:eastAsia="黑体" w:cs="黑体"/>
          <w:kern w:val="2"/>
          <w:sz w:val="32"/>
          <w:szCs w:val="32"/>
        </w:rPr>
      </w:pPr>
    </w:p>
    <w:p>
      <w:pPr>
        <w:pStyle w:val="19"/>
        <w:numPr>
          <w:ilvl w:val="0"/>
          <w:numId w:val="0"/>
        </w:numPr>
        <w:spacing w:before="0" w:line="360" w:lineRule="auto"/>
        <w:rPr>
          <w:rFonts w:hint="eastAsia" w:ascii="黑体" w:hAnsi="黑体" w:eastAsia="黑体" w:cs="黑体"/>
          <w:kern w:val="2"/>
          <w:sz w:val="32"/>
          <w:szCs w:val="32"/>
          <w:lang w:val="en-US" w:eastAsia="zh-CN"/>
        </w:rPr>
      </w:pPr>
    </w:p>
    <w:p>
      <w:pPr>
        <w:pStyle w:val="19"/>
        <w:numPr>
          <w:ilvl w:val="0"/>
          <w:numId w:val="0"/>
        </w:numPr>
        <w:spacing w:before="0" w:line="360" w:lineRule="auto"/>
        <w:ind w:leftChars="0"/>
        <w:rPr>
          <w:rFonts w:hint="eastAsia" w:ascii="黑体" w:hAnsi="黑体" w:eastAsia="黑体" w:cs="黑体"/>
          <w:kern w:val="2"/>
          <w:sz w:val="32"/>
          <w:szCs w:val="32"/>
        </w:rPr>
      </w:pPr>
      <w:r>
        <w:rPr>
          <w:rFonts w:hint="eastAsia" w:ascii="黑体" w:hAnsi="黑体" w:eastAsia="黑体" w:cs="黑体"/>
          <w:kern w:val="2"/>
          <w:sz w:val="32"/>
          <w:szCs w:val="32"/>
          <w:lang w:val="en-US" w:eastAsia="zh-CN"/>
        </w:rPr>
        <w:t>七、</w:t>
      </w:r>
      <w:r>
        <w:rPr>
          <w:rFonts w:hint="eastAsia" w:ascii="黑体" w:hAnsi="黑体" w:eastAsia="黑体" w:cs="黑体"/>
          <w:kern w:val="2"/>
          <w:sz w:val="32"/>
          <w:szCs w:val="32"/>
        </w:rPr>
        <w:t>一般公共预算基本支出预算表（公开表 3-1）</w:t>
      </w:r>
    </w:p>
    <w:p>
      <w:pPr>
        <w:pStyle w:val="19"/>
        <w:numPr>
          <w:ilvl w:val="0"/>
          <w:numId w:val="0"/>
        </w:numPr>
        <w:spacing w:before="0" w:line="360" w:lineRule="auto"/>
        <w:ind w:leftChars="0"/>
        <w:rPr>
          <w:rFonts w:hint="eastAsia" w:ascii="黑体" w:hAnsi="黑体" w:eastAsia="黑体" w:cs="黑体"/>
          <w:kern w:val="2"/>
          <w:sz w:val="32"/>
          <w:szCs w:val="32"/>
        </w:rPr>
      </w:pPr>
      <w:r>
        <w:rPr>
          <w:rFonts w:hint="eastAsia" w:ascii="黑体" w:hAnsi="黑体" w:eastAsia="黑体" w:cs="黑体"/>
          <w:kern w:val="2"/>
          <w:sz w:val="32"/>
          <w:szCs w:val="32"/>
        </w:rPr>
        <w:drawing>
          <wp:inline distT="0" distB="0" distL="0" distR="0">
            <wp:extent cx="5267325" cy="7049135"/>
            <wp:effectExtent l="0" t="0" r="0" b="0"/>
            <wp:docPr id="7" name="_x0000_i1031"/>
            <wp:cNvGraphicFramePr/>
            <a:graphic xmlns:a="http://schemas.openxmlformats.org/drawingml/2006/main">
              <a:graphicData uri="http://schemas.openxmlformats.org/drawingml/2006/picture">
                <pic:pic xmlns:pic="http://schemas.openxmlformats.org/drawingml/2006/picture">
                  <pic:nvPicPr>
                    <pic:cNvPr id="7" name="_x0000_i1031"/>
                    <pic:cNvPicPr/>
                  </pic:nvPicPr>
                  <pic:blipFill>
                    <a:blip r:embed="rId11"/>
                    <a:stretch>
                      <a:fillRect/>
                    </a:stretch>
                  </pic:blipFill>
                  <pic:spPr>
                    <a:xfrm>
                      <a:off x="0" y="0"/>
                      <a:ext cx="5267325" cy="7049135"/>
                    </a:xfrm>
                    <a:prstGeom prst="rect">
                      <a:avLst/>
                    </a:prstGeom>
                  </pic:spPr>
                </pic:pic>
              </a:graphicData>
            </a:graphic>
          </wp:inline>
        </w:drawing>
      </w:r>
    </w:p>
    <w:p>
      <w:pPr>
        <w:pStyle w:val="19"/>
        <w:numPr>
          <w:ilvl w:val="0"/>
          <w:numId w:val="0"/>
        </w:numPr>
        <w:spacing w:before="0" w:line="360" w:lineRule="auto"/>
        <w:rPr>
          <w:rFonts w:hint="eastAsia" w:ascii="黑体" w:hAnsi="黑体" w:eastAsia="黑体" w:cs="黑体"/>
          <w:kern w:val="2"/>
          <w:sz w:val="32"/>
          <w:szCs w:val="32"/>
        </w:rPr>
      </w:pPr>
    </w:p>
    <w:p>
      <w:pPr>
        <w:pStyle w:val="19"/>
        <w:numPr>
          <w:ilvl w:val="0"/>
          <w:numId w:val="0"/>
        </w:numPr>
        <w:spacing w:before="0" w:line="360" w:lineRule="auto"/>
        <w:rPr>
          <w:rFonts w:hint="eastAsia" w:ascii="黑体" w:hAnsi="黑体" w:eastAsia="黑体" w:cs="黑体"/>
          <w:kern w:val="2"/>
          <w:sz w:val="32"/>
          <w:szCs w:val="32"/>
        </w:rPr>
      </w:pPr>
    </w:p>
    <w:p>
      <w:pPr>
        <w:pStyle w:val="19"/>
        <w:numPr>
          <w:ilvl w:val="0"/>
          <w:numId w:val="0"/>
        </w:numPr>
        <w:spacing w:before="0" w:line="360" w:lineRule="auto"/>
        <w:rPr>
          <w:rFonts w:hint="eastAsia" w:ascii="黑体" w:hAnsi="黑体" w:eastAsia="黑体" w:cs="黑体"/>
          <w:kern w:val="2"/>
          <w:sz w:val="32"/>
          <w:szCs w:val="32"/>
        </w:rPr>
      </w:pPr>
    </w:p>
    <w:p>
      <w:pPr>
        <w:pStyle w:val="19"/>
        <w:numPr>
          <w:ilvl w:val="0"/>
          <w:numId w:val="0"/>
        </w:numPr>
        <w:spacing w:before="0" w:line="360" w:lineRule="auto"/>
        <w:rPr>
          <w:rFonts w:hint="eastAsia" w:ascii="黑体" w:hAnsi="黑体" w:eastAsia="黑体" w:cs="黑体"/>
          <w:kern w:val="2"/>
          <w:sz w:val="32"/>
          <w:szCs w:val="32"/>
        </w:rPr>
      </w:pPr>
    </w:p>
    <w:p>
      <w:pPr>
        <w:pStyle w:val="19"/>
        <w:numPr>
          <w:ilvl w:val="0"/>
          <w:numId w:val="0"/>
        </w:numPr>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lang w:val="en-US" w:eastAsia="zh-CN"/>
        </w:rPr>
        <w:t>八、</w:t>
      </w:r>
      <w:r>
        <w:rPr>
          <w:rFonts w:hint="eastAsia" w:ascii="黑体" w:hAnsi="黑体" w:eastAsia="黑体" w:cs="黑体"/>
          <w:kern w:val="2"/>
          <w:sz w:val="32"/>
          <w:szCs w:val="32"/>
        </w:rPr>
        <w:t>一般公共预算项目支出预算表（公开表 3-2）</w:t>
      </w:r>
    </w:p>
    <w:p>
      <w:pPr>
        <w:pStyle w:val="19"/>
        <w:numPr>
          <w:ilvl w:val="0"/>
          <w:numId w:val="0"/>
        </w:numPr>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rPr>
        <w:drawing>
          <wp:inline distT="0" distB="0" distL="0" distR="0">
            <wp:extent cx="5268595" cy="2398395"/>
            <wp:effectExtent l="0" t="0" r="0" b="0"/>
            <wp:docPr id="8" name="_x0000_i1032"/>
            <wp:cNvGraphicFramePr/>
            <a:graphic xmlns:a="http://schemas.openxmlformats.org/drawingml/2006/main">
              <a:graphicData uri="http://schemas.openxmlformats.org/drawingml/2006/picture">
                <pic:pic xmlns:pic="http://schemas.openxmlformats.org/drawingml/2006/picture">
                  <pic:nvPicPr>
                    <pic:cNvPr id="8" name="_x0000_i1032"/>
                    <pic:cNvPicPr/>
                  </pic:nvPicPr>
                  <pic:blipFill>
                    <a:blip r:embed="rId12"/>
                    <a:stretch>
                      <a:fillRect/>
                    </a:stretch>
                  </pic:blipFill>
                  <pic:spPr>
                    <a:xfrm>
                      <a:off x="0" y="0"/>
                      <a:ext cx="5268595" cy="2398395"/>
                    </a:xfrm>
                    <a:prstGeom prst="rect">
                      <a:avLst/>
                    </a:prstGeom>
                  </pic:spPr>
                </pic:pic>
              </a:graphicData>
            </a:graphic>
          </wp:inline>
        </w:drawing>
      </w:r>
    </w:p>
    <w:p>
      <w:pPr>
        <w:pStyle w:val="19"/>
        <w:numPr>
          <w:ilvl w:val="0"/>
          <w:numId w:val="0"/>
        </w:numPr>
        <w:spacing w:before="0" w:line="360" w:lineRule="auto"/>
        <w:rPr>
          <w:rFonts w:hint="eastAsia" w:ascii="黑体" w:hAnsi="黑体" w:eastAsia="黑体" w:cs="黑体"/>
          <w:kern w:val="2"/>
          <w:sz w:val="32"/>
          <w:szCs w:val="32"/>
        </w:rPr>
      </w:pPr>
    </w:p>
    <w:p>
      <w:pPr>
        <w:pStyle w:val="19"/>
        <w:numPr>
          <w:ilvl w:val="0"/>
          <w:numId w:val="0"/>
        </w:numPr>
        <w:spacing w:before="0" w:line="360" w:lineRule="auto"/>
        <w:rPr>
          <w:rFonts w:hint="eastAsia" w:ascii="黑体" w:hAnsi="黑体" w:eastAsia="黑体" w:cs="黑体"/>
          <w:kern w:val="2"/>
          <w:sz w:val="32"/>
          <w:szCs w:val="32"/>
        </w:rPr>
      </w:pPr>
    </w:p>
    <w:p>
      <w:pPr>
        <w:keepNext w:val="0"/>
        <w:keepLines w:val="0"/>
        <w:widowControl/>
        <w:suppressLineNumbers w:val="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九、一般公共预算</w:t>
      </w:r>
      <w:r>
        <w:rPr>
          <w:rFonts w:hint="default" w:ascii="黑体" w:hAnsi="黑体" w:eastAsia="黑体" w:cs="黑体"/>
          <w:kern w:val="2"/>
          <w:sz w:val="32"/>
          <w:szCs w:val="32"/>
          <w:lang w:val="en-US" w:eastAsia="zh-CN" w:bidi="ar-SA"/>
        </w:rPr>
        <w:t>“三公”经费支出预算表（公开表 3-3）</w:t>
      </w:r>
    </w:p>
    <w:p>
      <w:pPr>
        <w:pStyle w:val="19"/>
        <w:numPr>
          <w:ilvl w:val="0"/>
          <w:numId w:val="0"/>
        </w:numPr>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rPr>
        <w:drawing>
          <wp:inline distT="0" distB="0" distL="0" distR="0">
            <wp:extent cx="5252085" cy="1420495"/>
            <wp:effectExtent l="0" t="0" r="0" b="0"/>
            <wp:docPr id="9" name="_x0000_i1033"/>
            <wp:cNvGraphicFramePr/>
            <a:graphic xmlns:a="http://schemas.openxmlformats.org/drawingml/2006/main">
              <a:graphicData uri="http://schemas.openxmlformats.org/drawingml/2006/picture">
                <pic:pic xmlns:pic="http://schemas.openxmlformats.org/drawingml/2006/picture">
                  <pic:nvPicPr>
                    <pic:cNvPr id="9" name="_x0000_i1033"/>
                    <pic:cNvPicPr/>
                  </pic:nvPicPr>
                  <pic:blipFill>
                    <a:blip r:embed="rId13"/>
                    <a:stretch>
                      <a:fillRect/>
                    </a:stretch>
                  </pic:blipFill>
                  <pic:spPr>
                    <a:xfrm>
                      <a:off x="0" y="0"/>
                      <a:ext cx="5252085" cy="1420495"/>
                    </a:xfrm>
                    <a:prstGeom prst="rect">
                      <a:avLst/>
                    </a:prstGeom>
                  </pic:spPr>
                </pic:pic>
              </a:graphicData>
            </a:graphic>
          </wp:inline>
        </w:drawing>
      </w:r>
    </w:p>
    <w:p>
      <w:pPr>
        <w:pStyle w:val="19"/>
        <w:numPr>
          <w:ilvl w:val="0"/>
          <w:numId w:val="0"/>
        </w:numPr>
        <w:spacing w:before="0" w:line="360" w:lineRule="auto"/>
        <w:rPr>
          <w:rFonts w:hint="eastAsia" w:ascii="黑体" w:hAnsi="黑体" w:eastAsia="黑体" w:cs="黑体"/>
          <w:kern w:val="2"/>
          <w:sz w:val="32"/>
          <w:szCs w:val="32"/>
        </w:rPr>
      </w:pPr>
    </w:p>
    <w:p>
      <w:pPr>
        <w:pStyle w:val="19"/>
        <w:numPr>
          <w:ilvl w:val="0"/>
          <w:numId w:val="0"/>
        </w:numPr>
        <w:spacing w:before="0" w:line="360" w:lineRule="auto"/>
        <w:rPr>
          <w:rFonts w:hint="eastAsia" w:ascii="黑体" w:hAnsi="黑体" w:eastAsia="黑体" w:cs="黑体"/>
          <w:kern w:val="2"/>
          <w:sz w:val="32"/>
          <w:szCs w:val="32"/>
        </w:rPr>
      </w:pPr>
    </w:p>
    <w:p>
      <w:pPr>
        <w:pStyle w:val="19"/>
        <w:numPr>
          <w:ilvl w:val="0"/>
          <w:numId w:val="0"/>
        </w:numPr>
        <w:spacing w:before="0" w:line="360" w:lineRule="auto"/>
        <w:rPr>
          <w:rFonts w:hint="eastAsia" w:ascii="黑体" w:hAnsi="黑体" w:eastAsia="黑体" w:cs="黑体"/>
          <w:kern w:val="2"/>
          <w:sz w:val="32"/>
          <w:szCs w:val="32"/>
        </w:rPr>
      </w:pPr>
    </w:p>
    <w:p>
      <w:pPr>
        <w:pStyle w:val="19"/>
        <w:numPr>
          <w:ilvl w:val="0"/>
          <w:numId w:val="0"/>
        </w:numPr>
        <w:spacing w:before="0" w:line="360" w:lineRule="auto"/>
        <w:rPr>
          <w:rFonts w:hint="eastAsia" w:ascii="黑体" w:hAnsi="黑体" w:eastAsia="黑体" w:cs="黑体"/>
          <w:kern w:val="2"/>
          <w:sz w:val="32"/>
          <w:szCs w:val="32"/>
        </w:rPr>
      </w:pPr>
    </w:p>
    <w:p>
      <w:pPr>
        <w:pStyle w:val="19"/>
        <w:numPr>
          <w:ilvl w:val="0"/>
          <w:numId w:val="0"/>
        </w:numPr>
        <w:spacing w:before="0" w:line="360" w:lineRule="auto"/>
        <w:rPr>
          <w:rFonts w:hint="eastAsia" w:ascii="黑体" w:hAnsi="黑体" w:eastAsia="黑体" w:cs="黑体"/>
          <w:kern w:val="2"/>
          <w:sz w:val="32"/>
          <w:szCs w:val="32"/>
        </w:rPr>
      </w:pPr>
    </w:p>
    <w:p>
      <w:pPr>
        <w:pStyle w:val="19"/>
        <w:numPr>
          <w:ilvl w:val="0"/>
          <w:numId w:val="5"/>
        </w:numPr>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rPr>
        <w:t>政府性基金支出预算表（公开表 4）</w:t>
      </w:r>
    </w:p>
    <w:p>
      <w:pPr>
        <w:pStyle w:val="19"/>
        <w:numPr>
          <w:ilvl w:val="0"/>
          <w:numId w:val="0"/>
        </w:numPr>
        <w:spacing w:before="0" w:line="360" w:lineRule="auto"/>
        <w:rPr>
          <w:rFonts w:hint="eastAsia" w:ascii="黑体" w:hAnsi="黑体" w:eastAsia="黑体" w:cs="黑体"/>
          <w:kern w:val="2"/>
          <w:sz w:val="32"/>
          <w:szCs w:val="32"/>
        </w:rPr>
      </w:pPr>
      <w:r>
        <w:rPr>
          <w:rFonts w:hint="eastAsia" w:ascii="黑体" w:hAnsi="黑体" w:eastAsia="黑体" w:cs="黑体"/>
          <w:kern w:val="2"/>
          <w:sz w:val="32"/>
          <w:szCs w:val="32"/>
        </w:rPr>
        <w:drawing>
          <wp:inline distT="0" distB="0" distL="0" distR="0">
            <wp:extent cx="5266055" cy="1435100"/>
            <wp:effectExtent l="0" t="0" r="0" b="0"/>
            <wp:docPr id="10" name="_x0000_i1034"/>
            <wp:cNvGraphicFramePr/>
            <a:graphic xmlns:a="http://schemas.openxmlformats.org/drawingml/2006/main">
              <a:graphicData uri="http://schemas.openxmlformats.org/drawingml/2006/picture">
                <pic:pic xmlns:pic="http://schemas.openxmlformats.org/drawingml/2006/picture">
                  <pic:nvPicPr>
                    <pic:cNvPr id="10" name="_x0000_i1034"/>
                    <pic:cNvPicPr/>
                  </pic:nvPicPr>
                  <pic:blipFill>
                    <a:blip r:embed="rId14"/>
                    <a:stretch>
                      <a:fillRect/>
                    </a:stretch>
                  </pic:blipFill>
                  <pic:spPr>
                    <a:xfrm>
                      <a:off x="0" y="0"/>
                      <a:ext cx="5266055" cy="1435100"/>
                    </a:xfrm>
                    <a:prstGeom prst="rect">
                      <a:avLst/>
                    </a:prstGeom>
                  </pic:spPr>
                </pic:pic>
              </a:graphicData>
            </a:graphic>
          </wp:inline>
        </w:drawing>
      </w:r>
    </w:p>
    <w:p>
      <w:pPr>
        <w:pStyle w:val="19"/>
        <w:numPr>
          <w:ilvl w:val="0"/>
          <w:numId w:val="0"/>
        </w:numPr>
        <w:spacing w:before="0" w:line="360" w:lineRule="auto"/>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空表说明：无此项内容</w:t>
      </w:r>
    </w:p>
    <w:p>
      <w:pPr>
        <w:pStyle w:val="19"/>
        <w:numPr>
          <w:ilvl w:val="0"/>
          <w:numId w:val="0"/>
        </w:numPr>
        <w:spacing w:before="0" w:line="360" w:lineRule="auto"/>
        <w:rPr>
          <w:rFonts w:hint="eastAsia" w:ascii="仿宋_GB2312" w:hAnsi="仿宋_GB2312" w:eastAsia="仿宋_GB2312" w:cs="仿宋_GB2312"/>
          <w:b w:val="0"/>
          <w:bCs w:val="0"/>
          <w:kern w:val="2"/>
          <w:sz w:val="32"/>
          <w:szCs w:val="32"/>
          <w:lang w:val="en-US" w:eastAsia="zh-CN"/>
        </w:rPr>
      </w:pPr>
    </w:p>
    <w:p>
      <w:pPr>
        <w:pStyle w:val="19"/>
        <w:numPr>
          <w:ilvl w:val="0"/>
          <w:numId w:val="5"/>
        </w:numPr>
        <w:spacing w:before="0" w:line="360" w:lineRule="auto"/>
        <w:ind w:left="0" w:leftChars="0" w:firstLine="0" w:firstLineChars="0"/>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政府性基金预算“三公”经费支出预算表（公开表 4-1）</w:t>
      </w: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drawing>
          <wp:inline distT="0" distB="0" distL="0" distR="0">
            <wp:extent cx="5266055" cy="1019810"/>
            <wp:effectExtent l="0" t="0" r="0" b="0"/>
            <wp:docPr id="11" name="_x0000_i1035"/>
            <wp:cNvGraphicFramePr/>
            <a:graphic xmlns:a="http://schemas.openxmlformats.org/drawingml/2006/main">
              <a:graphicData uri="http://schemas.openxmlformats.org/drawingml/2006/picture">
                <pic:pic xmlns:pic="http://schemas.openxmlformats.org/drawingml/2006/picture">
                  <pic:nvPicPr>
                    <pic:cNvPr id="11" name="_x0000_i1035"/>
                    <pic:cNvPicPr/>
                  </pic:nvPicPr>
                  <pic:blipFill>
                    <a:blip r:embed="rId15"/>
                    <a:stretch>
                      <a:fillRect/>
                    </a:stretch>
                  </pic:blipFill>
                  <pic:spPr>
                    <a:xfrm>
                      <a:off x="0" y="0"/>
                      <a:ext cx="5266055" cy="1019810"/>
                    </a:xfrm>
                    <a:prstGeom prst="rect">
                      <a:avLst/>
                    </a:prstGeom>
                  </pic:spPr>
                </pic:pic>
              </a:graphicData>
            </a:graphic>
          </wp:inline>
        </w:drawing>
      </w:r>
    </w:p>
    <w:p>
      <w:pPr>
        <w:pStyle w:val="19"/>
        <w:numPr>
          <w:ilvl w:val="0"/>
          <w:numId w:val="0"/>
        </w:numPr>
        <w:spacing w:before="0" w:line="360" w:lineRule="auto"/>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空表说明：无此项内容</w:t>
      </w:r>
    </w:p>
    <w:p>
      <w:pPr>
        <w:pStyle w:val="19"/>
        <w:numPr>
          <w:ilvl w:val="0"/>
          <w:numId w:val="0"/>
        </w:numPr>
        <w:spacing w:before="0" w:line="360" w:lineRule="auto"/>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rPr>
          <w:rFonts w:hint="eastAsia" w:ascii="仿宋_GB2312" w:hAnsi="仿宋_GB2312" w:eastAsia="仿宋_GB2312" w:cs="仿宋_GB2312"/>
          <w:b w:val="0"/>
          <w:bCs w:val="0"/>
          <w:kern w:val="2"/>
          <w:sz w:val="32"/>
          <w:szCs w:val="32"/>
          <w:lang w:val="en-US" w:eastAsia="zh-CN"/>
        </w:rPr>
      </w:pPr>
    </w:p>
    <w:p>
      <w:pPr>
        <w:pStyle w:val="19"/>
        <w:numPr>
          <w:ilvl w:val="0"/>
          <w:numId w:val="5"/>
        </w:numPr>
        <w:spacing w:before="0" w:line="360" w:lineRule="auto"/>
        <w:ind w:left="0" w:leftChars="0" w:firstLine="0" w:firstLineChars="0"/>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国有资本经营预算支出预算表（公开表 5）</w:t>
      </w: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drawing>
          <wp:inline distT="0" distB="0" distL="0" distR="0">
            <wp:extent cx="5266055" cy="1228725"/>
            <wp:effectExtent l="0" t="0" r="0" b="0"/>
            <wp:docPr id="12" name="_x0000_i1036"/>
            <wp:cNvGraphicFramePr/>
            <a:graphic xmlns:a="http://schemas.openxmlformats.org/drawingml/2006/main">
              <a:graphicData uri="http://schemas.openxmlformats.org/drawingml/2006/picture">
                <pic:pic xmlns:pic="http://schemas.openxmlformats.org/drawingml/2006/picture">
                  <pic:nvPicPr>
                    <pic:cNvPr id="12" name="_x0000_i1036"/>
                    <pic:cNvPicPr/>
                  </pic:nvPicPr>
                  <pic:blipFill>
                    <a:blip r:embed="rId16"/>
                    <a:stretch>
                      <a:fillRect/>
                    </a:stretch>
                  </pic:blipFill>
                  <pic:spPr>
                    <a:xfrm>
                      <a:off x="0" y="0"/>
                      <a:ext cx="5266055" cy="1228725"/>
                    </a:xfrm>
                    <a:prstGeom prst="rect">
                      <a:avLst/>
                    </a:prstGeom>
                  </pic:spPr>
                </pic:pic>
              </a:graphicData>
            </a:graphic>
          </wp:inline>
        </w:drawing>
      </w:r>
    </w:p>
    <w:p>
      <w:pPr>
        <w:pStyle w:val="19"/>
        <w:numPr>
          <w:ilvl w:val="0"/>
          <w:numId w:val="0"/>
        </w:numPr>
        <w:spacing w:before="0" w:line="360" w:lineRule="auto"/>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空表说明：无此项内容</w:t>
      </w: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5"/>
        </w:numPr>
        <w:spacing w:before="0" w:line="360" w:lineRule="auto"/>
        <w:ind w:left="0" w:leftChars="0" w:firstLine="0" w:firstLineChars="0"/>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单位预算项目支出绩效目标表（公开表 6）</w:t>
      </w: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drawing>
          <wp:inline distT="0" distB="0" distL="0" distR="0">
            <wp:extent cx="5280025" cy="5283835"/>
            <wp:effectExtent l="0" t="0" r="0" b="0"/>
            <wp:docPr id="13" name="_x0000_i1037"/>
            <wp:cNvGraphicFramePr/>
            <a:graphic xmlns:a="http://schemas.openxmlformats.org/drawingml/2006/main">
              <a:graphicData uri="http://schemas.openxmlformats.org/drawingml/2006/picture">
                <pic:pic xmlns:pic="http://schemas.openxmlformats.org/drawingml/2006/picture">
                  <pic:nvPicPr>
                    <pic:cNvPr id="13" name="_x0000_i1037"/>
                    <pic:cNvPicPr/>
                  </pic:nvPicPr>
                  <pic:blipFill>
                    <a:blip r:embed="rId17"/>
                    <a:stretch>
                      <a:fillRect/>
                    </a:stretch>
                  </pic:blipFill>
                  <pic:spPr>
                    <a:xfrm>
                      <a:off x="0" y="0"/>
                      <a:ext cx="5280025" cy="5283835"/>
                    </a:xfrm>
                    <a:prstGeom prst="rect">
                      <a:avLst/>
                    </a:prstGeom>
                  </pic:spPr>
                </pic:pic>
              </a:graphicData>
            </a:graphic>
          </wp:inline>
        </w:drawing>
      </w: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jc w:val="center"/>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jc w:val="center"/>
        <w:rPr>
          <w:rFonts w:hint="eastAsia" w:ascii="方正小标宋_GBK" w:hAnsi="方正小标宋_GBK" w:eastAsia="方正小标宋_GBK" w:cs="方正小标宋_GBK"/>
          <w:b w:val="0"/>
          <w:bCs w:val="0"/>
          <w:kern w:val="2"/>
          <w:sz w:val="52"/>
          <w:szCs w:val="52"/>
          <w:lang w:val="en-US" w:eastAsia="zh-CN"/>
        </w:rPr>
      </w:pPr>
      <w:r>
        <w:rPr>
          <w:rFonts w:hint="eastAsia" w:ascii="方正小标宋_GBK" w:hAnsi="方正小标宋_GBK" w:eastAsia="方正小标宋_GBK" w:cs="方正小标宋_GBK"/>
          <w:b w:val="0"/>
          <w:bCs w:val="0"/>
          <w:kern w:val="2"/>
          <w:sz w:val="52"/>
          <w:szCs w:val="52"/>
          <w:lang w:val="en-US" w:eastAsia="zh-CN"/>
        </w:rPr>
        <w:t>第三部分 四川藏语佛学院阿坝分院2023年单位预算情况说明</w:t>
      </w:r>
    </w:p>
    <w:p>
      <w:pPr>
        <w:pStyle w:val="19"/>
        <w:numPr>
          <w:ilvl w:val="0"/>
          <w:numId w:val="0"/>
        </w:numPr>
        <w:spacing w:before="0" w:line="360" w:lineRule="auto"/>
        <w:ind w:leftChars="0"/>
        <w:jc w:val="center"/>
        <w:rPr>
          <w:rFonts w:hint="eastAsia" w:ascii="黑体" w:hAnsi="黑体" w:eastAsia="黑体" w:cs="黑体"/>
          <w:b w:val="0"/>
          <w:bCs w:val="0"/>
          <w:kern w:val="2"/>
          <w:sz w:val="44"/>
          <w:szCs w:val="44"/>
          <w:lang w:val="en-US" w:eastAsia="zh-CN"/>
        </w:rPr>
      </w:pPr>
    </w:p>
    <w:p>
      <w:pPr>
        <w:pStyle w:val="19"/>
        <w:numPr>
          <w:ilvl w:val="0"/>
          <w:numId w:val="0"/>
        </w:numPr>
        <w:spacing w:before="0" w:line="360" w:lineRule="auto"/>
        <w:ind w:leftChars="0"/>
        <w:jc w:val="center"/>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jc w:val="center"/>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numPr>
          <w:ilvl w:val="0"/>
          <w:numId w:val="0"/>
        </w:numPr>
        <w:spacing w:before="0" w:line="360" w:lineRule="auto"/>
        <w:ind w:leftChars="0"/>
        <w:rPr>
          <w:rFonts w:hint="eastAsia" w:ascii="仿宋_GB2312" w:hAnsi="仿宋_GB2312" w:eastAsia="仿宋_GB2312" w:cs="仿宋_GB2312"/>
          <w:b w:val="0"/>
          <w:bCs w:val="0"/>
          <w:kern w:val="2"/>
          <w:sz w:val="32"/>
          <w:szCs w:val="32"/>
          <w:lang w:val="en-US" w:eastAsia="zh-CN"/>
        </w:rPr>
      </w:pPr>
    </w:p>
    <w:p>
      <w:pPr>
        <w:pStyle w:val="19"/>
        <w:spacing w:before="0" w:line="360" w:lineRule="auto"/>
        <w:rPr>
          <w:rFonts w:hint="eastAsia" w:ascii="方正黑体_GBK" w:hAnsi="方正黑体_GBK" w:eastAsia="方正黑体_GBK" w:cs="方正黑体_GBK"/>
          <w:b w:val="0"/>
          <w:bCs w:val="0"/>
          <w:kern w:val="2"/>
          <w:sz w:val="32"/>
          <w:szCs w:val="32"/>
        </w:rPr>
      </w:pPr>
      <w:r>
        <w:rPr>
          <w:rFonts w:hint="eastAsia" w:ascii="方正黑体_GBK" w:hAnsi="方正黑体_GBK" w:eastAsia="方正黑体_GBK" w:cs="方正黑体_GBK"/>
          <w:b w:val="0"/>
          <w:bCs w:val="0"/>
          <w:kern w:val="2"/>
          <w:sz w:val="32"/>
          <w:szCs w:val="32"/>
          <w:lang w:val="en-US" w:eastAsia="zh-CN"/>
        </w:rPr>
        <w:t>一</w:t>
      </w:r>
      <w:r>
        <w:rPr>
          <w:rFonts w:hint="eastAsia" w:ascii="方正黑体_GBK" w:hAnsi="方正黑体_GBK" w:eastAsia="方正黑体_GBK" w:cs="方正黑体_GBK"/>
          <w:b w:val="0"/>
          <w:bCs w:val="0"/>
          <w:kern w:val="2"/>
          <w:sz w:val="32"/>
          <w:szCs w:val="32"/>
        </w:rPr>
        <w:t>、收支预算情况说明</w:t>
      </w:r>
    </w:p>
    <w:p>
      <w:pPr>
        <w:pStyle w:val="19"/>
        <w:keepNext w:val="0"/>
        <w:keepLines w:val="0"/>
        <w:pageBreakBefore w:val="0"/>
        <w:widowControl w:val="0"/>
        <w:kinsoku/>
        <w:wordWrap/>
        <w:overflowPunct/>
        <w:topLinePunct w:val="0"/>
        <w:autoSpaceDE/>
        <w:autoSpaceDN/>
        <w:bidi w:val="0"/>
        <w:adjustRightInd/>
        <w:snapToGrid/>
        <w:spacing w:before="0" w:line="480" w:lineRule="auto"/>
        <w:ind w:firstLine="313" w:firstLineChars="196"/>
        <w:textAlignment w:val="auto"/>
        <w:rPr>
          <w:rFonts w:hint="default" w:hAnsi="黑体" w:eastAsia="仿宋_GB2312"/>
          <w:kern w:val="2"/>
          <w:sz w:val="32"/>
          <w:szCs w:val="32"/>
          <w:lang w:val="en-US" w:eastAsia="zh-CN"/>
        </w:rPr>
      </w:pPr>
      <w:r>
        <w:rPr>
          <w:rFonts w:hint="eastAsia" w:ascii="??" w:hAnsi="??" w:eastAsia="宋体" w:cs="宋体"/>
          <w:sz w:val="16"/>
          <w:szCs w:val="16"/>
        </w:rPr>
        <w:t>　　</w:t>
      </w:r>
      <w:r>
        <w:rPr>
          <w:rFonts w:hint="eastAsia" w:hAnsi="黑体"/>
          <w:kern w:val="2"/>
          <w:sz w:val="32"/>
          <w:szCs w:val="32"/>
        </w:rPr>
        <w:t>按照综合预算的原则，四川藏语佛学院阿坝分院所有收入和支出均纳入部门预算管理。</w:t>
      </w:r>
    </w:p>
    <w:p>
      <w:pPr>
        <w:pStyle w:val="19"/>
        <w:keepNext w:val="0"/>
        <w:keepLines w:val="0"/>
        <w:pageBreakBefore w:val="0"/>
        <w:widowControl w:val="0"/>
        <w:kinsoku/>
        <w:wordWrap/>
        <w:overflowPunct/>
        <w:topLinePunct w:val="0"/>
        <w:autoSpaceDE/>
        <w:autoSpaceDN/>
        <w:bidi w:val="0"/>
        <w:adjustRightInd/>
        <w:snapToGrid/>
        <w:spacing w:before="0" w:line="480" w:lineRule="auto"/>
        <w:ind w:firstLine="627" w:firstLineChars="196"/>
        <w:textAlignment w:val="auto"/>
        <w:rPr>
          <w:rFonts w:hint="eastAsia" w:hAnsi="黑体"/>
          <w:kern w:val="2"/>
          <w:sz w:val="32"/>
          <w:szCs w:val="32"/>
        </w:rPr>
      </w:pPr>
      <w:r>
        <w:rPr>
          <w:rFonts w:hint="eastAsia" w:hAnsi="黑体"/>
          <w:kern w:val="2"/>
          <w:sz w:val="32"/>
          <w:szCs w:val="32"/>
        </w:rPr>
        <w:t>（一）收入预算情况</w:t>
      </w:r>
    </w:p>
    <w:p>
      <w:pPr>
        <w:pStyle w:val="19"/>
        <w:keepNext w:val="0"/>
        <w:keepLines w:val="0"/>
        <w:pageBreakBefore w:val="0"/>
        <w:widowControl w:val="0"/>
        <w:kinsoku/>
        <w:wordWrap/>
        <w:overflowPunct/>
        <w:topLinePunct w:val="0"/>
        <w:autoSpaceDE/>
        <w:autoSpaceDN/>
        <w:bidi w:val="0"/>
        <w:adjustRightInd/>
        <w:snapToGrid/>
        <w:spacing w:before="0" w:line="480" w:lineRule="auto"/>
        <w:ind w:firstLine="627" w:firstLineChars="196"/>
        <w:textAlignment w:val="auto"/>
        <w:rPr>
          <w:rFonts w:hint="eastAsia" w:hAnsi="黑体"/>
          <w:kern w:val="2"/>
          <w:sz w:val="32"/>
          <w:szCs w:val="32"/>
          <w:lang w:eastAsia="zh-CN"/>
        </w:rPr>
      </w:pPr>
      <w:r>
        <w:rPr>
          <w:rFonts w:hint="eastAsia" w:hAnsi="黑体"/>
          <w:kern w:val="2"/>
          <w:sz w:val="32"/>
          <w:szCs w:val="32"/>
        </w:rPr>
        <w:t>四川藏语佛学院阿坝分院</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lang w:val="en-US" w:eastAsia="zh-CN"/>
        </w:rPr>
        <w:t>1323.97</w:t>
      </w:r>
      <w:r>
        <w:rPr>
          <w:rFonts w:hint="eastAsia" w:hAnsi="黑体"/>
          <w:kern w:val="2"/>
          <w:sz w:val="32"/>
          <w:szCs w:val="32"/>
        </w:rPr>
        <w:t>万元，其中：上年结转</w:t>
      </w:r>
      <w:r>
        <w:rPr>
          <w:rFonts w:hint="eastAsia" w:hAnsi="黑体" w:cs="Times New Roman"/>
          <w:kern w:val="2"/>
          <w:sz w:val="32"/>
          <w:szCs w:val="32"/>
        </w:rPr>
        <w:t>0</w:t>
      </w:r>
      <w:r>
        <w:rPr>
          <w:rFonts w:hint="eastAsia" w:hAnsi="黑体"/>
          <w:kern w:val="2"/>
          <w:sz w:val="32"/>
          <w:szCs w:val="32"/>
        </w:rPr>
        <w:t>万元，一般公共预算拨款收入</w:t>
      </w:r>
      <w:r>
        <w:rPr>
          <w:rFonts w:hint="eastAsia" w:hAnsi="黑体" w:cs="Times New Roman"/>
          <w:kern w:val="2"/>
          <w:sz w:val="32"/>
          <w:szCs w:val="32"/>
          <w:lang w:val="en-US" w:eastAsia="zh-CN"/>
        </w:rPr>
        <w:t>1323.97</w:t>
      </w:r>
      <w:r>
        <w:rPr>
          <w:rFonts w:hint="eastAsia" w:hAnsi="黑体"/>
          <w:kern w:val="2"/>
          <w:sz w:val="32"/>
          <w:szCs w:val="32"/>
        </w:rPr>
        <w:t>万元，占100%</w:t>
      </w:r>
      <w:r>
        <w:rPr>
          <w:rFonts w:hint="eastAsia" w:hAnsi="黑体"/>
          <w:kern w:val="2"/>
          <w:sz w:val="32"/>
          <w:szCs w:val="32"/>
          <w:lang w:eastAsia="zh-CN"/>
        </w:rPr>
        <w:t>。</w:t>
      </w:r>
    </w:p>
    <w:p>
      <w:pPr>
        <w:pStyle w:val="19"/>
        <w:keepNext w:val="0"/>
        <w:keepLines w:val="0"/>
        <w:pageBreakBefore w:val="0"/>
        <w:widowControl w:val="0"/>
        <w:kinsoku/>
        <w:wordWrap/>
        <w:overflowPunct/>
        <w:topLinePunct w:val="0"/>
        <w:autoSpaceDE/>
        <w:autoSpaceDN/>
        <w:bidi w:val="0"/>
        <w:adjustRightInd/>
        <w:snapToGrid/>
        <w:spacing w:before="0" w:line="480" w:lineRule="auto"/>
        <w:ind w:firstLine="627" w:firstLineChars="196"/>
        <w:textAlignment w:val="auto"/>
        <w:rPr>
          <w:rFonts w:hint="eastAsia" w:hAnsi="黑体"/>
          <w:kern w:val="2"/>
          <w:sz w:val="32"/>
          <w:szCs w:val="32"/>
        </w:rPr>
      </w:pPr>
      <w:r>
        <w:rPr>
          <w:rFonts w:hint="eastAsia" w:hAnsi="黑体"/>
          <w:kern w:val="2"/>
          <w:sz w:val="32"/>
          <w:szCs w:val="32"/>
        </w:rPr>
        <w:t>（二）支出预算情况</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hint="default" w:hAnsi="黑体"/>
          <w:color w:val="auto"/>
          <w:kern w:val="2"/>
          <w:sz w:val="32"/>
          <w:szCs w:val="32"/>
          <w:lang w:val="en-US" w:eastAsia="zh-CN"/>
        </w:rPr>
      </w:pPr>
      <w:r>
        <w:rPr>
          <w:rFonts w:hint="eastAsia" w:hAnsi="黑体"/>
          <w:kern w:val="2"/>
          <w:sz w:val="32"/>
          <w:szCs w:val="32"/>
          <w:lang w:val="en-US" w:eastAsia="zh-CN"/>
        </w:rPr>
        <w:t>一般公共服务支出1264.21万元，社会保障和就业支出28.86万元，卫生健康支出12.74万元，住房保障支出18.16万元。四川藏语佛学院阿坝分院2023年收支总预算1323.97万元,比2022年（350万元）收支预算总数多973.97万元，主要原因:我院是新成立单位，人员工资福利支出增加，</w:t>
      </w:r>
      <w:r>
        <w:rPr>
          <w:rFonts w:hint="eastAsia" w:hAnsi="黑体"/>
          <w:color w:val="auto"/>
          <w:kern w:val="2"/>
          <w:sz w:val="32"/>
          <w:szCs w:val="32"/>
          <w:lang w:val="en-US" w:eastAsia="zh-CN"/>
        </w:rPr>
        <w:t>开展学衔教育办学经费的增加。</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四川藏语佛学院阿坝分院2023年支出预算1323.97万元，结转下年支出0万元</w:t>
      </w:r>
      <w:bookmarkStart w:id="0" w:name="_GoBack"/>
      <w:bookmarkEnd w:id="0"/>
      <w:r>
        <w:rPr>
          <w:rFonts w:hint="eastAsia" w:ascii="仿宋_GB2312" w:hAnsi="黑体" w:eastAsia="仿宋_GB2312" w:cs="仿宋_GB2312"/>
          <w:kern w:val="2"/>
          <w:sz w:val="32"/>
          <w:szCs w:val="32"/>
          <w:lang w:val="en-US" w:eastAsia="zh-CN" w:bidi="ar-SA"/>
        </w:rPr>
        <w:t>，共计1323.97万元。其中：基本支出248.75万元，占19%；项目支出1075.22万元，占81%。</w:t>
      </w:r>
    </w:p>
    <w:p>
      <w:pPr>
        <w:pStyle w:val="19"/>
        <w:spacing w:before="0" w:line="360" w:lineRule="auto"/>
        <w:rPr>
          <w:rFonts w:hint="eastAsia" w:ascii="方正黑体_GBK" w:hAnsi="方正黑体_GBK" w:eastAsia="方正黑体_GBK" w:cs="方正黑体_GBK"/>
          <w:b w:val="0"/>
          <w:bCs w:val="0"/>
          <w:kern w:val="2"/>
          <w:sz w:val="32"/>
          <w:szCs w:val="32"/>
        </w:rPr>
      </w:pPr>
      <w:r>
        <w:rPr>
          <w:rFonts w:hint="eastAsia" w:ascii="方正黑体_GBK" w:hAnsi="方正黑体_GBK" w:eastAsia="方正黑体_GBK" w:cs="方正黑体_GBK"/>
          <w:b w:val="0"/>
          <w:bCs w:val="0"/>
          <w:kern w:val="2"/>
          <w:sz w:val="32"/>
          <w:szCs w:val="32"/>
          <w:lang w:val="en-US" w:eastAsia="zh-CN"/>
        </w:rPr>
        <w:t>二</w:t>
      </w:r>
      <w:r>
        <w:rPr>
          <w:rFonts w:hint="eastAsia" w:ascii="方正黑体_GBK" w:hAnsi="方正黑体_GBK" w:eastAsia="方正黑体_GBK" w:cs="方正黑体_GBK"/>
          <w:b w:val="0"/>
          <w:bCs w:val="0"/>
          <w:kern w:val="2"/>
          <w:sz w:val="32"/>
          <w:szCs w:val="32"/>
        </w:rPr>
        <w:t>、财政拨款收支预算情况说明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rPr>
          <w:rFonts w:hint="default"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四川藏语佛学院阿坝分院2023年财政拨款收支总预算1323.97万元,比2022年收支预算总数增加973.97万元，主要原因:今年初级学衔教育</w:t>
      </w:r>
      <w:r>
        <w:rPr>
          <w:rFonts w:hint="default" w:ascii="仿宋_GB2312" w:hAnsi="黑体" w:eastAsia="仿宋_GB2312" w:cs="仿宋_GB2312"/>
          <w:kern w:val="2"/>
          <w:sz w:val="32"/>
          <w:szCs w:val="32"/>
          <w:lang w:val="en-US" w:eastAsia="zh-CN" w:bidi="ar-SA"/>
        </w:rPr>
        <w:t>计划招收学员</w:t>
      </w:r>
      <w:r>
        <w:rPr>
          <w:rFonts w:hint="eastAsia" w:ascii="仿宋_GB2312" w:hAnsi="黑体" w:eastAsia="仿宋_GB2312" w:cs="仿宋_GB2312"/>
          <w:kern w:val="2"/>
          <w:sz w:val="32"/>
          <w:szCs w:val="32"/>
          <w:lang w:val="en-US" w:eastAsia="zh-CN" w:bidi="ar-SA"/>
        </w:rPr>
        <w:t>60</w:t>
      </w:r>
      <w:r>
        <w:rPr>
          <w:rFonts w:hint="default" w:ascii="仿宋_GB2312" w:hAnsi="黑体" w:eastAsia="仿宋_GB2312" w:cs="仿宋_GB2312"/>
          <w:kern w:val="2"/>
          <w:sz w:val="32"/>
          <w:szCs w:val="32"/>
          <w:lang w:val="en-US" w:eastAsia="zh-CN" w:bidi="ar-SA"/>
        </w:rPr>
        <w:t>名，分苯</w:t>
      </w:r>
      <w:r>
        <w:rPr>
          <w:rFonts w:hint="eastAsia" w:ascii="仿宋_GB2312" w:hAnsi="黑体" w:eastAsia="仿宋_GB2312" w:cs="仿宋_GB2312"/>
          <w:kern w:val="2"/>
          <w:sz w:val="32"/>
          <w:szCs w:val="32"/>
          <w:lang w:val="en-US" w:eastAsia="zh-CN" w:bidi="ar-SA"/>
        </w:rPr>
        <w:t>教</w:t>
      </w:r>
      <w:r>
        <w:rPr>
          <w:rFonts w:hint="default" w:ascii="仿宋_GB2312" w:hAnsi="黑体" w:eastAsia="仿宋_GB2312" w:cs="仿宋_GB2312"/>
          <w:kern w:val="2"/>
          <w:sz w:val="32"/>
          <w:szCs w:val="32"/>
          <w:lang w:val="en-US" w:eastAsia="zh-CN" w:bidi="ar-SA"/>
        </w:rPr>
        <w:t>、格鲁</w:t>
      </w:r>
      <w:r>
        <w:rPr>
          <w:rFonts w:hint="eastAsia" w:ascii="仿宋_GB2312" w:hAnsi="黑体" w:eastAsia="仿宋_GB2312" w:cs="仿宋_GB2312"/>
          <w:kern w:val="2"/>
          <w:sz w:val="32"/>
          <w:szCs w:val="32"/>
          <w:lang w:val="en-US" w:eastAsia="zh-CN" w:bidi="ar-SA"/>
        </w:rPr>
        <w:t>派</w:t>
      </w:r>
      <w:r>
        <w:rPr>
          <w:rFonts w:hint="default" w:ascii="仿宋_GB2312" w:hAnsi="黑体" w:eastAsia="仿宋_GB2312" w:cs="仿宋_GB2312"/>
          <w:kern w:val="2"/>
          <w:sz w:val="32"/>
          <w:szCs w:val="32"/>
          <w:lang w:val="en-US" w:eastAsia="zh-CN" w:bidi="ar-SA"/>
        </w:rPr>
        <w:t>两个班，</w:t>
      </w:r>
      <w:r>
        <w:rPr>
          <w:rFonts w:hint="eastAsia" w:ascii="仿宋_GB2312" w:hAnsi="黑体" w:eastAsia="仿宋_GB2312" w:cs="仿宋_GB2312"/>
          <w:kern w:val="2"/>
          <w:sz w:val="32"/>
          <w:szCs w:val="32"/>
          <w:lang w:val="en-US" w:eastAsia="zh-CN" w:bidi="ar-SA"/>
        </w:rPr>
        <w:t>每班30人。工资福利支出增加, 预计今年将新招录8名人员。调进3名工作人员。</w:t>
      </w:r>
    </w:p>
    <w:p>
      <w:pPr>
        <w:pStyle w:val="19"/>
        <w:spacing w:before="0" w:line="360" w:lineRule="auto"/>
        <w:ind w:firstLine="627" w:firstLineChars="196"/>
        <w:rPr>
          <w:rFonts w:hint="eastAsia" w:hAnsi="黑体"/>
          <w:kern w:val="2"/>
          <w:sz w:val="32"/>
          <w:szCs w:val="32"/>
        </w:rPr>
      </w:pPr>
      <w:r>
        <w:rPr>
          <w:rFonts w:hint="eastAsia" w:hAnsi="黑体"/>
          <w:kern w:val="2"/>
          <w:sz w:val="32"/>
          <w:szCs w:val="32"/>
        </w:rPr>
        <w:t>收入包括：本年一般公共预算拨款收入</w:t>
      </w:r>
      <w:r>
        <w:rPr>
          <w:rFonts w:hint="eastAsia" w:hAnsi="黑体" w:cs="Times New Roman"/>
          <w:kern w:val="2"/>
          <w:sz w:val="32"/>
          <w:szCs w:val="32"/>
          <w:lang w:val="en-US" w:eastAsia="zh-CN"/>
        </w:rPr>
        <w:t>1323.97</w:t>
      </w:r>
      <w:r>
        <w:rPr>
          <w:rFonts w:hint="eastAsia" w:hAnsi="黑体"/>
          <w:kern w:val="2"/>
          <w:sz w:val="32"/>
          <w:szCs w:val="32"/>
        </w:rPr>
        <w:t>万元，上年结转一般公共预算收入0万元，上年结转财政拨款资金0万元。</w:t>
      </w:r>
    </w:p>
    <w:p>
      <w:pPr>
        <w:ind w:firstLine="640" w:firstLineChars="200"/>
        <w:rPr>
          <w:rFonts w:hint="eastAsia" w:hAnsi="黑体"/>
          <w:kern w:val="2"/>
          <w:sz w:val="32"/>
          <w:szCs w:val="32"/>
        </w:rPr>
      </w:pPr>
      <w:r>
        <w:rPr>
          <w:rFonts w:hint="default" w:ascii="仿宋_GB2312" w:eastAsia="仿宋_GB2312" w:cs="Times New Roman"/>
          <w:sz w:val="32"/>
          <w:szCs w:val="32"/>
        </w:rPr>
        <w:t>支出包括</w:t>
      </w:r>
      <w:r>
        <w:rPr>
          <w:rFonts w:hint="eastAsia" w:ascii="仿宋_GB2312" w:eastAsia="仿宋_GB2312" w:cs="Times New Roman"/>
          <w:sz w:val="32"/>
          <w:szCs w:val="32"/>
        </w:rPr>
        <w:t>：一般公共服务支出</w:t>
      </w:r>
      <w:r>
        <w:rPr>
          <w:rFonts w:hint="eastAsia" w:ascii="仿宋_GB2312" w:eastAsia="仿宋_GB2312" w:cs="Times New Roman"/>
          <w:sz w:val="32"/>
          <w:szCs w:val="32"/>
          <w:lang w:val="en-US" w:eastAsia="zh-CN"/>
        </w:rPr>
        <w:t>1264.21</w:t>
      </w:r>
      <w:r>
        <w:rPr>
          <w:rFonts w:hint="eastAsia" w:ascii="仿宋_GB2312" w:eastAsia="仿宋_GB2312" w:cs="Times New Roman"/>
          <w:sz w:val="32"/>
          <w:szCs w:val="32"/>
        </w:rPr>
        <w:t>万元，社会保障和就业支出</w:t>
      </w:r>
      <w:r>
        <w:rPr>
          <w:rFonts w:hint="eastAsia" w:ascii="仿宋_GB2312" w:eastAsia="仿宋_GB2312" w:cs="Times New Roman"/>
          <w:sz w:val="32"/>
          <w:szCs w:val="32"/>
          <w:lang w:val="en-US" w:eastAsia="zh-CN"/>
        </w:rPr>
        <w:t>28.86</w:t>
      </w:r>
      <w:r>
        <w:rPr>
          <w:rFonts w:hint="eastAsia" w:ascii="仿宋_GB2312" w:eastAsia="仿宋_GB2312" w:cs="Times New Roman"/>
          <w:sz w:val="32"/>
          <w:szCs w:val="32"/>
        </w:rPr>
        <w:t>万元，卫生健康支出</w:t>
      </w:r>
      <w:r>
        <w:rPr>
          <w:rFonts w:hint="eastAsia" w:ascii="仿宋_GB2312" w:eastAsia="仿宋_GB2312" w:cs="Times New Roman"/>
          <w:sz w:val="32"/>
          <w:szCs w:val="32"/>
          <w:lang w:val="en-US" w:eastAsia="zh-CN"/>
        </w:rPr>
        <w:t>12.74</w:t>
      </w:r>
      <w:r>
        <w:rPr>
          <w:rFonts w:hint="eastAsia" w:ascii="仿宋_GB2312" w:eastAsia="仿宋_GB2312" w:cs="Times New Roman"/>
          <w:sz w:val="32"/>
          <w:szCs w:val="32"/>
        </w:rPr>
        <w:t>万元，住房保障支出</w:t>
      </w:r>
      <w:r>
        <w:rPr>
          <w:rFonts w:hint="eastAsia" w:ascii="仿宋_GB2312" w:eastAsia="仿宋_GB2312" w:cs="Times New Roman"/>
          <w:sz w:val="32"/>
          <w:szCs w:val="32"/>
          <w:lang w:val="en-US" w:eastAsia="zh-CN"/>
        </w:rPr>
        <w:t>18.16</w:t>
      </w:r>
      <w:r>
        <w:rPr>
          <w:rFonts w:hint="eastAsia" w:ascii="仿宋_GB2312" w:eastAsia="仿宋_GB2312" w:cs="Times New Roman"/>
          <w:sz w:val="32"/>
          <w:szCs w:val="32"/>
        </w:rPr>
        <w:t>万元。</w:t>
      </w:r>
    </w:p>
    <w:p>
      <w:pPr>
        <w:pStyle w:val="19"/>
        <w:spacing w:before="0" w:line="360" w:lineRule="auto"/>
        <w:ind w:firstLine="320" w:firstLineChars="100"/>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kern w:val="2"/>
          <w:sz w:val="32"/>
          <w:szCs w:val="32"/>
          <w:lang w:val="en-US" w:eastAsia="zh-CN"/>
        </w:rPr>
        <w:t>三</w:t>
      </w:r>
      <w:r>
        <w:rPr>
          <w:rFonts w:hint="eastAsia" w:ascii="方正黑体_GBK" w:hAnsi="方正黑体_GBK" w:eastAsia="方正黑体_GBK" w:cs="方正黑体_GBK"/>
          <w:b w:val="0"/>
          <w:bCs w:val="0"/>
          <w:kern w:val="2"/>
          <w:sz w:val="32"/>
          <w:szCs w:val="32"/>
        </w:rPr>
        <w:t>、一般公共预算当年拨款情况说明</w:t>
      </w:r>
    </w:p>
    <w:p>
      <w:pPr>
        <w:pStyle w:val="19"/>
        <w:spacing w:before="0" w:line="360" w:lineRule="auto"/>
        <w:ind w:firstLine="627" w:firstLineChars="196"/>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（一）一般公共预算当年拨款规模变化情况</w:t>
      </w:r>
    </w:p>
    <w:p>
      <w:pPr>
        <w:pStyle w:val="19"/>
        <w:spacing w:before="0" w:line="360" w:lineRule="auto"/>
        <w:ind w:firstLine="627" w:firstLineChars="196"/>
        <w:rPr>
          <w:rFonts w:hint="default" w:hAnsi="黑体" w:eastAsia="仿宋_GB2312"/>
          <w:kern w:val="2"/>
          <w:sz w:val="32"/>
          <w:szCs w:val="32"/>
          <w:lang w:val="en-US" w:eastAsia="zh-CN"/>
        </w:rPr>
      </w:pPr>
      <w:r>
        <w:rPr>
          <w:rFonts w:hint="eastAsia" w:hAnsi="黑体"/>
          <w:kern w:val="2"/>
          <w:sz w:val="32"/>
          <w:szCs w:val="32"/>
        </w:rPr>
        <w:t>四川藏语佛学院阿坝分院</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一般公共预算当年拨款</w:t>
      </w:r>
      <w:r>
        <w:rPr>
          <w:rFonts w:hint="eastAsia" w:hAnsi="黑体"/>
          <w:kern w:val="2"/>
          <w:sz w:val="32"/>
          <w:szCs w:val="32"/>
          <w:lang w:val="en-US" w:eastAsia="zh-CN"/>
        </w:rPr>
        <w:t>1323.97</w:t>
      </w:r>
      <w:r>
        <w:rPr>
          <w:rFonts w:hint="eastAsia" w:hAnsi="黑体"/>
          <w:kern w:val="2"/>
          <w:sz w:val="32"/>
          <w:szCs w:val="32"/>
        </w:rPr>
        <w:t>万元，</w:t>
      </w:r>
      <w:r>
        <w:rPr>
          <w:rFonts w:ascii="Times New Roman" w:hAnsi="Times New Roman" w:eastAsia="仿宋"/>
          <w:sz w:val="32"/>
          <w:szCs w:val="32"/>
        </w:rPr>
        <w:t>比2022年预算数增加</w:t>
      </w:r>
      <w:r>
        <w:rPr>
          <w:rFonts w:hint="eastAsia" w:ascii="仿宋_GB2312" w:hAnsi="黑体" w:eastAsia="仿宋_GB2312" w:cs="仿宋_GB2312"/>
          <w:kern w:val="2"/>
          <w:sz w:val="32"/>
          <w:szCs w:val="32"/>
          <w:lang w:val="en-US" w:eastAsia="zh-CN" w:bidi="ar-SA"/>
        </w:rPr>
        <w:t>973.97</w:t>
      </w:r>
      <w:r>
        <w:rPr>
          <w:rFonts w:ascii="Times New Roman" w:hAnsi="Times New Roman" w:eastAsia="仿宋"/>
          <w:sz w:val="32"/>
          <w:szCs w:val="32"/>
        </w:rPr>
        <w:t>万元，</w:t>
      </w:r>
      <w:r>
        <w:rPr>
          <w:rFonts w:hint="eastAsia" w:hAnsi="黑体"/>
          <w:kern w:val="2"/>
          <w:sz w:val="32"/>
          <w:szCs w:val="32"/>
        </w:rPr>
        <w:t>主要原因</w:t>
      </w:r>
      <w:r>
        <w:rPr>
          <w:rFonts w:hAnsi="黑体"/>
          <w:kern w:val="2"/>
          <w:sz w:val="32"/>
          <w:szCs w:val="32"/>
        </w:rPr>
        <w:t>:</w:t>
      </w:r>
      <w:r>
        <w:rPr>
          <w:rFonts w:hint="eastAsia" w:hAnsi="黑体"/>
          <w:kern w:val="2"/>
          <w:sz w:val="32"/>
          <w:szCs w:val="32"/>
          <w:lang w:val="en-US" w:eastAsia="zh-CN"/>
        </w:rPr>
        <w:t>本院为新成立单位，人员陆续在招录完善。预计</w:t>
      </w:r>
      <w:r>
        <w:rPr>
          <w:rFonts w:hint="eastAsia" w:hAnsi="黑体"/>
          <w:kern w:val="2"/>
          <w:sz w:val="32"/>
          <w:szCs w:val="32"/>
          <w:lang w:eastAsia="zh-CN"/>
        </w:rPr>
        <w:t>今年</w:t>
      </w:r>
      <w:r>
        <w:rPr>
          <w:rFonts w:hint="eastAsia" w:hAnsi="黑体"/>
          <w:kern w:val="2"/>
          <w:sz w:val="32"/>
          <w:szCs w:val="32"/>
          <w:lang w:val="en-US" w:eastAsia="zh-CN"/>
        </w:rPr>
        <w:t>将新招录8名人员。调进3名工作人员。</w:t>
      </w:r>
      <w:r>
        <w:rPr>
          <w:rFonts w:hint="eastAsia" w:ascii="仿宋_GB2312" w:hAnsi="黑体" w:eastAsia="仿宋_GB2312" w:cs="仿宋_GB2312"/>
          <w:kern w:val="2"/>
          <w:sz w:val="32"/>
          <w:szCs w:val="32"/>
          <w:lang w:val="en-US" w:eastAsia="zh-CN" w:bidi="ar-SA"/>
        </w:rPr>
        <w:t>初级</w:t>
      </w:r>
      <w:r>
        <w:rPr>
          <w:rFonts w:hint="eastAsia" w:hAnsi="黑体" w:cs="仿宋_GB2312"/>
          <w:kern w:val="2"/>
          <w:sz w:val="32"/>
          <w:szCs w:val="32"/>
          <w:lang w:val="en-US" w:eastAsia="zh-CN" w:bidi="ar-SA"/>
        </w:rPr>
        <w:t>全面开展好</w:t>
      </w:r>
      <w:r>
        <w:rPr>
          <w:rFonts w:hint="eastAsia" w:ascii="仿宋_GB2312" w:hAnsi="黑体" w:eastAsia="仿宋_GB2312" w:cs="仿宋_GB2312"/>
          <w:kern w:val="2"/>
          <w:sz w:val="32"/>
          <w:szCs w:val="32"/>
          <w:lang w:val="en-US" w:eastAsia="zh-CN" w:bidi="ar-SA"/>
        </w:rPr>
        <w:t>学衔</w:t>
      </w:r>
      <w:r>
        <w:rPr>
          <w:rFonts w:hint="eastAsia" w:hAnsi="黑体" w:cs="仿宋_GB2312"/>
          <w:kern w:val="2"/>
          <w:sz w:val="32"/>
          <w:szCs w:val="32"/>
          <w:lang w:val="en-US" w:eastAsia="zh-CN" w:bidi="ar-SA"/>
        </w:rPr>
        <w:t>教育</w:t>
      </w:r>
      <w:r>
        <w:rPr>
          <w:rFonts w:hint="eastAsia" w:ascii="仿宋_GB2312" w:hAnsi="黑体" w:eastAsia="仿宋_GB2312" w:cs="仿宋_GB2312"/>
          <w:kern w:val="2"/>
          <w:sz w:val="32"/>
          <w:szCs w:val="32"/>
          <w:lang w:val="en-US" w:eastAsia="zh-CN" w:bidi="ar-SA"/>
        </w:rPr>
        <w:t>工作</w:t>
      </w:r>
      <w:r>
        <w:rPr>
          <w:rFonts w:hint="eastAsia" w:hAnsi="黑体" w:cs="仿宋_GB2312"/>
          <w:kern w:val="2"/>
          <w:sz w:val="32"/>
          <w:szCs w:val="32"/>
          <w:lang w:val="en-US" w:eastAsia="zh-CN" w:bidi="ar-SA"/>
        </w:rPr>
        <w:t>。</w:t>
      </w:r>
    </w:p>
    <w:p>
      <w:pPr>
        <w:pStyle w:val="19"/>
        <w:spacing w:before="0" w:line="360" w:lineRule="auto"/>
        <w:ind w:firstLine="627" w:firstLineChars="196"/>
        <w:rPr>
          <w:rFonts w:hint="eastAsia" w:ascii="仿宋_GB2312" w:hAnsi="仿宋_GB2312" w:eastAsia="仿宋_GB2312" w:cs="仿宋_GB2312"/>
          <w:b w:val="0"/>
          <w:bCs w:val="0"/>
          <w:kern w:val="2"/>
          <w:sz w:val="32"/>
          <w:szCs w:val="32"/>
        </w:rPr>
      </w:pPr>
      <w:r>
        <w:rPr>
          <w:rFonts w:hint="eastAsia" w:cs="仿宋_GB2312"/>
          <w:b w:val="0"/>
          <w:bCs w:val="0"/>
          <w:kern w:val="2"/>
          <w:sz w:val="32"/>
          <w:szCs w:val="32"/>
          <w:lang w:val="en-US" w:eastAsia="zh-CN"/>
        </w:rPr>
        <w:t>(二）</w:t>
      </w:r>
      <w:r>
        <w:rPr>
          <w:rFonts w:hint="eastAsia" w:ascii="仿宋_GB2312" w:hAnsi="仿宋_GB2312" w:eastAsia="仿宋_GB2312" w:cs="仿宋_GB2312"/>
          <w:b w:val="0"/>
          <w:bCs w:val="0"/>
          <w:kern w:val="2"/>
          <w:sz w:val="32"/>
          <w:szCs w:val="32"/>
        </w:rPr>
        <w:t>一般公共预算当年拨款结构情况</w:t>
      </w:r>
    </w:p>
    <w:p>
      <w:pPr>
        <w:pStyle w:val="19"/>
        <w:spacing w:before="0" w:line="360" w:lineRule="auto"/>
        <w:ind w:firstLine="627" w:firstLineChars="196"/>
        <w:rPr>
          <w:rFonts w:hint="eastAsia" w:cs="仿宋_GB2312"/>
          <w:b w:val="0"/>
          <w:bCs w:val="0"/>
          <w:kern w:val="2"/>
          <w:sz w:val="32"/>
          <w:szCs w:val="32"/>
          <w:lang w:val="en-US" w:eastAsia="zh-CN"/>
        </w:rPr>
      </w:pPr>
      <w:r>
        <w:rPr>
          <w:rFonts w:hint="eastAsia" w:ascii="仿宋_GB2312" w:eastAsia="仿宋_GB2312" w:cs="Times New Roman"/>
          <w:sz w:val="32"/>
          <w:szCs w:val="32"/>
        </w:rPr>
        <w:t>一般公共服务支出</w:t>
      </w:r>
      <w:r>
        <w:rPr>
          <w:rFonts w:hint="eastAsia" w:ascii="仿宋_GB2312" w:eastAsia="仿宋_GB2312" w:cs="Times New Roman"/>
          <w:sz w:val="32"/>
          <w:szCs w:val="32"/>
          <w:lang w:val="en-US" w:eastAsia="zh-CN"/>
        </w:rPr>
        <w:t>1264.21</w:t>
      </w:r>
      <w:r>
        <w:rPr>
          <w:rFonts w:hint="eastAsia" w:ascii="仿宋_GB2312" w:eastAsia="仿宋_GB2312" w:cs="Times New Roman"/>
          <w:sz w:val="32"/>
          <w:szCs w:val="32"/>
        </w:rPr>
        <w:t>万元，社会保障和就业支出</w:t>
      </w:r>
      <w:r>
        <w:rPr>
          <w:rFonts w:hint="eastAsia" w:ascii="仿宋_GB2312" w:eastAsia="仿宋_GB2312" w:cs="Times New Roman"/>
          <w:sz w:val="32"/>
          <w:szCs w:val="32"/>
          <w:lang w:val="en-US" w:eastAsia="zh-CN"/>
        </w:rPr>
        <w:t>28.86</w:t>
      </w:r>
      <w:r>
        <w:rPr>
          <w:rFonts w:hint="eastAsia" w:ascii="仿宋_GB2312" w:eastAsia="仿宋_GB2312" w:cs="Times New Roman"/>
          <w:sz w:val="32"/>
          <w:szCs w:val="32"/>
        </w:rPr>
        <w:t>万元，卫生健康支出</w:t>
      </w:r>
      <w:r>
        <w:rPr>
          <w:rFonts w:hint="eastAsia" w:ascii="仿宋_GB2312" w:eastAsia="仿宋_GB2312" w:cs="Times New Roman"/>
          <w:sz w:val="32"/>
          <w:szCs w:val="32"/>
          <w:lang w:val="en-US" w:eastAsia="zh-CN"/>
        </w:rPr>
        <w:t>12.74</w:t>
      </w:r>
      <w:r>
        <w:rPr>
          <w:rFonts w:hint="eastAsia" w:ascii="仿宋_GB2312" w:eastAsia="仿宋_GB2312" w:cs="Times New Roman"/>
          <w:sz w:val="32"/>
          <w:szCs w:val="32"/>
        </w:rPr>
        <w:t>万元，住房保障支出</w:t>
      </w:r>
      <w:r>
        <w:rPr>
          <w:rFonts w:hint="eastAsia" w:ascii="仿宋_GB2312" w:eastAsia="仿宋_GB2312" w:cs="Times New Roman"/>
          <w:sz w:val="32"/>
          <w:szCs w:val="32"/>
          <w:lang w:val="en-US" w:eastAsia="zh-CN"/>
        </w:rPr>
        <w:t>18.16</w:t>
      </w:r>
      <w:r>
        <w:rPr>
          <w:rFonts w:hint="eastAsia" w:cs="仿宋_GB2312"/>
          <w:b w:val="0"/>
          <w:bCs w:val="0"/>
          <w:kern w:val="2"/>
          <w:sz w:val="32"/>
          <w:szCs w:val="32"/>
          <w:lang w:val="en-US" w:eastAsia="zh-CN"/>
        </w:rPr>
        <w:t>万元。</w:t>
      </w:r>
    </w:p>
    <w:p>
      <w:pPr>
        <w:pStyle w:val="19"/>
        <w:spacing w:before="0" w:line="360" w:lineRule="auto"/>
        <w:ind w:firstLine="627" w:firstLineChars="196"/>
        <w:rPr>
          <w:rFonts w:hint="eastAsia" w:cs="仿宋_GB2312"/>
          <w:b w:val="0"/>
          <w:bCs w:val="0"/>
          <w:kern w:val="2"/>
          <w:sz w:val="32"/>
          <w:szCs w:val="32"/>
          <w:lang w:val="en-US" w:eastAsia="zh-CN"/>
        </w:rPr>
      </w:pPr>
      <w:r>
        <w:rPr>
          <w:rFonts w:hint="eastAsia" w:cs="仿宋_GB2312"/>
          <w:b w:val="0"/>
          <w:bCs w:val="0"/>
          <w:kern w:val="2"/>
          <w:sz w:val="32"/>
          <w:szCs w:val="32"/>
          <w:lang w:val="en-US" w:eastAsia="zh-CN"/>
        </w:rPr>
        <w:t>（三）一般公共预算当年拨款具体使用情况</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rPr>
          <w:rFonts w:hint="default" w:ascii="仿宋_GB2312" w:hAnsi="黑体" w:eastAsia="仿宋_GB2312" w:cs="仿宋_GB2312"/>
          <w:kern w:val="2"/>
          <w:sz w:val="32"/>
          <w:szCs w:val="32"/>
          <w:lang w:val="en-US" w:eastAsia="zh-CN" w:bidi="ar-SA"/>
        </w:rPr>
      </w:pPr>
      <w:r>
        <w:rPr>
          <w:rFonts w:hint="eastAsia" w:ascii="仿宋_GB2312" w:eastAsia="仿宋_GB2312" w:cs="Times New Roman"/>
          <w:sz w:val="32"/>
          <w:szCs w:val="32"/>
          <w:lang w:val="en-US" w:eastAsia="zh-CN"/>
        </w:rPr>
        <w:t>1、一般公共服务支出1264.21万元，其中：一般行政管理事务是四川藏语佛学院阿坝分院办学经费和四川藏语佛学院阿坝分院后勤运转经费预算数为1075.22万元，主要用于202</w:t>
      </w:r>
      <w:r>
        <w:rPr>
          <w:rFonts w:hint="default" w:ascii="仿宋_GB2312" w:eastAsia="仿宋_GB2312" w:cs="Times New Roman"/>
          <w:sz w:val="32"/>
          <w:szCs w:val="32"/>
          <w:lang w:val="en-US" w:eastAsia="zh-CN"/>
        </w:rPr>
        <w:t>3</w:t>
      </w:r>
      <w:r>
        <w:rPr>
          <w:rFonts w:hint="eastAsia" w:ascii="仿宋_GB2312" w:eastAsia="仿宋_GB2312" w:cs="Times New Roman"/>
          <w:sz w:val="32"/>
          <w:szCs w:val="32"/>
          <w:lang w:val="en-US" w:eastAsia="zh-CN"/>
        </w:rPr>
        <w:t>年启动初级学衔</w:t>
      </w:r>
      <w:r>
        <w:rPr>
          <w:rFonts w:hint="default" w:ascii="仿宋_GB2312" w:eastAsia="仿宋_GB2312" w:cs="Times New Roman"/>
          <w:sz w:val="32"/>
          <w:szCs w:val="32"/>
          <w:lang w:val="en-US" w:eastAsia="zh-CN"/>
        </w:rPr>
        <w:t>教学计划招收学员</w:t>
      </w:r>
      <w:r>
        <w:rPr>
          <w:rFonts w:hint="eastAsia" w:ascii="仿宋_GB2312" w:eastAsia="仿宋_GB2312" w:cs="Times New Roman"/>
          <w:sz w:val="32"/>
          <w:szCs w:val="32"/>
          <w:lang w:val="en-US" w:eastAsia="zh-CN"/>
        </w:rPr>
        <w:t>60</w:t>
      </w:r>
      <w:r>
        <w:rPr>
          <w:rFonts w:hint="default" w:ascii="仿宋_GB2312" w:eastAsia="仿宋_GB2312" w:cs="Times New Roman"/>
          <w:sz w:val="32"/>
          <w:szCs w:val="32"/>
          <w:lang w:val="en-US" w:eastAsia="zh-CN"/>
        </w:rPr>
        <w:t>名，分苯</w:t>
      </w:r>
      <w:r>
        <w:rPr>
          <w:rFonts w:hint="eastAsia" w:ascii="仿宋_GB2312" w:eastAsia="仿宋_GB2312" w:cs="Times New Roman"/>
          <w:sz w:val="32"/>
          <w:szCs w:val="32"/>
          <w:lang w:val="en-US" w:eastAsia="zh-CN"/>
        </w:rPr>
        <w:t>教</w:t>
      </w:r>
      <w:r>
        <w:rPr>
          <w:rFonts w:hint="default" w:ascii="仿宋_GB2312" w:eastAsia="仿宋_GB2312" w:cs="Times New Roman"/>
          <w:sz w:val="32"/>
          <w:szCs w:val="32"/>
          <w:lang w:val="en-US" w:eastAsia="zh-CN"/>
        </w:rPr>
        <w:t>、格鲁</w:t>
      </w:r>
      <w:r>
        <w:rPr>
          <w:rFonts w:hint="eastAsia" w:ascii="仿宋_GB2312" w:eastAsia="仿宋_GB2312" w:cs="Times New Roman"/>
          <w:sz w:val="32"/>
          <w:szCs w:val="32"/>
          <w:lang w:val="en-US" w:eastAsia="zh-CN"/>
        </w:rPr>
        <w:t>派</w:t>
      </w:r>
      <w:r>
        <w:rPr>
          <w:rFonts w:hint="default" w:ascii="仿宋_GB2312" w:eastAsia="仿宋_GB2312" w:cs="Times New Roman"/>
          <w:sz w:val="32"/>
          <w:szCs w:val="32"/>
          <w:lang w:val="en-US" w:eastAsia="zh-CN"/>
        </w:rPr>
        <w:t>两个班，</w:t>
      </w:r>
      <w:r>
        <w:rPr>
          <w:rFonts w:hint="eastAsia" w:ascii="仿宋_GB2312" w:eastAsia="仿宋_GB2312" w:cs="Times New Roman"/>
          <w:sz w:val="32"/>
          <w:szCs w:val="32"/>
          <w:lang w:val="en-US" w:eastAsia="zh-CN"/>
        </w:rPr>
        <w:t>每班30人。聘请经师及教师的工资福利待遇，学员路途补助、体检费、学习资料和设备的购置费、学</w:t>
      </w:r>
      <w:r>
        <w:rPr>
          <w:rFonts w:hint="eastAsia" w:ascii="仿宋_GB2312" w:hAnsi="黑体" w:eastAsia="仿宋_GB2312" w:cs="仿宋_GB2312"/>
          <w:kern w:val="2"/>
          <w:sz w:val="32"/>
          <w:szCs w:val="32"/>
          <w:lang w:val="en-US" w:eastAsia="zh-CN" w:bidi="ar-SA"/>
        </w:rPr>
        <w:t>员的在校伙食费用及生活用品发放。每学期学员外出现场教学费用，为丰富教学内容每学期举办运动会等费用。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Times New Roman"/>
          <w:sz w:val="32"/>
          <w:szCs w:val="32"/>
        </w:rPr>
      </w:pPr>
      <w:r>
        <w:rPr>
          <w:rFonts w:hint="eastAsia" w:ascii="仿宋_GB2312" w:eastAsia="仿宋_GB2312" w:cs="Times New Roman"/>
          <w:sz w:val="32"/>
          <w:szCs w:val="32"/>
          <w:lang w:val="en-US" w:eastAsia="zh-CN"/>
        </w:rPr>
        <w:t xml:space="preserve"> </w:t>
      </w:r>
      <w:r>
        <w:rPr>
          <w:rFonts w:hint="eastAsia" w:ascii="仿宋_GB2312" w:eastAsia="仿宋_GB2312" w:cs="Times New Roman"/>
          <w:sz w:val="32"/>
          <w:szCs w:val="32"/>
        </w:rPr>
        <w:t>2</w:t>
      </w:r>
      <w:r>
        <w:rPr>
          <w:rFonts w:hint="eastAsia" w:ascii="仿宋_GB2312" w:eastAsia="仿宋_GB2312" w:cs="Times New Roman"/>
          <w:sz w:val="32"/>
          <w:szCs w:val="32"/>
          <w:lang w:eastAsia="zh-CN"/>
        </w:rPr>
        <w:t>、</w:t>
      </w:r>
      <w:r>
        <w:rPr>
          <w:rFonts w:hint="eastAsia" w:ascii="仿宋_GB2312" w:eastAsia="仿宋_GB2312" w:cs="Times New Roman"/>
          <w:sz w:val="32"/>
          <w:szCs w:val="32"/>
        </w:rPr>
        <w:t>社会保障和就业（类）行政事业离退休（款）行政事业单位基本养老保险缴费支出（项目）202</w:t>
      </w:r>
      <w:r>
        <w:rPr>
          <w:rFonts w:hint="default" w:ascii="仿宋_GB2312" w:eastAsia="仿宋_GB2312" w:cs="Times New Roman"/>
          <w:sz w:val="32"/>
          <w:szCs w:val="32"/>
          <w:lang w:eastAsia="zh-CN"/>
        </w:rPr>
        <w:t>3</w:t>
      </w:r>
      <w:r>
        <w:rPr>
          <w:rFonts w:hint="eastAsia" w:ascii="仿宋_GB2312" w:eastAsia="仿宋_GB2312" w:cs="Times New Roman"/>
          <w:sz w:val="32"/>
          <w:szCs w:val="32"/>
        </w:rPr>
        <w:t>年预算数为</w:t>
      </w:r>
      <w:r>
        <w:rPr>
          <w:rFonts w:hint="eastAsia" w:ascii="仿宋_GB2312" w:eastAsia="仿宋_GB2312" w:cs="Times New Roman"/>
          <w:sz w:val="32"/>
          <w:szCs w:val="32"/>
          <w:lang w:val="en-US" w:eastAsia="zh-CN"/>
        </w:rPr>
        <w:t>19.24</w:t>
      </w:r>
      <w:r>
        <w:rPr>
          <w:rFonts w:hint="eastAsia" w:ascii="仿宋_GB2312" w:eastAsia="仿宋_GB2312" w:cs="Times New Roman"/>
          <w:sz w:val="32"/>
          <w:szCs w:val="32"/>
        </w:rPr>
        <w:t>万元，主要用于在职职工202</w:t>
      </w:r>
      <w:r>
        <w:rPr>
          <w:rFonts w:hint="default" w:ascii="仿宋_GB2312" w:eastAsia="仿宋_GB2312" w:cs="Times New Roman"/>
          <w:sz w:val="32"/>
          <w:szCs w:val="32"/>
          <w:lang w:eastAsia="zh-CN"/>
        </w:rPr>
        <w:t>3</w:t>
      </w:r>
      <w:r>
        <w:rPr>
          <w:rFonts w:hint="eastAsia" w:ascii="仿宋_GB2312" w:eastAsia="仿宋_GB2312" w:cs="Times New Roman"/>
          <w:sz w:val="32"/>
          <w:szCs w:val="32"/>
        </w:rPr>
        <w:t>年</w:t>
      </w:r>
      <w:r>
        <w:rPr>
          <w:rFonts w:hint="default" w:cs="仿宋_GB2312"/>
          <w:sz w:val="32"/>
          <w:szCs w:val="32"/>
        </w:rPr>
        <w:t>单位部分</w:t>
      </w:r>
      <w:r>
        <w:rPr>
          <w:rFonts w:hint="eastAsia" w:ascii="仿宋_GB2312" w:eastAsia="仿宋_GB2312" w:cs="Times New Roman"/>
          <w:sz w:val="32"/>
          <w:szCs w:val="32"/>
        </w:rPr>
        <w:t>单位部分基本养老保险支出。</w:t>
      </w:r>
    </w:p>
    <w:p>
      <w:pPr>
        <w:pStyle w:val="19"/>
        <w:spacing w:before="0" w:line="360" w:lineRule="auto"/>
        <w:ind w:firstLine="630"/>
        <w:outlineLvl w:val="1"/>
        <w:rPr>
          <w:rFonts w:cs="仿宋_GB2312"/>
          <w:sz w:val="32"/>
          <w:szCs w:val="32"/>
        </w:rPr>
      </w:pPr>
      <w:r>
        <w:rPr>
          <w:rFonts w:hint="eastAsia" w:cs="仿宋_GB2312"/>
          <w:sz w:val="32"/>
          <w:szCs w:val="32"/>
        </w:rPr>
        <w:t>3</w:t>
      </w:r>
      <w:r>
        <w:rPr>
          <w:rFonts w:hint="eastAsia" w:cs="仿宋_GB2312"/>
          <w:sz w:val="32"/>
          <w:szCs w:val="32"/>
          <w:lang w:eastAsia="zh-CN"/>
        </w:rPr>
        <w:t>、</w:t>
      </w:r>
      <w:r>
        <w:rPr>
          <w:rFonts w:hint="eastAsia" w:cs="仿宋_GB2312"/>
          <w:sz w:val="32"/>
          <w:szCs w:val="32"/>
        </w:rPr>
        <w:t>社会保障和就业（类）行政事业离退休（款）行政事业单位职业年金缴费支出（项目）202</w:t>
      </w:r>
      <w:r>
        <w:rPr>
          <w:rFonts w:hint="default" w:cs="仿宋_GB2312"/>
          <w:sz w:val="32"/>
          <w:szCs w:val="32"/>
        </w:rPr>
        <w:t>3</w:t>
      </w:r>
      <w:r>
        <w:rPr>
          <w:rFonts w:hint="eastAsia" w:cs="仿宋_GB2312"/>
          <w:sz w:val="32"/>
          <w:szCs w:val="32"/>
        </w:rPr>
        <w:t>年预算数为</w:t>
      </w:r>
      <w:r>
        <w:rPr>
          <w:rFonts w:hint="eastAsia" w:cs="仿宋_GB2312"/>
          <w:sz w:val="32"/>
          <w:szCs w:val="32"/>
          <w:lang w:val="en-US" w:eastAsia="zh-CN"/>
        </w:rPr>
        <w:t>9.62</w:t>
      </w:r>
      <w:r>
        <w:rPr>
          <w:rFonts w:hint="eastAsia" w:cs="仿宋_GB2312"/>
          <w:sz w:val="32"/>
          <w:szCs w:val="32"/>
        </w:rPr>
        <w:t>万元。主要用于在职职工202</w:t>
      </w:r>
      <w:r>
        <w:rPr>
          <w:rFonts w:hint="default" w:cs="仿宋_GB2312"/>
          <w:sz w:val="32"/>
          <w:szCs w:val="32"/>
        </w:rPr>
        <w:t>3</w:t>
      </w:r>
      <w:r>
        <w:rPr>
          <w:rFonts w:hint="eastAsia" w:cs="仿宋_GB2312"/>
          <w:sz w:val="32"/>
          <w:szCs w:val="32"/>
        </w:rPr>
        <w:t>年单位部分职业年金支出。</w:t>
      </w:r>
    </w:p>
    <w:p>
      <w:pPr>
        <w:pStyle w:val="19"/>
        <w:spacing w:before="0" w:line="360" w:lineRule="auto"/>
        <w:ind w:firstLine="630"/>
        <w:outlineLvl w:val="1"/>
        <w:rPr>
          <w:rFonts w:cs="仿宋_GB2312"/>
          <w:sz w:val="32"/>
          <w:szCs w:val="32"/>
        </w:rPr>
      </w:pPr>
      <w:r>
        <w:rPr>
          <w:rFonts w:hint="eastAsia" w:cs="仿宋_GB2312"/>
          <w:sz w:val="32"/>
          <w:szCs w:val="32"/>
        </w:rPr>
        <w:t>4</w:t>
      </w:r>
      <w:r>
        <w:rPr>
          <w:rFonts w:hint="eastAsia" w:cs="仿宋_GB2312"/>
          <w:sz w:val="32"/>
          <w:szCs w:val="32"/>
          <w:lang w:eastAsia="zh-CN"/>
        </w:rPr>
        <w:t>、</w:t>
      </w:r>
      <w:r>
        <w:rPr>
          <w:rFonts w:hint="eastAsia" w:cs="仿宋_GB2312"/>
          <w:sz w:val="32"/>
          <w:szCs w:val="32"/>
        </w:rPr>
        <w:t>卫生健康支出（类）行政事业单位医疗（款）事业单位医疗（项）202</w:t>
      </w:r>
      <w:r>
        <w:rPr>
          <w:rFonts w:hint="default" w:cs="仿宋_GB2312"/>
          <w:sz w:val="32"/>
          <w:szCs w:val="32"/>
        </w:rPr>
        <w:t>3</w:t>
      </w:r>
      <w:r>
        <w:rPr>
          <w:rFonts w:hint="eastAsia" w:cs="仿宋_GB2312"/>
          <w:sz w:val="32"/>
          <w:szCs w:val="32"/>
        </w:rPr>
        <w:t>年预算数为</w:t>
      </w:r>
      <w:r>
        <w:rPr>
          <w:rFonts w:hint="eastAsia" w:cs="仿宋_GB2312"/>
          <w:sz w:val="32"/>
          <w:szCs w:val="32"/>
          <w:lang w:val="en-US" w:eastAsia="zh-CN"/>
        </w:rPr>
        <w:t>10.8</w:t>
      </w:r>
      <w:r>
        <w:rPr>
          <w:rFonts w:hint="eastAsia" w:cs="仿宋_GB2312"/>
          <w:sz w:val="32"/>
          <w:szCs w:val="32"/>
        </w:rPr>
        <w:t>万元，主要用于在职职工</w:t>
      </w:r>
      <w:r>
        <w:rPr>
          <w:rFonts w:hint="default" w:cs="仿宋_GB2312"/>
          <w:sz w:val="32"/>
          <w:szCs w:val="32"/>
        </w:rPr>
        <w:t>单位部分基本</w:t>
      </w:r>
      <w:r>
        <w:rPr>
          <w:rFonts w:hint="eastAsia" w:cs="仿宋_GB2312"/>
          <w:sz w:val="32"/>
          <w:szCs w:val="32"/>
        </w:rPr>
        <w:t>医疗</w:t>
      </w:r>
      <w:r>
        <w:rPr>
          <w:rFonts w:hint="default" w:cs="仿宋_GB2312"/>
          <w:sz w:val="32"/>
          <w:szCs w:val="32"/>
        </w:rPr>
        <w:t>保险</w:t>
      </w:r>
      <w:r>
        <w:rPr>
          <w:rFonts w:hint="eastAsia" w:cs="仿宋_GB2312"/>
          <w:sz w:val="32"/>
          <w:szCs w:val="32"/>
        </w:rPr>
        <w:t>支出。</w:t>
      </w:r>
    </w:p>
    <w:p>
      <w:pPr>
        <w:pStyle w:val="19"/>
        <w:spacing w:before="0" w:line="360" w:lineRule="auto"/>
        <w:ind w:firstLine="630"/>
        <w:outlineLvl w:val="1"/>
        <w:rPr>
          <w:rFonts w:cs="仿宋_GB2312"/>
          <w:sz w:val="32"/>
          <w:szCs w:val="32"/>
        </w:rPr>
      </w:pPr>
      <w:r>
        <w:rPr>
          <w:rFonts w:hint="eastAsia" w:cs="仿宋_GB2312"/>
          <w:sz w:val="32"/>
          <w:szCs w:val="32"/>
          <w:lang w:val="en-US" w:eastAsia="zh-CN"/>
        </w:rPr>
        <w:t>5、</w:t>
      </w:r>
      <w:r>
        <w:rPr>
          <w:rFonts w:hint="eastAsia" w:cs="仿宋_GB2312"/>
          <w:sz w:val="32"/>
          <w:szCs w:val="32"/>
        </w:rPr>
        <w:t>卫生健康支出（类）行政事业单位医疗（款）其他行政事业单位医疗支出（项）202</w:t>
      </w:r>
      <w:r>
        <w:rPr>
          <w:rFonts w:hint="default" w:cs="仿宋_GB2312"/>
          <w:sz w:val="32"/>
          <w:szCs w:val="32"/>
        </w:rPr>
        <w:t>3</w:t>
      </w:r>
      <w:r>
        <w:rPr>
          <w:rFonts w:hint="eastAsia" w:cs="仿宋_GB2312"/>
          <w:sz w:val="32"/>
          <w:szCs w:val="32"/>
        </w:rPr>
        <w:t>年预算数为</w:t>
      </w:r>
      <w:r>
        <w:rPr>
          <w:rFonts w:hint="eastAsia" w:cs="仿宋_GB2312"/>
          <w:sz w:val="32"/>
          <w:szCs w:val="32"/>
          <w:lang w:val="en-US" w:eastAsia="zh-CN"/>
        </w:rPr>
        <w:t>1.95</w:t>
      </w:r>
      <w:r>
        <w:rPr>
          <w:rFonts w:hint="eastAsia" w:cs="仿宋_GB2312"/>
          <w:sz w:val="32"/>
          <w:szCs w:val="32"/>
        </w:rPr>
        <w:t>万元，主要用于在职职工公务员医疗补助。</w:t>
      </w:r>
    </w:p>
    <w:p>
      <w:pPr>
        <w:pStyle w:val="19"/>
        <w:spacing w:before="0" w:line="360" w:lineRule="auto"/>
        <w:ind w:firstLine="630"/>
        <w:outlineLvl w:val="1"/>
        <w:rPr>
          <w:rFonts w:hint="eastAsia" w:cs="仿宋_GB2312"/>
          <w:sz w:val="32"/>
          <w:szCs w:val="32"/>
        </w:rPr>
      </w:pPr>
      <w:r>
        <w:rPr>
          <w:rFonts w:hint="eastAsia" w:cs="仿宋_GB2312"/>
          <w:sz w:val="32"/>
          <w:szCs w:val="32"/>
          <w:lang w:val="en-US" w:eastAsia="zh-CN"/>
        </w:rPr>
        <w:t>6、</w:t>
      </w:r>
      <w:r>
        <w:rPr>
          <w:rFonts w:hint="eastAsia" w:cs="仿宋_GB2312"/>
          <w:sz w:val="32"/>
          <w:szCs w:val="32"/>
        </w:rPr>
        <w:t>住房保障（类）住房改革（款）住房积金（项）202</w:t>
      </w:r>
      <w:r>
        <w:rPr>
          <w:rFonts w:hint="default" w:cs="仿宋_GB2312"/>
          <w:sz w:val="32"/>
          <w:szCs w:val="32"/>
        </w:rPr>
        <w:t>3</w:t>
      </w:r>
      <w:r>
        <w:rPr>
          <w:rFonts w:hint="eastAsia" w:cs="仿宋_GB2312"/>
          <w:sz w:val="32"/>
          <w:szCs w:val="32"/>
        </w:rPr>
        <w:t>年预算数为</w:t>
      </w:r>
      <w:r>
        <w:rPr>
          <w:rFonts w:hint="eastAsia" w:cs="仿宋_GB2312"/>
          <w:sz w:val="32"/>
          <w:szCs w:val="32"/>
          <w:lang w:val="en-US" w:eastAsia="zh-CN"/>
        </w:rPr>
        <w:t>18.16</w:t>
      </w:r>
      <w:r>
        <w:rPr>
          <w:rFonts w:hint="eastAsia" w:cs="仿宋_GB2312"/>
          <w:sz w:val="32"/>
          <w:szCs w:val="32"/>
        </w:rPr>
        <w:t>万元，</w:t>
      </w:r>
      <w:r>
        <w:rPr>
          <w:rFonts w:hint="eastAsia" w:cs="仿宋_GB2312"/>
          <w:kern w:val="2"/>
          <w:sz w:val="32"/>
          <w:szCs w:val="32"/>
        </w:rPr>
        <w:t>元，</w:t>
      </w:r>
      <w:r>
        <w:rPr>
          <w:rFonts w:hint="eastAsia" w:cs="仿宋_GB2312"/>
          <w:sz w:val="32"/>
          <w:szCs w:val="32"/>
        </w:rPr>
        <w:t>于在职职工住房公积金单位补助部分。</w:t>
      </w:r>
    </w:p>
    <w:p>
      <w:pPr>
        <w:pStyle w:val="19"/>
        <w:spacing w:before="0" w:line="360" w:lineRule="auto"/>
        <w:ind w:firstLine="630"/>
        <w:outlineLvl w:val="1"/>
        <w:rPr>
          <w:rFonts w:hint="eastAsia" w:hAnsi="黑体" w:eastAsia="仿宋_GB2312"/>
          <w:kern w:val="2"/>
          <w:sz w:val="32"/>
          <w:szCs w:val="32"/>
          <w:lang w:eastAsia="zh-CN"/>
        </w:rPr>
      </w:pPr>
      <w:r>
        <w:rPr>
          <w:rFonts w:hint="eastAsia" w:cs="仿宋_GB2312"/>
          <w:sz w:val="32"/>
          <w:szCs w:val="32"/>
          <w:lang w:val="en-US" w:eastAsia="zh-CN"/>
        </w:rPr>
        <w:t>7、事业运行</w:t>
      </w:r>
      <w:r>
        <w:rPr>
          <w:rFonts w:hint="eastAsia" w:cs="仿宋_GB2312"/>
          <w:sz w:val="32"/>
          <w:szCs w:val="32"/>
        </w:rPr>
        <w:t>202</w:t>
      </w:r>
      <w:r>
        <w:rPr>
          <w:rFonts w:hint="default" w:cs="仿宋_GB2312"/>
          <w:sz w:val="32"/>
          <w:szCs w:val="32"/>
        </w:rPr>
        <w:t>3</w:t>
      </w:r>
      <w:r>
        <w:rPr>
          <w:rFonts w:hint="eastAsia" w:cs="仿宋_GB2312"/>
          <w:sz w:val="32"/>
          <w:szCs w:val="32"/>
        </w:rPr>
        <w:t>年预算数为</w:t>
      </w:r>
      <w:r>
        <w:rPr>
          <w:rFonts w:hint="eastAsia" w:cs="仿宋_GB2312"/>
          <w:sz w:val="32"/>
          <w:szCs w:val="32"/>
          <w:lang w:val="en-US" w:eastAsia="zh-CN"/>
        </w:rPr>
        <w:t>188.98</w:t>
      </w:r>
      <w:r>
        <w:rPr>
          <w:rFonts w:hint="eastAsia" w:cs="仿宋_GB2312"/>
          <w:sz w:val="32"/>
          <w:szCs w:val="32"/>
        </w:rPr>
        <w:t>万元</w:t>
      </w:r>
      <w:r>
        <w:rPr>
          <w:rFonts w:hint="eastAsia" w:cs="仿宋_GB2312"/>
          <w:sz w:val="32"/>
          <w:szCs w:val="32"/>
          <w:lang w:eastAsia="zh-CN"/>
        </w:rPr>
        <w:t>。</w:t>
      </w:r>
    </w:p>
    <w:p>
      <w:pPr>
        <w:pStyle w:val="19"/>
        <w:tabs>
          <w:tab w:val="left" w:pos="720"/>
        </w:tabs>
        <w:spacing w:before="0" w:line="360" w:lineRule="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kern w:val="2"/>
          <w:sz w:val="32"/>
          <w:szCs w:val="32"/>
          <w:lang w:val="en-US" w:eastAsia="zh-CN"/>
        </w:rPr>
        <w:t>四</w:t>
      </w:r>
      <w:r>
        <w:rPr>
          <w:rFonts w:hint="eastAsia" w:ascii="方正黑体_GBK" w:hAnsi="方正黑体_GBK" w:eastAsia="方正黑体_GBK" w:cs="方正黑体_GBK"/>
          <w:b w:val="0"/>
          <w:bCs w:val="0"/>
          <w:kern w:val="2"/>
          <w:sz w:val="32"/>
          <w:szCs w:val="32"/>
        </w:rPr>
        <w:t>、一般公共预算基本支出情况说明</w:t>
      </w:r>
    </w:p>
    <w:p>
      <w:pPr>
        <w:pStyle w:val="19"/>
        <w:spacing w:before="0" w:line="360" w:lineRule="auto"/>
        <w:ind w:firstLine="640" w:firstLineChars="200"/>
        <w:rPr>
          <w:rFonts w:hAnsi="黑体" w:cs="Times New Roman"/>
          <w:kern w:val="2"/>
          <w:sz w:val="32"/>
          <w:szCs w:val="32"/>
        </w:rPr>
      </w:pPr>
      <w:r>
        <w:rPr>
          <w:rFonts w:hint="eastAsia" w:hAnsi="黑体"/>
          <w:kern w:val="2"/>
          <w:sz w:val="32"/>
          <w:szCs w:val="32"/>
        </w:rPr>
        <w:t>四川藏语佛学院阿坝分院</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一般公共预算基本支出</w:t>
      </w:r>
      <w:r>
        <w:rPr>
          <w:rFonts w:hint="eastAsia" w:hAnsi="黑体"/>
          <w:kern w:val="2"/>
          <w:sz w:val="32"/>
          <w:szCs w:val="32"/>
          <w:lang w:val="en-US" w:eastAsia="zh-CN"/>
        </w:rPr>
        <w:t>248.75</w:t>
      </w:r>
      <w:r>
        <w:rPr>
          <w:rFonts w:hint="eastAsia" w:hAnsi="黑体"/>
          <w:kern w:val="2"/>
          <w:sz w:val="32"/>
          <w:szCs w:val="32"/>
        </w:rPr>
        <w:t>万元，</w:t>
      </w:r>
      <w:r>
        <w:rPr>
          <w:rFonts w:hint="eastAsia" w:cs="仿宋_GB2312"/>
          <w:kern w:val="2"/>
          <w:sz w:val="32"/>
          <w:szCs w:val="32"/>
        </w:rPr>
        <w:t>其中：人员经费</w:t>
      </w:r>
      <w:r>
        <w:rPr>
          <w:rFonts w:hint="eastAsia" w:cs="仿宋_GB2312"/>
          <w:kern w:val="2"/>
          <w:sz w:val="32"/>
          <w:szCs w:val="32"/>
          <w:lang w:val="en-US" w:eastAsia="zh-CN"/>
        </w:rPr>
        <w:t>198.88</w:t>
      </w:r>
      <w:r>
        <w:rPr>
          <w:rFonts w:hint="eastAsia" w:cs="仿宋_GB2312"/>
          <w:kern w:val="2"/>
          <w:sz w:val="32"/>
          <w:szCs w:val="32"/>
        </w:rPr>
        <w:t>万元，</w:t>
      </w:r>
      <w:r>
        <w:rPr>
          <w:rFonts w:hint="eastAsia" w:hAnsi="黑体"/>
          <w:kern w:val="2"/>
          <w:sz w:val="32"/>
          <w:szCs w:val="32"/>
        </w:rPr>
        <w:t>主要包括：</w:t>
      </w:r>
      <w:r>
        <w:rPr>
          <w:rFonts w:hint="eastAsia" w:cs="仿宋_GB2312"/>
          <w:kern w:val="2"/>
          <w:sz w:val="32"/>
          <w:szCs w:val="32"/>
        </w:rPr>
        <w:t>基本工资、津贴补贴、奖金、其他社会保障缴费、绩效工资、机关事业单位基本养老保险缴费、职业年金缴费、其他工资福利支出、奖励金、住房公积金、其他对个人和家庭的补助支出。公用经费</w:t>
      </w:r>
      <w:r>
        <w:rPr>
          <w:rFonts w:hint="eastAsia" w:cs="仿宋_GB2312"/>
          <w:kern w:val="2"/>
          <w:sz w:val="32"/>
          <w:szCs w:val="32"/>
          <w:lang w:val="en-US" w:eastAsia="zh-CN"/>
        </w:rPr>
        <w:t>49.87</w:t>
      </w:r>
      <w:r>
        <w:rPr>
          <w:rFonts w:hint="eastAsia" w:cs="仿宋_GB2312"/>
          <w:kern w:val="2"/>
          <w:sz w:val="32"/>
          <w:szCs w:val="32"/>
        </w:rPr>
        <w:t>万元，</w:t>
      </w:r>
      <w:r>
        <w:rPr>
          <w:rFonts w:hint="eastAsia" w:cs="仿宋_GB2312"/>
          <w:kern w:val="2"/>
          <w:sz w:val="32"/>
          <w:szCs w:val="32"/>
          <w:lang w:val="en-US" w:eastAsia="zh-CN"/>
        </w:rPr>
        <w:t>主要包括：</w:t>
      </w:r>
      <w:r>
        <w:rPr>
          <w:rFonts w:hint="eastAsia" w:hAnsi="黑体"/>
          <w:kern w:val="2"/>
          <w:sz w:val="32"/>
          <w:szCs w:val="32"/>
        </w:rPr>
        <w:t>办公费、印刷费、手续费、水费、电费、邮电费、差旅费、维修（护）费、租赁费、会议费、培训费、劳务费、体检费</w:t>
      </w:r>
      <w:r>
        <w:rPr>
          <w:rFonts w:hint="eastAsia" w:hAnsi="黑体"/>
          <w:kern w:val="2"/>
          <w:sz w:val="32"/>
          <w:szCs w:val="32"/>
          <w:lang w:eastAsia="zh-CN"/>
        </w:rPr>
        <w:t>、</w:t>
      </w:r>
      <w:r>
        <w:rPr>
          <w:rFonts w:hint="eastAsia" w:hAnsi="黑体"/>
          <w:kern w:val="2"/>
          <w:sz w:val="32"/>
          <w:szCs w:val="32"/>
        </w:rPr>
        <w:t> 物业管理费、福利费、其他交通工具运行维护费、 党组织活动经费</w:t>
      </w:r>
      <w:r>
        <w:rPr>
          <w:rFonts w:hint="eastAsia" w:hAnsi="黑体"/>
          <w:kern w:val="2"/>
          <w:sz w:val="32"/>
          <w:szCs w:val="32"/>
          <w:lang w:eastAsia="zh-CN"/>
        </w:rPr>
        <w:t>、 委托业务费、专用材料费、</w:t>
      </w:r>
      <w:r>
        <w:rPr>
          <w:rFonts w:hint="eastAsia" w:hAnsi="黑体"/>
          <w:kern w:val="2"/>
          <w:sz w:val="32"/>
          <w:szCs w:val="32"/>
        </w:rPr>
        <w:t>其他商品和服务支出。</w:t>
      </w:r>
    </w:p>
    <w:p>
      <w:pPr>
        <w:pStyle w:val="19"/>
        <w:spacing w:before="0" w:line="360" w:lineRule="auto"/>
        <w:rPr>
          <w:rFonts w:hint="eastAsia" w:ascii="方正黑体_GBK" w:hAnsi="方正黑体_GBK" w:eastAsia="方正黑体_GBK" w:cs="方正黑体_GBK"/>
          <w:b w:val="0"/>
          <w:bCs w:val="0"/>
          <w:sz w:val="16"/>
          <w:szCs w:val="16"/>
        </w:rPr>
      </w:pPr>
      <w:r>
        <w:rPr>
          <w:rFonts w:hint="eastAsia" w:ascii="方正黑体_GBK" w:hAnsi="方正黑体_GBK" w:eastAsia="方正黑体_GBK" w:cs="方正黑体_GBK"/>
          <w:b w:val="0"/>
          <w:bCs w:val="0"/>
          <w:kern w:val="2"/>
          <w:sz w:val="32"/>
          <w:szCs w:val="32"/>
          <w:lang w:val="en-US" w:eastAsia="zh-CN"/>
        </w:rPr>
        <w:t>五</w:t>
      </w:r>
      <w:r>
        <w:rPr>
          <w:rFonts w:hint="eastAsia" w:ascii="方正黑体_GBK" w:hAnsi="方正黑体_GBK" w:eastAsia="方正黑体_GBK" w:cs="方正黑体_GBK"/>
          <w:b w:val="0"/>
          <w:bCs w:val="0"/>
          <w:kern w:val="2"/>
          <w:sz w:val="32"/>
          <w:szCs w:val="32"/>
        </w:rPr>
        <w:t>、“三公”经费财政拨款预算安排情况说明</w:t>
      </w:r>
    </w:p>
    <w:p>
      <w:pPr>
        <w:pStyle w:val="19"/>
        <w:spacing w:before="0" w:line="360" w:lineRule="auto"/>
        <w:ind w:firstLine="627" w:firstLineChars="196"/>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四川藏语佛学院阿坝分院202</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年“三公”经费财政拨款预算数</w:t>
      </w:r>
      <w:r>
        <w:rPr>
          <w:rFonts w:hint="eastAsia" w:ascii="仿宋_GB2312" w:hAnsi="仿宋_GB2312" w:eastAsia="仿宋_GB2312" w:cs="仿宋_GB2312"/>
          <w:kern w:val="2"/>
          <w:sz w:val="32"/>
          <w:szCs w:val="32"/>
          <w:lang w:val="en-US" w:eastAsia="zh-CN"/>
        </w:rPr>
        <w:t>18.15</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其中：</w:t>
      </w:r>
    </w:p>
    <w:p>
      <w:pPr>
        <w:pStyle w:val="19"/>
        <w:spacing w:before="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（一）</w:t>
      </w:r>
      <w:r>
        <w:rPr>
          <w:rFonts w:hint="eastAsia" w:ascii="仿宋_GB2312" w:hAnsi="仿宋_GB2312" w:eastAsia="仿宋_GB2312" w:cs="仿宋_GB2312"/>
          <w:kern w:val="2"/>
          <w:sz w:val="32"/>
          <w:szCs w:val="32"/>
          <w:lang w:val="en-US" w:eastAsia="zh-CN"/>
        </w:rPr>
        <w:t>2023年</w:t>
      </w:r>
      <w:r>
        <w:rPr>
          <w:rFonts w:hint="eastAsia" w:ascii="仿宋_GB2312" w:hAnsi="仿宋_GB2312" w:eastAsia="仿宋_GB2312" w:cs="仿宋_GB2312"/>
          <w:kern w:val="2"/>
          <w:sz w:val="32"/>
          <w:szCs w:val="32"/>
        </w:rPr>
        <w:t>因公出国（境）经费0万元，较202</w:t>
      </w: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rPr>
        <w:t>年预算经费0万元增长0%</w:t>
      </w:r>
      <w:r>
        <w:rPr>
          <w:rFonts w:hint="eastAsia" w:ascii="仿宋_GB2312" w:hAnsi="仿宋_GB2312" w:eastAsia="仿宋_GB2312" w:cs="仿宋_GB2312"/>
          <w:kern w:val="2"/>
          <w:sz w:val="32"/>
          <w:szCs w:val="32"/>
          <w:lang w:eastAsia="zh-CN"/>
        </w:rPr>
        <w:t>；</w:t>
      </w:r>
    </w:p>
    <w:p>
      <w:pPr>
        <w:pStyle w:val="19"/>
        <w:spacing w:before="0" w:line="360" w:lineRule="auto"/>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eastAsia="zh-CN"/>
        </w:rPr>
        <w:t>（二）</w:t>
      </w:r>
      <w:r>
        <w:rPr>
          <w:rFonts w:hint="eastAsia" w:ascii="仿宋_GB2312" w:hAnsi="仿宋_GB2312" w:eastAsia="仿宋_GB2312" w:cs="仿宋_GB2312"/>
          <w:kern w:val="2"/>
          <w:sz w:val="32"/>
          <w:szCs w:val="32"/>
          <w:lang w:val="en-US" w:eastAsia="zh-CN"/>
        </w:rPr>
        <w:t>2023年</w:t>
      </w:r>
      <w:r>
        <w:rPr>
          <w:rFonts w:hint="eastAsia" w:ascii="仿宋_GB2312" w:hAnsi="仿宋_GB2312" w:eastAsia="仿宋_GB2312" w:cs="仿宋_GB2312"/>
          <w:kern w:val="2"/>
          <w:sz w:val="32"/>
          <w:szCs w:val="32"/>
        </w:rPr>
        <w:t>公务接待费</w:t>
      </w:r>
      <w:r>
        <w:rPr>
          <w:rFonts w:hint="eastAsia" w:ascii="仿宋_GB2312" w:hAnsi="仿宋_GB2312" w:eastAsia="仿宋_GB2312" w:cs="仿宋_GB2312"/>
          <w:kern w:val="2"/>
          <w:sz w:val="32"/>
          <w:szCs w:val="32"/>
          <w:lang w:val="en-US" w:eastAsia="zh-CN"/>
        </w:rPr>
        <w:t>0.87</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年随着学院发展预计来校考察的单位和人员较多，因此预计公务接待费有所增加。</w:t>
      </w:r>
      <w:r>
        <w:rPr>
          <w:rFonts w:hint="eastAsia" w:ascii="仿宋_GB2312" w:hAnsi="仿宋_GB2312" w:eastAsia="仿宋_GB2312" w:cs="仿宋_GB2312"/>
          <w:color w:val="000000"/>
          <w:kern w:val="2"/>
          <w:sz w:val="32"/>
          <w:szCs w:val="32"/>
        </w:rPr>
        <w:br w:type="textWrapping"/>
      </w:r>
      <w:r>
        <w:rPr>
          <w:rFonts w:hint="eastAsia" w:ascii="仿宋_GB2312" w:hAnsi="仿宋_GB2312" w:eastAsia="仿宋_GB2312" w:cs="仿宋_GB2312"/>
          <w:color w:val="000000"/>
          <w:kern w:val="2"/>
          <w:sz w:val="32"/>
          <w:szCs w:val="32"/>
          <w:lang w:val="en-US" w:eastAsia="zh-CN"/>
        </w:rPr>
        <w:t xml:space="preserve">   </w:t>
      </w:r>
      <w:r>
        <w:rPr>
          <w:rFonts w:hint="eastAsia" w:ascii="仿宋_GB2312" w:hAnsi="仿宋_GB2312" w:eastAsia="仿宋_GB2312" w:cs="仿宋_GB2312"/>
          <w:kern w:val="2"/>
          <w:sz w:val="32"/>
          <w:szCs w:val="32"/>
          <w:lang w:eastAsia="zh-CN"/>
        </w:rPr>
        <w:t>（三）</w:t>
      </w:r>
      <w:r>
        <w:rPr>
          <w:rFonts w:hint="eastAsia" w:ascii="仿宋_GB2312" w:hAnsi="仿宋_GB2312" w:eastAsia="仿宋_GB2312" w:cs="仿宋_GB2312"/>
          <w:kern w:val="2"/>
          <w:sz w:val="32"/>
          <w:szCs w:val="32"/>
          <w:lang w:val="en-US" w:eastAsia="zh-CN"/>
        </w:rPr>
        <w:t>2023年</w:t>
      </w:r>
      <w:r>
        <w:rPr>
          <w:rFonts w:hint="eastAsia" w:ascii="仿宋_GB2312" w:hAnsi="仿宋_GB2312" w:eastAsia="仿宋_GB2312" w:cs="仿宋_GB2312"/>
          <w:kern w:val="2"/>
          <w:sz w:val="32"/>
          <w:szCs w:val="32"/>
        </w:rPr>
        <w:t>公务用车购置及运行维护费</w:t>
      </w:r>
      <w:r>
        <w:rPr>
          <w:rFonts w:hint="eastAsia" w:ascii="仿宋_GB2312" w:hAnsi="仿宋_GB2312" w:eastAsia="仿宋_GB2312" w:cs="仿宋_GB2312"/>
          <w:kern w:val="2"/>
          <w:sz w:val="32"/>
          <w:szCs w:val="32"/>
          <w:lang w:val="en-US" w:eastAsia="zh-CN"/>
        </w:rPr>
        <w:t>17.28</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其中公务用车购置费为0万元，公务用车运行费是17.28万元。</w:t>
      </w:r>
      <w:r>
        <w:rPr>
          <w:rFonts w:hint="eastAsia" w:ascii="仿宋_GB2312" w:hAnsi="仿宋_GB2312" w:eastAsia="仿宋_GB2312" w:cs="仿宋_GB2312"/>
          <w:kern w:val="2"/>
          <w:sz w:val="32"/>
          <w:szCs w:val="32"/>
        </w:rPr>
        <w:t>主要原因:</w:t>
      </w:r>
      <w:r>
        <w:rPr>
          <w:rFonts w:hint="eastAsia" w:ascii="仿宋_GB2312" w:hAnsi="仿宋_GB2312" w:eastAsia="仿宋_GB2312" w:cs="仿宋_GB2312"/>
          <w:kern w:val="2"/>
          <w:sz w:val="32"/>
          <w:szCs w:val="32"/>
          <w:lang w:val="en-US" w:eastAsia="zh-CN"/>
        </w:rPr>
        <w:t>学院</w:t>
      </w:r>
      <w:r>
        <w:rPr>
          <w:rFonts w:hint="eastAsia" w:ascii="仿宋_GB2312" w:hAnsi="仿宋_GB2312" w:eastAsia="仿宋_GB2312" w:cs="仿宋_GB2312"/>
          <w:kern w:val="2"/>
          <w:sz w:val="32"/>
          <w:szCs w:val="32"/>
          <w:lang w:val="en-US" w:eastAsia="zh-CN" w:bidi="ar-SA"/>
        </w:rPr>
        <w:t>启动初级学衔工作，我院驻地在理县，日常工作对接汇报业务科室在马尔康。主要用于日常通勤、招生、出差调研等工作所需的公务用车燃料费、维修费、过路过桥费、保险费等支出。</w:t>
      </w:r>
    </w:p>
    <w:p>
      <w:pPr>
        <w:pStyle w:val="19"/>
        <w:spacing w:before="0" w:line="360" w:lineRule="auto"/>
        <w:ind w:firstLine="640" w:firstLineChars="200"/>
        <w:rPr>
          <w:rFonts w:hint="eastAsia" w:ascii="仿宋_GB2312" w:hAnsi="仿宋_GB2312" w:eastAsia="仿宋_GB2312" w:cs="仿宋_GB2312"/>
          <w:kern w:val="2"/>
          <w:sz w:val="32"/>
          <w:szCs w:val="32"/>
          <w:lang w:val="en-US" w:eastAsia="zh-CN" w:bidi="ar-SA"/>
        </w:rPr>
      </w:pPr>
    </w:p>
    <w:p>
      <w:pPr>
        <w:pStyle w:val="19"/>
        <w:spacing w:before="0" w:line="360" w:lineRule="auto"/>
        <w:rPr>
          <w:rFonts w:hint="eastAsia" w:ascii="方正黑体_GBK" w:hAnsi="方正黑体_GBK" w:eastAsia="方正黑体_GBK" w:cs="方正黑体_GBK"/>
          <w:b w:val="0"/>
          <w:bCs w:val="0"/>
          <w:kern w:val="2"/>
          <w:sz w:val="32"/>
          <w:szCs w:val="32"/>
        </w:rPr>
      </w:pPr>
      <w:r>
        <w:rPr>
          <w:rFonts w:hint="eastAsia" w:ascii="方正黑体_GBK" w:hAnsi="方正黑体_GBK" w:eastAsia="方正黑体_GBK" w:cs="方正黑体_GBK"/>
          <w:b w:val="0"/>
          <w:bCs w:val="0"/>
          <w:kern w:val="2"/>
          <w:sz w:val="32"/>
          <w:szCs w:val="32"/>
          <w:lang w:val="en-US" w:eastAsia="zh-CN"/>
        </w:rPr>
        <w:t>六</w:t>
      </w:r>
      <w:r>
        <w:rPr>
          <w:rFonts w:hint="eastAsia" w:ascii="方正黑体_GBK" w:hAnsi="方正黑体_GBK" w:eastAsia="方正黑体_GBK" w:cs="方正黑体_GBK"/>
          <w:b w:val="0"/>
          <w:bCs w:val="0"/>
          <w:kern w:val="2"/>
          <w:sz w:val="32"/>
          <w:szCs w:val="32"/>
        </w:rPr>
        <w:t>、政府性基金预算支出情况说明</w:t>
      </w:r>
    </w:p>
    <w:p>
      <w:pPr>
        <w:pStyle w:val="19"/>
        <w:spacing w:before="0" w:line="360" w:lineRule="auto"/>
        <w:ind w:firstLine="320" w:firstLineChars="200"/>
        <w:rPr>
          <w:rFonts w:hint="eastAsia" w:hAnsi="黑体"/>
          <w:kern w:val="2"/>
          <w:sz w:val="32"/>
          <w:szCs w:val="32"/>
          <w:lang w:eastAsia="zh-CN"/>
        </w:rPr>
      </w:pPr>
      <w:r>
        <w:rPr>
          <w:rFonts w:hint="eastAsia" w:ascii="??" w:hAnsi="??" w:eastAsia="宋体" w:cs="宋体"/>
          <w:sz w:val="16"/>
          <w:szCs w:val="16"/>
        </w:rPr>
        <w:t>　　</w:t>
      </w:r>
      <w:r>
        <w:rPr>
          <w:rFonts w:hint="eastAsia" w:hAnsi="黑体"/>
          <w:kern w:val="2"/>
          <w:sz w:val="32"/>
          <w:szCs w:val="32"/>
        </w:rPr>
        <w:t>四川藏语佛学院阿坝分院</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lang w:val="en-US" w:eastAsia="zh-CN"/>
        </w:rPr>
        <w:t>没有使用</w:t>
      </w:r>
      <w:r>
        <w:rPr>
          <w:rFonts w:hint="eastAsia" w:hAnsi="黑体"/>
          <w:kern w:val="2"/>
          <w:sz w:val="32"/>
          <w:szCs w:val="32"/>
        </w:rPr>
        <w:t>政府性基金预算拨款</w:t>
      </w:r>
      <w:r>
        <w:rPr>
          <w:rFonts w:hint="eastAsia" w:hAnsi="黑体"/>
          <w:kern w:val="2"/>
          <w:sz w:val="32"/>
          <w:szCs w:val="32"/>
          <w:lang w:val="en-US" w:eastAsia="zh-CN"/>
        </w:rPr>
        <w:t>的</w:t>
      </w:r>
      <w:r>
        <w:rPr>
          <w:rFonts w:hint="eastAsia" w:hAnsi="黑体"/>
          <w:kern w:val="2"/>
          <w:sz w:val="32"/>
          <w:szCs w:val="32"/>
        </w:rPr>
        <w:t>安排</w:t>
      </w:r>
      <w:r>
        <w:rPr>
          <w:rFonts w:hint="eastAsia" w:hAnsi="黑体"/>
          <w:kern w:val="2"/>
          <w:sz w:val="32"/>
          <w:szCs w:val="32"/>
          <w:lang w:eastAsia="zh-CN"/>
        </w:rPr>
        <w:t>。</w:t>
      </w:r>
    </w:p>
    <w:p>
      <w:pPr>
        <w:pStyle w:val="19"/>
        <w:spacing w:before="0" w:line="360" w:lineRule="auto"/>
        <w:rPr>
          <w:rFonts w:hint="eastAsia" w:ascii="方正黑体_GBK" w:hAnsi="方正黑体_GBK" w:eastAsia="方正黑体_GBK" w:cs="方正黑体_GBK"/>
          <w:b w:val="0"/>
          <w:bCs w:val="0"/>
          <w:kern w:val="2"/>
          <w:sz w:val="32"/>
          <w:szCs w:val="32"/>
        </w:rPr>
      </w:pPr>
      <w:r>
        <w:rPr>
          <w:rFonts w:hint="eastAsia" w:ascii="方正黑体_GBK" w:hAnsi="方正黑体_GBK" w:eastAsia="方正黑体_GBK" w:cs="方正黑体_GBK"/>
          <w:b w:val="0"/>
          <w:bCs w:val="0"/>
          <w:kern w:val="2"/>
          <w:sz w:val="32"/>
          <w:szCs w:val="32"/>
          <w:lang w:val="en-US" w:eastAsia="zh-CN"/>
        </w:rPr>
        <w:t>七</w:t>
      </w:r>
      <w:r>
        <w:rPr>
          <w:rFonts w:hint="eastAsia" w:ascii="方正黑体_GBK" w:hAnsi="方正黑体_GBK" w:eastAsia="方正黑体_GBK" w:cs="方正黑体_GBK"/>
          <w:b w:val="0"/>
          <w:bCs w:val="0"/>
          <w:kern w:val="2"/>
          <w:sz w:val="32"/>
          <w:szCs w:val="32"/>
        </w:rPr>
        <w:t>、其他重要事项的情况说明</w:t>
      </w:r>
    </w:p>
    <w:p>
      <w:pPr>
        <w:pStyle w:val="19"/>
        <w:spacing w:before="0" w:line="360" w:lineRule="auto"/>
        <w:ind w:firstLine="627" w:firstLineChars="196"/>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（一）机关运行经费</w:t>
      </w:r>
    </w:p>
    <w:p>
      <w:pPr>
        <w:pStyle w:val="19"/>
        <w:spacing w:before="0" w:line="360" w:lineRule="auto"/>
        <w:ind w:firstLine="627" w:firstLineChars="196"/>
        <w:rPr>
          <w:rFonts w:hint="default" w:hAnsi="黑体" w:eastAsia="仿宋_GB2312"/>
          <w:kern w:val="2"/>
          <w:sz w:val="32"/>
          <w:szCs w:val="32"/>
          <w:lang w:val="en-US" w:eastAsia="zh-CN"/>
        </w:rPr>
      </w:pPr>
      <w:r>
        <w:rPr>
          <w:rFonts w:hint="eastAsia" w:hAnsi="黑体"/>
          <w:kern w:val="2"/>
          <w:sz w:val="32"/>
          <w:szCs w:val="32"/>
        </w:rPr>
        <w:t>四川藏语佛学院阿坝分院</w:t>
      </w:r>
      <w:r>
        <w:rPr>
          <w:rFonts w:hint="eastAsia" w:hAnsi="黑体"/>
          <w:kern w:val="2"/>
          <w:sz w:val="32"/>
          <w:szCs w:val="32"/>
          <w:lang w:val="en-US" w:eastAsia="zh-CN"/>
        </w:rPr>
        <w:t>为事业单位，按规定未使用机关运行的相关科目。</w:t>
      </w:r>
    </w:p>
    <w:p>
      <w:pPr>
        <w:pStyle w:val="19"/>
        <w:spacing w:before="0" w:line="360" w:lineRule="auto"/>
        <w:ind w:firstLine="627" w:firstLineChars="196"/>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w:t>
      </w:r>
      <w:r>
        <w:rPr>
          <w:rFonts w:hint="eastAsia" w:ascii="仿宋_GB2312" w:hAnsi="仿宋_GB2312" w:eastAsia="仿宋_GB2312" w:cs="仿宋_GB2312"/>
          <w:b w:val="0"/>
          <w:bCs w:val="0"/>
          <w:kern w:val="2"/>
          <w:sz w:val="32"/>
          <w:szCs w:val="32"/>
          <w:lang w:val="en-US" w:eastAsia="zh-CN"/>
        </w:rPr>
        <w:t>二</w:t>
      </w:r>
      <w:r>
        <w:rPr>
          <w:rFonts w:hint="eastAsia" w:ascii="仿宋_GB2312" w:hAnsi="仿宋_GB2312" w:eastAsia="仿宋_GB2312" w:cs="仿宋_GB2312"/>
          <w:b w:val="0"/>
          <w:bCs w:val="0"/>
          <w:kern w:val="2"/>
          <w:sz w:val="32"/>
          <w:szCs w:val="32"/>
        </w:rPr>
        <w:t>）政府采购情况</w:t>
      </w:r>
    </w:p>
    <w:p>
      <w:pPr>
        <w:pStyle w:val="19"/>
        <w:spacing w:before="0" w:line="360" w:lineRule="auto"/>
        <w:ind w:firstLine="640" w:firstLineChars="200"/>
        <w:rPr>
          <w:rFonts w:hAnsi="黑体" w:cs="Times New Roman"/>
          <w:kern w:val="2"/>
          <w:sz w:val="32"/>
          <w:szCs w:val="32"/>
        </w:rPr>
      </w:pP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四川藏语佛学院阿坝分院安排政府采购预算0万元。</w:t>
      </w:r>
    </w:p>
    <w:p>
      <w:pPr>
        <w:pStyle w:val="19"/>
        <w:spacing w:before="0" w:line="360" w:lineRule="auto"/>
        <w:ind w:firstLine="627" w:firstLineChars="196"/>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lang w:val="en-US" w:eastAsia="zh-CN"/>
        </w:rPr>
        <w:t>（三）</w:t>
      </w:r>
      <w:r>
        <w:rPr>
          <w:rFonts w:hint="eastAsia" w:ascii="仿宋_GB2312" w:hAnsi="仿宋_GB2312" w:eastAsia="仿宋_GB2312" w:cs="仿宋_GB2312"/>
          <w:b w:val="0"/>
          <w:bCs w:val="0"/>
          <w:kern w:val="2"/>
          <w:sz w:val="32"/>
          <w:szCs w:val="32"/>
        </w:rPr>
        <w:t>国有资产占有使用情况</w:t>
      </w:r>
    </w:p>
    <w:p>
      <w:pPr>
        <w:pStyle w:val="19"/>
        <w:spacing w:before="0" w:line="360" w:lineRule="auto"/>
        <w:ind w:firstLine="320" w:firstLineChars="200"/>
        <w:rPr>
          <w:rFonts w:hint="default" w:hAnsi="黑体" w:eastAsia="仿宋_GB2312"/>
          <w:kern w:val="2"/>
          <w:sz w:val="32"/>
          <w:szCs w:val="32"/>
          <w:lang w:val="en-US" w:eastAsia="zh-CN"/>
        </w:rPr>
      </w:pPr>
      <w:r>
        <w:rPr>
          <w:rFonts w:hint="eastAsia" w:ascii="??" w:hAnsi="??" w:eastAsia="宋体" w:cs="宋体"/>
          <w:sz w:val="16"/>
          <w:szCs w:val="16"/>
        </w:rPr>
        <w:t>　</w:t>
      </w:r>
      <w:r>
        <w:rPr>
          <w:rFonts w:hint="eastAsia" w:cs="仿宋_GB2312"/>
          <w:kern w:val="2"/>
          <w:sz w:val="32"/>
          <w:szCs w:val="32"/>
        </w:rPr>
        <w:t>截至202</w:t>
      </w:r>
      <w:r>
        <w:rPr>
          <w:rFonts w:hint="default" w:cs="仿宋_GB2312"/>
          <w:kern w:val="2"/>
          <w:sz w:val="32"/>
          <w:szCs w:val="32"/>
        </w:rPr>
        <w:t>2</w:t>
      </w:r>
      <w:r>
        <w:rPr>
          <w:rFonts w:hint="eastAsia" w:cs="仿宋_GB2312"/>
          <w:kern w:val="2"/>
          <w:sz w:val="32"/>
          <w:szCs w:val="32"/>
        </w:rPr>
        <w:t>年12月31日，我单位固定资产共有车辆</w:t>
      </w:r>
      <w:r>
        <w:rPr>
          <w:rFonts w:hint="eastAsia" w:cs="仿宋_GB2312"/>
          <w:kern w:val="2"/>
          <w:sz w:val="32"/>
          <w:szCs w:val="32"/>
          <w:lang w:val="en-US" w:eastAsia="zh-CN"/>
        </w:rPr>
        <w:t>3</w:t>
      </w:r>
      <w:r>
        <w:rPr>
          <w:rFonts w:hint="eastAsia" w:cs="仿宋_GB2312"/>
          <w:kern w:val="2"/>
          <w:sz w:val="32"/>
          <w:szCs w:val="32"/>
        </w:rPr>
        <w:t>辆</w:t>
      </w:r>
      <w:r>
        <w:rPr>
          <w:rFonts w:hint="eastAsia" w:cs="仿宋_GB2312"/>
          <w:kern w:val="2"/>
          <w:sz w:val="32"/>
          <w:szCs w:val="32"/>
          <w:lang w:eastAsia="zh-CN"/>
        </w:rPr>
        <w:t>，</w:t>
      </w:r>
      <w:r>
        <w:rPr>
          <w:rFonts w:hint="eastAsia" w:cs="仿宋_GB2312"/>
          <w:kern w:val="2"/>
          <w:sz w:val="32"/>
          <w:szCs w:val="32"/>
          <w:lang w:val="en-US" w:eastAsia="zh-CN"/>
        </w:rPr>
        <w:t>价值为147.02</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rPr>
        <w:t>其余资产为我院一期项目，还未办理移交手续。</w:t>
      </w:r>
    </w:p>
    <w:p>
      <w:pPr>
        <w:pStyle w:val="19"/>
        <w:spacing w:before="0" w:line="360" w:lineRule="auto"/>
        <w:ind w:firstLine="627" w:firstLineChars="196"/>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（四）绩效目标设置情况</w:t>
      </w:r>
    </w:p>
    <w:p>
      <w:pPr>
        <w:pStyle w:val="19"/>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根据预算绩效管理要求，本单位在2023年度预算编制阶段，组织对“四川藏语佛学院阿坝分院办学经费”、“后勤运转经费”开展了预算事前绩效评估，对2个项目编制了绩效目标，涉及预算1075.22万元。</w:t>
      </w: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1040" w:firstLineChars="200"/>
        <w:jc w:val="center"/>
        <w:rPr>
          <w:rFonts w:hint="eastAsia" w:ascii="方正小标宋_GBK" w:hAnsi="方正小标宋_GBK" w:eastAsia="方正小标宋_GBK" w:cs="方正小标宋_GBK"/>
          <w:kern w:val="2"/>
          <w:sz w:val="52"/>
          <w:szCs w:val="52"/>
          <w:lang w:val="en-US" w:eastAsia="zh-CN"/>
        </w:rPr>
      </w:pPr>
      <w:r>
        <w:rPr>
          <w:rFonts w:hint="eastAsia" w:ascii="方正小标宋_GBK" w:hAnsi="方正小标宋_GBK" w:eastAsia="方正小标宋_GBK" w:cs="方正小标宋_GBK"/>
          <w:kern w:val="2"/>
          <w:sz w:val="52"/>
          <w:szCs w:val="52"/>
          <w:lang w:val="en-US" w:eastAsia="zh-CN"/>
        </w:rPr>
        <w:t>第四部分 名词解释</w:t>
      </w: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ind w:firstLine="640" w:firstLineChars="200"/>
        <w:rPr>
          <w:rFonts w:hint="eastAsia" w:cs="仿宋_GB2312"/>
          <w:kern w:val="2"/>
          <w:sz w:val="32"/>
          <w:szCs w:val="32"/>
          <w:lang w:val="en-US" w:eastAsia="zh-CN"/>
        </w:rPr>
      </w:pPr>
    </w:p>
    <w:p>
      <w:pPr>
        <w:pStyle w:val="19"/>
        <w:spacing w:before="0" w:line="360" w:lineRule="auto"/>
        <w:rPr>
          <w:rFonts w:hint="eastAsia" w:cs="仿宋_GB2312"/>
          <w:kern w:val="2"/>
          <w:sz w:val="32"/>
          <w:szCs w:val="32"/>
          <w:lang w:val="en-US" w:eastAsia="zh-CN"/>
        </w:rPr>
      </w:pPr>
    </w:p>
    <w:p>
      <w:pPr>
        <w:pStyle w:val="19"/>
        <w:spacing w:before="0" w:line="360" w:lineRule="auto"/>
        <w:rPr>
          <w:rFonts w:hint="eastAsia" w:cs="仿宋_GB2312"/>
          <w:kern w:val="2"/>
          <w:sz w:val="32"/>
          <w:szCs w:val="32"/>
          <w:lang w:val="en-US" w:eastAsia="zh-CN"/>
        </w:rPr>
      </w:pPr>
    </w:p>
    <w:p>
      <w:pPr>
        <w:pStyle w:val="19"/>
        <w:spacing w:before="0" w:line="360" w:lineRule="auto"/>
        <w:rPr>
          <w:rFonts w:hint="eastAsia" w:cs="仿宋_GB2312"/>
          <w:kern w:val="2"/>
          <w:sz w:val="32"/>
          <w:szCs w:val="32"/>
          <w:lang w:val="en-US" w:eastAsia="zh-CN"/>
        </w:rPr>
      </w:pPr>
    </w:p>
    <w:p>
      <w:pPr>
        <w:pStyle w:val="19"/>
        <w:spacing w:before="0" w:line="360" w:lineRule="auto"/>
        <w:ind w:firstLine="640" w:firstLineChars="200"/>
        <w:rPr>
          <w:rFonts w:hAnsi="黑体"/>
          <w:kern w:val="2"/>
          <w:sz w:val="32"/>
          <w:szCs w:val="32"/>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p>
    <w:p>
      <w:pPr>
        <w:pStyle w:val="19"/>
        <w:spacing w:before="0" w:line="360" w:lineRule="auto"/>
        <w:ind w:firstLine="640" w:firstLineChars="200"/>
        <w:rPr>
          <w:rFonts w:hAnsi="黑体"/>
          <w:kern w:val="2"/>
          <w:sz w:val="32"/>
          <w:szCs w:val="32"/>
        </w:rPr>
      </w:pPr>
      <w:r>
        <w:rPr>
          <w:rFonts w:hint="eastAsia" w:hAnsi="黑体"/>
          <w:kern w:val="2"/>
          <w:sz w:val="32"/>
          <w:szCs w:val="32"/>
        </w:rPr>
        <w:t>（二）事业收入：指所属事业单位开展专业业务活动及辅助活动所取得的收入。</w:t>
      </w:r>
    </w:p>
    <w:p>
      <w:pPr>
        <w:pStyle w:val="19"/>
        <w:spacing w:before="0" w:line="360" w:lineRule="auto"/>
        <w:ind w:firstLine="640" w:firstLineChars="200"/>
        <w:rPr>
          <w:rFonts w:hAnsi="黑体"/>
          <w:kern w:val="2"/>
          <w:sz w:val="32"/>
          <w:szCs w:val="32"/>
        </w:rPr>
      </w:pPr>
      <w:r>
        <w:rPr>
          <w:rFonts w:hint="eastAsia" w:hAnsi="黑体"/>
          <w:kern w:val="2"/>
          <w:sz w:val="32"/>
          <w:szCs w:val="32"/>
        </w:rPr>
        <w:t>（三）事业单位经营收入：指所属事业单位在专业业务活动及其辅助活动之外开展非独立核算经营活动取得的收入。</w:t>
      </w:r>
    </w:p>
    <w:p>
      <w:pPr>
        <w:pStyle w:val="19"/>
        <w:spacing w:before="0" w:line="360" w:lineRule="auto"/>
        <w:ind w:firstLine="640" w:firstLineChars="200"/>
        <w:rPr>
          <w:rFonts w:hAnsi="黑体"/>
          <w:kern w:val="2"/>
          <w:sz w:val="32"/>
          <w:szCs w:val="32"/>
        </w:rPr>
      </w:pPr>
      <w:r>
        <w:rPr>
          <w:rFonts w:hint="eastAsia" w:hAnsi="黑体"/>
          <w:kern w:val="2"/>
          <w:sz w:val="32"/>
          <w:szCs w:val="32"/>
        </w:rPr>
        <w:t>（四）其他收入：指除上述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p>
    <w:p>
      <w:pPr>
        <w:pStyle w:val="19"/>
        <w:spacing w:before="0" w:line="360" w:lineRule="auto"/>
        <w:ind w:firstLine="640" w:firstLineChars="200"/>
        <w:rPr>
          <w:rFonts w:hAnsi="黑体"/>
          <w:kern w:val="2"/>
          <w:sz w:val="32"/>
          <w:szCs w:val="32"/>
        </w:rPr>
      </w:pPr>
      <w:r>
        <w:rPr>
          <w:rFonts w:hint="eastAsia" w:hAnsi="黑体"/>
          <w:kern w:val="2"/>
          <w:sz w:val="32"/>
          <w:szCs w:val="32"/>
        </w:rPr>
        <w:t>（五）用事业基金弥补收支差额：指所属事业单位在预计用当年的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p>
    <w:p>
      <w:pPr>
        <w:pStyle w:val="19"/>
        <w:spacing w:before="0" w:line="360" w:lineRule="auto"/>
        <w:ind w:firstLine="640" w:firstLineChars="200"/>
        <w:rPr>
          <w:rFonts w:hAnsi="黑体" w:cs="Times New Roman"/>
          <w:kern w:val="2"/>
          <w:sz w:val="32"/>
          <w:szCs w:val="32"/>
        </w:rPr>
      </w:pPr>
      <w:r>
        <w:rPr>
          <w:rFonts w:hint="eastAsia" w:hAnsi="黑体"/>
          <w:kern w:val="2"/>
          <w:sz w:val="32"/>
          <w:szCs w:val="32"/>
        </w:rPr>
        <w:t>（六）上年结转：指所属行政事业单位以前年度尚未完成、结转至本年按原规定用途继续使用的资金和以前年度已完成项目剩余资金经批准用于新用途使用的资金。</w:t>
      </w:r>
    </w:p>
    <w:p>
      <w:pPr>
        <w:rPr>
          <w:rFonts w:ascii="仿宋_GB2312" w:hAnsi="黑体" w:eastAsia="仿宋_GB2312" w:cs="Times New Roman"/>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à.ā">
    <w:altName w:val="方正楷体_GBK"/>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0eU80yAgAAZA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bR5TzTICAABk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4B7027"/>
    <w:multiLevelType w:val="singleLevel"/>
    <w:tmpl w:val="A74B7027"/>
    <w:lvl w:ilvl="0" w:tentative="0">
      <w:start w:val="1"/>
      <w:numFmt w:val="chineseCounting"/>
      <w:suff w:val="nothing"/>
      <w:lvlText w:val="（%1）"/>
      <w:lvlJc w:val="left"/>
      <w:rPr>
        <w:rFonts w:hint="eastAsia"/>
      </w:rPr>
    </w:lvl>
  </w:abstractNum>
  <w:abstractNum w:abstractNumId="1">
    <w:nsid w:val="CC50B0E1"/>
    <w:multiLevelType w:val="singleLevel"/>
    <w:tmpl w:val="CC50B0E1"/>
    <w:lvl w:ilvl="0" w:tentative="0">
      <w:start w:val="5"/>
      <w:numFmt w:val="chineseCounting"/>
      <w:suff w:val="nothing"/>
      <w:lvlText w:val="%1、"/>
      <w:lvlJc w:val="left"/>
      <w:rPr>
        <w:rFonts w:hint="eastAsia"/>
      </w:rPr>
    </w:lvl>
  </w:abstractNum>
  <w:abstractNum w:abstractNumId="2">
    <w:nsid w:val="18FD26A3"/>
    <w:multiLevelType w:val="singleLevel"/>
    <w:tmpl w:val="18FD26A3"/>
    <w:lvl w:ilvl="0" w:tentative="0">
      <w:start w:val="1"/>
      <w:numFmt w:val="chineseCounting"/>
      <w:suff w:val="space"/>
      <w:lvlText w:val="第%1部分"/>
      <w:lvlJc w:val="left"/>
      <w:rPr>
        <w:rFonts w:hint="eastAsia"/>
      </w:rPr>
    </w:lvl>
  </w:abstractNum>
  <w:abstractNum w:abstractNumId="3">
    <w:nsid w:val="46ACBFE8"/>
    <w:multiLevelType w:val="singleLevel"/>
    <w:tmpl w:val="46ACBFE8"/>
    <w:lvl w:ilvl="0" w:tentative="0">
      <w:start w:val="1"/>
      <w:numFmt w:val="chineseCounting"/>
      <w:suff w:val="nothing"/>
      <w:lvlText w:val="（%1）"/>
      <w:lvlJc w:val="left"/>
      <w:pPr>
        <w:ind w:left="0" w:firstLine="420"/>
      </w:pPr>
      <w:rPr>
        <w:rFonts w:hint="eastAsia"/>
      </w:rPr>
    </w:lvl>
  </w:abstractNum>
  <w:abstractNum w:abstractNumId="4">
    <w:nsid w:val="514264E1"/>
    <w:multiLevelType w:val="singleLevel"/>
    <w:tmpl w:val="514264E1"/>
    <w:lvl w:ilvl="0" w:tentative="0">
      <w:start w:val="10"/>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mNDNiMDhhNjE3MjVmZTQyZmIyOTg3ODlhYWUyZTcifQ=="/>
    <w:docVar w:name="KSO_WPS_MARK_KEY" w:val="5e242502-d675-43b7-ba36-489930c0578a"/>
  </w:docVars>
  <w:rsids>
    <w:rsidRoot w:val="00352854"/>
    <w:rsid w:val="00025B29"/>
    <w:rsid w:val="000329A3"/>
    <w:rsid w:val="00050237"/>
    <w:rsid w:val="00085137"/>
    <w:rsid w:val="0019250D"/>
    <w:rsid w:val="00260082"/>
    <w:rsid w:val="00291AF0"/>
    <w:rsid w:val="00337BD2"/>
    <w:rsid w:val="00352854"/>
    <w:rsid w:val="0035473F"/>
    <w:rsid w:val="003762A5"/>
    <w:rsid w:val="00397759"/>
    <w:rsid w:val="00412E78"/>
    <w:rsid w:val="00424F18"/>
    <w:rsid w:val="00491A9E"/>
    <w:rsid w:val="004C5E33"/>
    <w:rsid w:val="00524245"/>
    <w:rsid w:val="0053029E"/>
    <w:rsid w:val="0068558D"/>
    <w:rsid w:val="00732A9A"/>
    <w:rsid w:val="00756A54"/>
    <w:rsid w:val="007710D3"/>
    <w:rsid w:val="007B3677"/>
    <w:rsid w:val="00887A60"/>
    <w:rsid w:val="008F63EB"/>
    <w:rsid w:val="00901A74"/>
    <w:rsid w:val="00946F5B"/>
    <w:rsid w:val="009648A7"/>
    <w:rsid w:val="00985771"/>
    <w:rsid w:val="00987B5A"/>
    <w:rsid w:val="009B5B67"/>
    <w:rsid w:val="00A3753E"/>
    <w:rsid w:val="00A60456"/>
    <w:rsid w:val="00A718C1"/>
    <w:rsid w:val="00A809F6"/>
    <w:rsid w:val="00A817DB"/>
    <w:rsid w:val="00B663F8"/>
    <w:rsid w:val="00BA12CC"/>
    <w:rsid w:val="00C01031"/>
    <w:rsid w:val="00C0348B"/>
    <w:rsid w:val="00C451EA"/>
    <w:rsid w:val="00C8183B"/>
    <w:rsid w:val="00CD1F9A"/>
    <w:rsid w:val="00D06D76"/>
    <w:rsid w:val="00D15870"/>
    <w:rsid w:val="00D22494"/>
    <w:rsid w:val="00D31706"/>
    <w:rsid w:val="00D70DEC"/>
    <w:rsid w:val="00DA4D0A"/>
    <w:rsid w:val="00DB6419"/>
    <w:rsid w:val="00DD750A"/>
    <w:rsid w:val="00E16BE3"/>
    <w:rsid w:val="00E23BEF"/>
    <w:rsid w:val="00E92D84"/>
    <w:rsid w:val="00EB4974"/>
    <w:rsid w:val="00F14BDD"/>
    <w:rsid w:val="00F267C7"/>
    <w:rsid w:val="00F40C09"/>
    <w:rsid w:val="00F743F0"/>
    <w:rsid w:val="00F80C32"/>
    <w:rsid w:val="00F85776"/>
    <w:rsid w:val="00F92BB6"/>
    <w:rsid w:val="00F96BE5"/>
    <w:rsid w:val="00FA7742"/>
    <w:rsid w:val="00FF11B9"/>
    <w:rsid w:val="01DA7BE0"/>
    <w:rsid w:val="02055C18"/>
    <w:rsid w:val="026B3BD5"/>
    <w:rsid w:val="02CB109A"/>
    <w:rsid w:val="02E94B04"/>
    <w:rsid w:val="06214717"/>
    <w:rsid w:val="06E415DA"/>
    <w:rsid w:val="07AD09FD"/>
    <w:rsid w:val="07F7263F"/>
    <w:rsid w:val="08497B23"/>
    <w:rsid w:val="08C83E06"/>
    <w:rsid w:val="0ADF042D"/>
    <w:rsid w:val="0B3C79D4"/>
    <w:rsid w:val="0E1E29A5"/>
    <w:rsid w:val="0F2F6052"/>
    <w:rsid w:val="11781238"/>
    <w:rsid w:val="12504506"/>
    <w:rsid w:val="12AB33DA"/>
    <w:rsid w:val="13100ED8"/>
    <w:rsid w:val="13F82B68"/>
    <w:rsid w:val="146A3101"/>
    <w:rsid w:val="15812584"/>
    <w:rsid w:val="18583BD5"/>
    <w:rsid w:val="19C851B8"/>
    <w:rsid w:val="1A2E2E40"/>
    <w:rsid w:val="1F350CF1"/>
    <w:rsid w:val="1F6D2589"/>
    <w:rsid w:val="1FA07972"/>
    <w:rsid w:val="20023C4E"/>
    <w:rsid w:val="20376C32"/>
    <w:rsid w:val="20A45C5F"/>
    <w:rsid w:val="23A777BF"/>
    <w:rsid w:val="248B2BA6"/>
    <w:rsid w:val="24DA325E"/>
    <w:rsid w:val="2A675D74"/>
    <w:rsid w:val="2CB2345D"/>
    <w:rsid w:val="306E738C"/>
    <w:rsid w:val="308E1493"/>
    <w:rsid w:val="30C361D9"/>
    <w:rsid w:val="31B673EA"/>
    <w:rsid w:val="32194D7A"/>
    <w:rsid w:val="36A8135C"/>
    <w:rsid w:val="37217B5C"/>
    <w:rsid w:val="3B283FEC"/>
    <w:rsid w:val="3B396C70"/>
    <w:rsid w:val="3BDA7785"/>
    <w:rsid w:val="3ED92ACB"/>
    <w:rsid w:val="40070493"/>
    <w:rsid w:val="412B448C"/>
    <w:rsid w:val="41CE5572"/>
    <w:rsid w:val="41D61543"/>
    <w:rsid w:val="41F61BE6"/>
    <w:rsid w:val="45BA1ABA"/>
    <w:rsid w:val="483506A6"/>
    <w:rsid w:val="492434DC"/>
    <w:rsid w:val="4B2B6B0D"/>
    <w:rsid w:val="4DBF4F06"/>
    <w:rsid w:val="52A30122"/>
    <w:rsid w:val="53D31FC6"/>
    <w:rsid w:val="55911EF9"/>
    <w:rsid w:val="56795BEA"/>
    <w:rsid w:val="588813BB"/>
    <w:rsid w:val="5A810B67"/>
    <w:rsid w:val="5DC47551"/>
    <w:rsid w:val="5EB6652D"/>
    <w:rsid w:val="6042589C"/>
    <w:rsid w:val="613100ED"/>
    <w:rsid w:val="62E33669"/>
    <w:rsid w:val="6943283B"/>
    <w:rsid w:val="69D01E6E"/>
    <w:rsid w:val="742547CE"/>
    <w:rsid w:val="75571002"/>
    <w:rsid w:val="76165898"/>
    <w:rsid w:val="7700145E"/>
    <w:rsid w:val="77655752"/>
    <w:rsid w:val="777B735D"/>
    <w:rsid w:val="7CC16371"/>
    <w:rsid w:val="7CDBFFCA"/>
    <w:rsid w:val="7EED169F"/>
    <w:rsid w:val="BDFBD55B"/>
    <w:rsid w:val="DCEF1A4F"/>
    <w:rsid w:val="F3FF7F6D"/>
    <w:rsid w:val="FFDFA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uiPriority="99" w:name="heading 3" w:locked="1"/>
    <w:lsdException w:uiPriority="99" w:name="heading 4" w:locked="1"/>
    <w:lsdException w:uiPriority="99" w:name="heading 5" w:locked="1"/>
    <w:lsdException w:uiPriority="99" w:name="heading 6" w:locked="1"/>
    <w:lsdException w:uiPriority="99" w:name="heading 7" w:locked="1"/>
    <w:lsdException w:uiPriority="99" w:name="heading 8" w:locked="1"/>
    <w:lsdException w:uiPriority="99"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nhideWhenUsed="0" w:uiPriority="99" w:semiHidden="0" w:name="toc 3" w:locked="1"/>
    <w:lsdException w:unhideWhenUsed="0" w:uiPriority="99" w:semiHidden="0" w:name="toc 4" w:locked="1"/>
    <w:lsdException w:unhideWhenUsed="0" w:uiPriority="99" w:semiHidden="0" w:name="toc 5" w:locked="1"/>
    <w:lsdException w:unhideWhenUsed="0" w:uiPriority="99" w:semiHidden="0" w:name="toc 6" w:locked="1"/>
    <w:lsdException w:unhideWhenUsed="0" w:uiPriority="99" w:semiHidden="0" w:name="toc 7" w:locked="1"/>
    <w:lsdException w:unhideWhenUsed="0" w:uiPriority="99" w:semiHidden="0" w:name="toc 8" w:locked="1"/>
    <w:lsdException w:unhideWhenUsed="0" w:uiPriority="99"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uiPriority="99"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ocked="1"/>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24"/>
    <w:qFormat/>
    <w:uiPriority w:val="0"/>
    <w:pPr>
      <w:keepNext/>
      <w:keepLines/>
      <w:spacing w:line="576" w:lineRule="auto"/>
      <w:outlineLvl w:val="0"/>
    </w:pPr>
    <w:rPr>
      <w:b/>
      <w:kern w:val="44"/>
      <w:sz w:val="44"/>
    </w:rPr>
  </w:style>
  <w:style w:type="paragraph" w:styleId="3">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560" w:firstLineChars="200"/>
    </w:pPr>
    <w:rPr>
      <w:kern w:val="0"/>
      <w:sz w:val="24"/>
    </w:rPr>
  </w:style>
  <w:style w:type="paragraph" w:styleId="5">
    <w:name w:val="Plain Text"/>
    <w:basedOn w:val="1"/>
    <w:qFormat/>
    <w:uiPriority w:val="0"/>
    <w:rPr>
      <w:rFonts w:ascii="宋体" w:hAnsi="Courier New"/>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pPr>
      <w:spacing w:before="100" w:beforeAutospacing="1" w:after="100" w:afterAutospacing="1"/>
      <w:jc w:val="left"/>
    </w:pPr>
    <w:rPr>
      <w:rFonts w:cs="Times New Roman"/>
      <w:kern w:val="0"/>
      <w:sz w:val="24"/>
    </w:rPr>
  </w:style>
  <w:style w:type="paragraph" w:styleId="11">
    <w:name w:val="Title"/>
    <w:basedOn w:val="1"/>
    <w:qFormat/>
    <w:uiPriority w:val="0"/>
    <w:pPr>
      <w:jc w:val="center"/>
      <w:outlineLvl w:val="0"/>
    </w:pPr>
    <w:rPr>
      <w:rFonts w:ascii="Arial" w:hAnsi="Arial"/>
      <w:b/>
      <w:sz w:val="32"/>
    </w:rPr>
  </w:style>
  <w:style w:type="paragraph" w:styleId="12">
    <w:name w:val="Body Text First Indent 2"/>
    <w:basedOn w:val="4"/>
    <w:qFormat/>
    <w:uiPriority w:val="99"/>
    <w:pPr>
      <w:ind w:firstLine="420"/>
    </w:pPr>
  </w:style>
  <w:style w:type="character" w:styleId="15">
    <w:name w:val="Emphasis"/>
    <w:basedOn w:val="14"/>
    <w:qFormat/>
    <w:uiPriority w:val="99"/>
  </w:style>
  <w:style w:type="paragraph" w:customStyle="1" w:styleId="16">
    <w:name w:val="Default"/>
    <w:qFormat/>
    <w:uiPriority w:val="99"/>
    <w:pPr>
      <w:widowControl w:val="0"/>
      <w:autoSpaceDE w:val="0"/>
      <w:autoSpaceDN w:val="0"/>
      <w:adjustRightInd w:val="0"/>
    </w:pPr>
    <w:rPr>
      <w:rFonts w:ascii="楷体à.ā" w:hAnsi="Calibri" w:eastAsia="楷体à.ā" w:cs="Times New Roman"/>
      <w:color w:val="000000"/>
      <w:sz w:val="24"/>
      <w:szCs w:val="22"/>
      <w:lang w:val="en-US" w:eastAsia="zh-CN" w:bidi="ar-SA"/>
    </w:rPr>
  </w:style>
  <w:style w:type="character" w:customStyle="1" w:styleId="17">
    <w:name w:val="页眉 Char"/>
    <w:basedOn w:val="14"/>
    <w:link w:val="7"/>
    <w:qFormat/>
    <w:uiPriority w:val="99"/>
    <w:rPr>
      <w:sz w:val="18"/>
      <w:szCs w:val="18"/>
    </w:rPr>
  </w:style>
  <w:style w:type="character" w:customStyle="1" w:styleId="18">
    <w:name w:val="页脚 Char"/>
    <w:basedOn w:val="14"/>
    <w:link w:val="6"/>
    <w:qFormat/>
    <w:uiPriority w:val="99"/>
    <w:rPr>
      <w:sz w:val="18"/>
      <w:szCs w:val="18"/>
    </w:rPr>
  </w:style>
  <w:style w:type="paragraph" w:customStyle="1" w:styleId="19">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20">
    <w:name w:val="默认段落字体1"/>
    <w:qFormat/>
    <w:uiPriority w:val="99"/>
    <w:rPr>
      <w:sz w:val="22"/>
      <w:szCs w:val="22"/>
    </w:rPr>
  </w:style>
  <w:style w:type="paragraph" w:styleId="21">
    <w:name w:val="List Paragraph"/>
    <w:basedOn w:val="1"/>
    <w:qFormat/>
    <w:uiPriority w:val="99"/>
    <w:pPr>
      <w:ind w:firstLine="420" w:firstLineChars="200"/>
    </w:pPr>
  </w:style>
  <w:style w:type="paragraph" w:customStyle="1" w:styleId="22">
    <w:name w:val="WPSOffice手动目录 1"/>
    <w:qFormat/>
    <w:uiPriority w:val="0"/>
    <w:rPr>
      <w:rFonts w:ascii="Calibri" w:hAnsi="Calibri" w:eastAsia="宋体" w:cs="Times New Roman"/>
      <w:lang w:val="en-US" w:eastAsia="zh-CN" w:bidi="ar-SA"/>
    </w:rPr>
  </w:style>
  <w:style w:type="paragraph" w:customStyle="1" w:styleId="23">
    <w:name w:val="WPSOffice手动目录 2"/>
    <w:qFormat/>
    <w:uiPriority w:val="0"/>
    <w:pPr>
      <w:ind w:left="200" w:leftChars="200"/>
    </w:pPr>
    <w:rPr>
      <w:rFonts w:ascii="Calibri" w:hAnsi="Calibri" w:eastAsia="宋体" w:cs="Times New Roman"/>
      <w:lang w:val="en-US" w:eastAsia="zh-CN" w:bidi="ar-SA"/>
    </w:rPr>
  </w:style>
  <w:style w:type="character" w:customStyle="1" w:styleId="24">
    <w:name w:val="标题 1 Char"/>
    <w:link w:val="2"/>
    <w:qFormat/>
    <w:uiPriority w:val="0"/>
    <w:rPr>
      <w:b/>
      <w:kern w:val="44"/>
      <w:sz w:val="44"/>
    </w:rPr>
  </w:style>
  <w:style w:type="character" w:customStyle="1" w:styleId="25">
    <w:name w:val="font71"/>
    <w:basedOn w:val="14"/>
    <w:qFormat/>
    <w:uiPriority w:val="0"/>
    <w:rPr>
      <w:rFonts w:hint="eastAsia" w:ascii="宋体" w:hAnsi="宋体" w:eastAsia="宋体" w:cs="宋体"/>
      <w:color w:val="000000"/>
      <w:sz w:val="22"/>
      <w:szCs w:val="22"/>
      <w:u w:val="none"/>
    </w:rPr>
  </w:style>
  <w:style w:type="character" w:customStyle="1" w:styleId="26">
    <w:name w:val="font81"/>
    <w:basedOn w:val="14"/>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emf"/><Relationship Id="rId7" Type="http://schemas.openxmlformats.org/officeDocument/2006/relationships/image" Target="media/image3.emf"/><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3.emf"/><Relationship Id="rId16" Type="http://schemas.openxmlformats.org/officeDocument/2006/relationships/image" Target="media/image12.emf"/><Relationship Id="rId15" Type="http://schemas.openxmlformats.org/officeDocument/2006/relationships/image" Target="media/image11.emf"/><Relationship Id="rId14" Type="http://schemas.openxmlformats.org/officeDocument/2006/relationships/image" Target="media/image10.emf"/><Relationship Id="rId13" Type="http://schemas.openxmlformats.org/officeDocument/2006/relationships/image" Target="media/image9.emf"/><Relationship Id="rId12" Type="http://schemas.openxmlformats.org/officeDocument/2006/relationships/image" Target="media/image8.emf"/><Relationship Id="rId11" Type="http://schemas.openxmlformats.org/officeDocument/2006/relationships/image" Target="media/image7.emf"/><Relationship Id="rId10" Type="http://schemas.openxmlformats.org/officeDocument/2006/relationships/image" Target="media/image6.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24</Pages>
  <Words>4735</Words>
  <Characters>5089</Characters>
  <Lines>19</Lines>
  <Paragraphs>5</Paragraphs>
  <TotalTime>11</TotalTime>
  <ScaleCrop>false</ScaleCrop>
  <LinksUpToDate>false</LinksUpToDate>
  <CharactersWithSpaces>5126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2020-03-05T18:15:00Z</dcterms:created>
  <dc:creator>薛永萍</dc:creator>
  <cp:lastModifiedBy>情绪的疯子</cp:lastModifiedBy>
  <dcterms:modified xsi:type="dcterms:W3CDTF">2024-08-13T09:05:28Z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421737169D0C470A926719BF5471F98B_13</vt:lpwstr>
  </property>
</Properties>
</file>