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cs="Times New Roman" w:hAnsi="Times New Roman"/>
        </w:rPr>
      </w:pPr>
    </w:p>
    <w:p>
      <w:pPr>
        <w:rPr>
          <w:rFonts w:ascii="Times New Roman" w:cs="Times New Roman" w:hAnsi="Times New Roman"/>
        </w:rPr>
      </w:pPr>
    </w:p>
    <w:p>
      <w:pPr>
        <w:rPr>
          <w:rFonts w:ascii="Times New Roman" w:cs="Times New Roman" w:hAnsi="Times New Roman"/>
        </w:rPr>
      </w:pPr>
    </w:p>
    <w:p>
      <w:pPr>
        <w:ind w:firstLineChars="500" w:firstLine="1050"/>
        <w:rPr>
          <w:rFonts w:ascii="Times New Roman" w:cs="Times New Roman" w:hAnsi="Times New Roman"/>
        </w:rPr>
      </w:pPr>
    </w:p>
    <w:p>
      <w:pPr>
        <w:ind w:firstLineChars="500" w:firstLine="1050"/>
        <w:rPr>
          <w:rFonts w:ascii="Times New Roman" w:cs="Times New Roman" w:hAnsi="Times New Roman"/>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jc w:val="center"/>
        <w:rPr>
          <w:rFonts w:ascii="Times New Roman" w:eastAsia="方正小标宋_GBK" w:cs="Times New Roman" w:hAnsi="Times New Roman"/>
          <w:sz w:val="44"/>
          <w:szCs w:val="44"/>
          <w:lang w:val="en-US" w:eastAsia="zh-CN"/>
        </w:rPr>
      </w:pPr>
      <w:r>
        <w:rPr>
          <w:rFonts w:ascii="Times New Roman" w:eastAsia="方正小标宋_GBK" w:cs="Times New Roman" w:hAnsi="Times New Roman"/>
          <w:sz w:val="44"/>
          <w:szCs w:val="44"/>
          <w:lang w:val="en-US" w:eastAsia="zh-CN"/>
        </w:rPr>
        <w:t>中共阿坝州委统战部（州本级）</w:t>
      </w:r>
    </w:p>
    <w:p>
      <w:pPr>
        <w:jc w:val="center"/>
        <w:rPr>
          <w:rFonts w:ascii="Times New Roman" w:eastAsia="方正小标宋_GBK" w:cs="Times New Roman" w:hAnsi="Times New Roman"/>
          <w:sz w:val="44"/>
          <w:szCs w:val="44"/>
        </w:rPr>
      </w:pPr>
      <w:r>
        <w:rPr>
          <w:rFonts w:ascii="Times New Roman" w:eastAsia="方正小标宋_GBK" w:cs="Times New Roman" w:hAnsi="Times New Roman"/>
          <w:sz w:val="44"/>
          <w:szCs w:val="44"/>
        </w:rPr>
        <w:t>2022年预算</w:t>
      </w:r>
    </w:p>
    <w:p>
      <w:pPr>
        <w:ind w:firstLineChars="400" w:firstLine="1280"/>
        <w:rPr>
          <w:rFonts w:ascii="楷体_GB2312" w:eastAsia="楷体_GB2312" w:cs="楷体_GB2312" w:hint="eastAsia"/>
          <w:sz w:val="32"/>
          <w:szCs w:val="32"/>
          <w:lang w:eastAsia="zh-CN"/>
        </w:rPr>
      </w:pPr>
    </w:p>
    <w:p>
      <w:pPr>
        <w:jc w:val="center"/>
        <w:rPr>
          <w:rFonts w:ascii="楷体_GB2312" w:eastAsia="楷体_GB2312" w:cs="楷体_GB2312" w:hint="eastAsia"/>
          <w:sz w:val="32"/>
          <w:szCs w:val="32"/>
          <w:lang w:eastAsia="zh-CN"/>
        </w:rPr>
      </w:pPr>
    </w:p>
    <w:p>
      <w:pPr>
        <w:jc w:val="center"/>
        <w:rPr>
          <w:rFonts w:ascii="楷体_GB2312" w:eastAsia="楷体_GB2312" w:cs="楷体_GB2312" w:hint="eastAsia"/>
          <w:sz w:val="32"/>
          <w:szCs w:val="32"/>
          <w:lang w:eastAsia="zh-CN"/>
        </w:rPr>
      </w:pPr>
    </w:p>
    <w:p>
      <w:pPr>
        <w:jc w:val="center"/>
        <w:rPr>
          <w:rFonts w:ascii="楷体_GB2312" w:eastAsia="楷体_GB2312" w:cs="楷体_GB2312" w:hint="eastAsia"/>
          <w:sz w:val="32"/>
          <w:szCs w:val="32"/>
          <w:lang w:eastAsia="zh-CN"/>
        </w:rPr>
      </w:pPr>
    </w:p>
    <w:p>
      <w:pPr>
        <w:jc w:val="center"/>
        <w:rPr>
          <w:rFonts w:ascii="Times New Roman" w:eastAsia="楷体_GB2312" w:cs="Times New Roman" w:hAnsi="Times New Roman"/>
          <w:sz w:val="32"/>
          <w:szCs w:val="32"/>
          <w:lang w:eastAsia="zh-CN"/>
        </w:rPr>
      </w:pPr>
      <w:r>
        <w:rPr>
          <w:rFonts w:ascii="楷体_GB2312" w:eastAsia="楷体_GB2312" w:cs="楷体_GB2312" w:hint="eastAsia"/>
          <w:sz w:val="32"/>
          <w:szCs w:val="32"/>
          <w:lang w:eastAsia="zh-CN"/>
        </w:rPr>
        <w:t>（</w:t>
      </w:r>
      <w:r>
        <w:rPr>
          <w:rFonts w:ascii="楷体_GB2312" w:eastAsia="楷体_GB2312" w:cs="楷体_GB2312" w:hint="eastAsia"/>
          <w:sz w:val="32"/>
          <w:szCs w:val="32"/>
          <w:lang w:val="en-US" w:eastAsia="zh-CN"/>
        </w:rPr>
        <w:t>已经保密审</w:t>
      </w:r>
      <w:r>
        <w:rPr>
          <w:rFonts w:ascii="Times New Roman" w:eastAsia="楷体_GB2312" w:cs="Times New Roman" w:hAnsi="Times New Roman"/>
          <w:sz w:val="32"/>
          <w:szCs w:val="32"/>
          <w:lang w:val="en-US" w:eastAsia="zh-CN"/>
        </w:rPr>
        <w:t>查、内容审定、同意对外公开</w:t>
      </w:r>
      <w:r>
        <w:rPr>
          <w:rFonts w:ascii="Times New Roman" w:eastAsia="楷体_GB2312" w:cs="Times New Roman" w:hAnsi="Times New Roman"/>
          <w:sz w:val="32"/>
          <w:szCs w:val="32"/>
          <w:lang w:eastAsia="zh-CN"/>
        </w:rPr>
        <w:t>）</w:t>
      </w:r>
    </w:p>
    <w:p>
      <w:pPr>
        <w:jc w:val="center"/>
        <w:rPr>
          <w:rFonts w:ascii="Times New Roman" w:eastAsia="楷体_GB2312" w:cs="Times New Roman" w:hAnsi="Times New Roman"/>
          <w:sz w:val="32"/>
          <w:szCs w:val="32"/>
          <w:lang w:val="en-US" w:eastAsia="zh-CN"/>
        </w:rPr>
      </w:pPr>
      <w:r>
        <w:rPr>
          <w:rFonts w:ascii="Times New Roman" w:eastAsia="楷体_GB2312" w:cs="Times New Roman" w:hAnsi="Times New Roman"/>
          <w:sz w:val="32"/>
          <w:szCs w:val="32"/>
          <w:lang w:val="en-US" w:eastAsia="zh-CN"/>
        </w:rPr>
        <w:t>2022年1月28日</w:t>
      </w:r>
    </w:p>
    <w:p>
      <w:pPr>
        <w:ind w:firstLineChars="400" w:firstLine="1280"/>
        <w:rPr>
          <w:rFonts w:ascii="楷体_GB2312" w:eastAsia="楷体_GB2312" w:cs="楷体_GB2312" w:hint="eastAsia"/>
          <w:sz w:val="32"/>
          <w:szCs w:val="32"/>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ind w:firstLineChars="400" w:firstLine="1760"/>
        <w:rPr>
          <w:rFonts w:ascii="Times New Roman" w:eastAsia="黑体" w:cs="Times New Roman" w:hAnsi="Times New Roman"/>
          <w:sz w:val="44"/>
          <w:szCs w:val="44"/>
        </w:rPr>
      </w:pPr>
    </w:p>
    <w:p>
      <w:pPr>
        <w:jc w:val="center"/>
        <w:rPr>
          <w:rFonts w:ascii="Times New Roman" w:eastAsia="黑体" w:cs="Times New Roman" w:hAnsi="Times New Roman"/>
          <w:sz w:val="52"/>
          <w:szCs w:val="52"/>
        </w:rPr>
      </w:pPr>
      <w:r>
        <w:rPr>
          <w:rFonts w:ascii="Times New Roman" w:eastAsia="黑体" w:cs="Times New Roman" w:hAnsi="Times New Roman"/>
          <w:sz w:val="52"/>
          <w:szCs w:val="52"/>
        </w:rPr>
        <w:t>目</w:t>
      </w:r>
      <w:r>
        <w:rPr>
          <w:rFonts w:ascii="Times New Roman" w:eastAsia="黑体" w:cs="Times New Roman" w:hAnsi="Times New Roman"/>
          <w:sz w:val="52"/>
          <w:szCs w:val="52"/>
          <w:lang w:val="en-US" w:eastAsia="zh-CN"/>
        </w:rPr>
        <w:t xml:space="preserve">  </w:t>
      </w:r>
      <w:r>
        <w:rPr>
          <w:rFonts w:ascii="Times New Roman" w:eastAsia="黑体" w:cs="Times New Roman" w:hAnsi="Times New Roman"/>
          <w:sz w:val="52"/>
          <w:szCs w:val="52"/>
        </w:rPr>
        <w:t>录</w:t>
      </w:r>
    </w:p>
    <w:p>
      <w:pPr>
        <w:ind w:firstLineChars="700" w:firstLine="3080"/>
        <w:rPr>
          <w:rFonts w:ascii="Times New Roman" w:eastAsia="黑体" w:cs="Times New Roman" w:hAnsi="Times New Roman"/>
          <w:sz w:val="44"/>
          <w:szCs w:val="44"/>
        </w:rPr>
      </w:pPr>
    </w:p>
    <w:p>
      <w:pPr>
        <w:pStyle w:val="17"/>
        <w:ind w:firstLineChars="0" w:firstLine="0"/>
        <w:rPr>
          <w:rFonts w:ascii="Times New Roman" w:eastAsia="黑体" w:cs="Times New Roman" w:hAnsi="Times New Roman"/>
          <w:sz w:val="32"/>
          <w:szCs w:val="32"/>
          <w:lang w:val="en-US" w:eastAsia="zh-CN"/>
        </w:rPr>
      </w:pPr>
      <w:r>
        <w:rPr>
          <w:rFonts w:ascii="Times New Roman" w:eastAsia="黑体" w:cs="Times New Roman" w:hAnsi="Times New Roman"/>
          <w:sz w:val="32"/>
          <w:szCs w:val="32"/>
        </w:rPr>
        <w:t>一、基本职能及主要工作</w:t>
      </w:r>
      <w:r>
        <w:rPr>
          <w:rFonts w:ascii="Times New Roman" w:eastAsia="仿宋_GB2312" w:cs="Times New Roman" w:hAnsi="Times New Roman"/>
          <w:kern w:val="2"/>
          <w:sz w:val="32"/>
          <w:szCs w:val="32"/>
          <w:lang w:val="en-US" w:eastAsia="zh-CN" w:bidi="ar-SA"/>
        </w:rPr>
        <w:t>...........................................................</w:t>
      </w:r>
      <w:r>
        <w:rPr>
          <w:rFonts w:ascii="Times New Roman" w:eastAsia="黑体" w:cs="Times New Roman" w:hAnsi="Times New Roman"/>
          <w:sz w:val="32"/>
          <w:szCs w:val="32"/>
          <w:lang w:val="en-US" w:eastAsia="zh-CN"/>
        </w:rPr>
        <w:t>1</w:t>
      </w:r>
    </w:p>
    <w:p>
      <w:pPr>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（一）部门职能简介</w:t>
      </w:r>
      <w:r>
        <w:rPr>
          <w:rFonts w:ascii="Times New Roman" w:eastAsia="仿宋_GB2312" w:cs="Times New Roman" w:hAnsi="Times New Roman"/>
          <w:sz w:val="32"/>
          <w:szCs w:val="32"/>
          <w:lang w:val="en-US" w:eastAsia="zh-CN"/>
        </w:rPr>
        <w:t>..................................................................1</w:t>
      </w:r>
    </w:p>
    <w:p>
      <w:pPr>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rPr>
        <w:t>（二）2022年重点工作</w:t>
      </w:r>
      <w:r>
        <w:rPr>
          <w:rFonts w:ascii="Times New Roman" w:eastAsia="仿宋_GB2312" w:cs="Times New Roman" w:hAnsi="Times New Roman"/>
          <w:sz w:val="32"/>
          <w:szCs w:val="32"/>
          <w:lang w:val="en-US" w:eastAsia="zh-CN"/>
        </w:rPr>
        <w:t>..............................................................1</w:t>
      </w:r>
    </w:p>
    <w:p>
      <w:pPr>
        <w:rPr>
          <w:rFonts w:ascii="Times New Roman" w:eastAsia="仿宋_GB2312" w:cs="Times New Roman" w:hAnsi="Times New Roman"/>
          <w:sz w:val="32"/>
          <w:szCs w:val="32"/>
          <w:lang w:val="en-US" w:eastAsia="zh-CN"/>
        </w:rPr>
      </w:pPr>
      <w:r>
        <w:rPr>
          <w:rFonts w:ascii="Times New Roman" w:eastAsia="黑体" w:cs="Times New Roman" w:hAnsi="Times New Roman"/>
          <w:sz w:val="32"/>
          <w:szCs w:val="32"/>
        </w:rPr>
        <w:t>二、部门预算单位构成</w:t>
      </w:r>
      <w:r>
        <w:rPr>
          <w:rFonts w:ascii="Times New Roman" w:eastAsia="仿宋_GB2312" w:cs="Times New Roman" w:hAnsi="Times New Roman"/>
          <w:sz w:val="32"/>
          <w:szCs w:val="32"/>
          <w:lang w:val="en-US" w:eastAsia="zh-CN"/>
        </w:rPr>
        <w:t>..............................................................1</w:t>
      </w:r>
    </w:p>
    <w:p>
      <w:pPr>
        <w:rPr>
          <w:rFonts w:ascii="Times New Roman" w:eastAsia="黑体" w:cs="Times New Roman" w:hAnsi="Times New Roman"/>
          <w:sz w:val="32"/>
          <w:szCs w:val="32"/>
          <w:lang w:val="en-US"/>
        </w:rPr>
      </w:pPr>
      <w:r>
        <w:rPr>
          <w:rFonts w:ascii="Times New Roman" w:eastAsia="黑体" w:cs="Times New Roman" w:hAnsi="Times New Roman"/>
          <w:sz w:val="32"/>
          <w:szCs w:val="32"/>
        </w:rPr>
        <w:t>三、收支预算情况说明</w:t>
      </w:r>
      <w:r>
        <w:rPr>
          <w:rFonts w:ascii="Times New Roman" w:eastAsia="仿宋_GB2312" w:cs="Times New Roman" w:hAnsi="Times New Roman"/>
          <w:sz w:val="32"/>
          <w:szCs w:val="32"/>
          <w:lang w:val="en-US" w:eastAsia="zh-CN"/>
        </w:rPr>
        <w:t>..............................................................2</w:t>
      </w:r>
    </w:p>
    <w:p>
      <w:pPr>
        <w:rPr>
          <w:rFonts w:ascii="Times New Roman" w:eastAsia="仿宋_GB2312" w:cs="Times New Roman" w:hAnsi="Times New Roman"/>
          <w:sz w:val="32"/>
          <w:szCs w:val="32"/>
        </w:rPr>
      </w:pPr>
      <w:r>
        <w:rPr>
          <w:rFonts w:ascii="Times New Roman" w:eastAsia="黑体" w:cs="Times New Roman" w:hAnsi="Times New Roman"/>
          <w:sz w:val="32"/>
          <w:szCs w:val="32"/>
        </w:rPr>
        <w:t>（</w:t>
      </w:r>
      <w:r>
        <w:rPr>
          <w:rFonts w:ascii="Times New Roman" w:eastAsia="仿宋_GB2312" w:cs="Times New Roman" w:hAnsi="Times New Roman"/>
          <w:sz w:val="32"/>
          <w:szCs w:val="32"/>
        </w:rPr>
        <w:t>一）收入预算情况</w:t>
      </w:r>
      <w:r>
        <w:rPr>
          <w:rFonts w:ascii="Times New Roman" w:eastAsia="仿宋_GB2312" w:cs="Times New Roman" w:hAnsi="Times New Roman"/>
          <w:sz w:val="32"/>
          <w:szCs w:val="32"/>
          <w:lang w:val="en-US" w:eastAsia="zh-CN"/>
        </w:rPr>
        <w:t>..................................................................2</w:t>
      </w:r>
    </w:p>
    <w:p>
      <w:pPr>
        <w:rPr>
          <w:rFonts w:ascii="Times New Roman" w:eastAsia="黑体" w:cs="Times New Roman" w:hAnsi="Times New Roman"/>
          <w:sz w:val="32"/>
          <w:szCs w:val="32"/>
          <w:lang w:val="en-US"/>
        </w:rPr>
      </w:pPr>
      <w:r>
        <w:rPr>
          <w:rFonts w:ascii="Times New Roman" w:eastAsia="仿宋_GB2312" w:cs="Times New Roman" w:hAnsi="Times New Roman"/>
          <w:sz w:val="32"/>
          <w:szCs w:val="32"/>
        </w:rPr>
        <w:t>（二）支出预算情况</w:t>
      </w:r>
      <w:r>
        <w:rPr>
          <w:rFonts w:ascii="Times New Roman" w:eastAsia="仿宋_GB2312" w:cs="Times New Roman" w:hAnsi="Times New Roman"/>
          <w:sz w:val="32"/>
          <w:szCs w:val="32"/>
          <w:lang w:val="en-US" w:eastAsia="zh-CN"/>
        </w:rPr>
        <w:t>..................................................................2</w:t>
      </w:r>
    </w:p>
    <w:p>
      <w:pPr>
        <w:rPr>
          <w:rFonts w:ascii="Times New Roman" w:eastAsia="黑体" w:cs="Times New Roman" w:hAnsi="Times New Roman"/>
          <w:sz w:val="32"/>
          <w:szCs w:val="32"/>
          <w:lang w:val="en-US"/>
        </w:rPr>
      </w:pPr>
      <w:r>
        <w:rPr>
          <w:rFonts w:ascii="Times New Roman" w:eastAsia="黑体" w:cs="Times New Roman" w:hAnsi="Times New Roman"/>
          <w:sz w:val="32"/>
          <w:szCs w:val="32"/>
        </w:rPr>
        <w:t>四、财政拨款收支预算情况说明</w:t>
      </w:r>
      <w:r>
        <w:rPr>
          <w:rFonts w:ascii="Times New Roman" w:eastAsia="仿宋_GB2312" w:cs="Times New Roman" w:hAnsi="Times New Roman"/>
          <w:sz w:val="32"/>
          <w:szCs w:val="32"/>
          <w:lang w:val="en-US" w:eastAsia="zh-CN"/>
        </w:rPr>
        <w:t>..............................................2</w:t>
      </w:r>
    </w:p>
    <w:p>
      <w:pPr>
        <w:rPr>
          <w:rFonts w:ascii="Times New Roman" w:eastAsia="黑体" w:cs="Times New Roman" w:hAnsi="Times New Roman"/>
          <w:sz w:val="32"/>
          <w:szCs w:val="32"/>
        </w:rPr>
      </w:pPr>
      <w:r>
        <w:rPr>
          <w:rFonts w:ascii="Times New Roman" w:eastAsia="黑体" w:cs="Times New Roman" w:hAnsi="Times New Roman"/>
          <w:sz w:val="32"/>
          <w:szCs w:val="32"/>
        </w:rPr>
        <w:t>五、一般公共预算当年拨款情况说明</w:t>
      </w:r>
      <w:r>
        <w:rPr>
          <w:rFonts w:ascii="Times New Roman" w:eastAsia="仿宋_GB2312" w:cs="Times New Roman" w:hAnsi="Times New Roman"/>
          <w:sz w:val="32"/>
          <w:szCs w:val="32"/>
          <w:lang w:val="en-US" w:eastAsia="zh-CN"/>
        </w:rPr>
        <w:t>......................................3</w:t>
      </w:r>
    </w:p>
    <w:p>
      <w:pPr>
        <w:rPr>
          <w:rFonts w:ascii="Times New Roman" w:eastAsia="黑体" w:cs="Times New Roman" w:hAnsi="Times New Roman"/>
          <w:sz w:val="32"/>
          <w:szCs w:val="32"/>
        </w:rPr>
      </w:pPr>
      <w:r>
        <w:rPr>
          <w:rFonts w:ascii="Times New Roman" w:eastAsia="仿宋_GB2312" w:cs="Times New Roman" w:hAnsi="Times New Roman"/>
          <w:sz w:val="32"/>
          <w:szCs w:val="32"/>
        </w:rPr>
        <w:t>（一）一般公共预算当年拨款规模变化情况</w:t>
      </w:r>
      <w:r>
        <w:rPr>
          <w:rFonts w:ascii="Times New Roman" w:eastAsia="仿宋_GB2312" w:cs="Times New Roman" w:hAnsi="Times New Roman"/>
          <w:sz w:val="32"/>
          <w:szCs w:val="32"/>
          <w:lang w:val="en-US" w:eastAsia="zh-CN"/>
        </w:rPr>
        <w:t>..........................3</w:t>
      </w:r>
    </w:p>
    <w:p>
      <w:pPr>
        <w:rPr>
          <w:rFonts w:ascii="Times New Roman" w:eastAsia="黑体" w:cs="Times New Roman" w:hAnsi="Times New Roman"/>
          <w:sz w:val="32"/>
          <w:szCs w:val="32"/>
        </w:rPr>
      </w:pPr>
      <w:r>
        <w:rPr>
          <w:rFonts w:ascii="Times New Roman" w:eastAsia="仿宋_GB2312" w:cs="Times New Roman" w:hAnsi="Times New Roman"/>
          <w:sz w:val="32"/>
          <w:szCs w:val="32"/>
        </w:rPr>
        <w:t>（二）一般公共预算当年拨款结构情况</w:t>
      </w:r>
      <w:r>
        <w:rPr>
          <w:rFonts w:ascii="Times New Roman" w:eastAsia="仿宋_GB2312" w:cs="Times New Roman" w:hAnsi="Times New Roman"/>
          <w:sz w:val="32"/>
          <w:szCs w:val="32"/>
          <w:lang w:val="en-US" w:eastAsia="zh-CN"/>
        </w:rPr>
        <w:t>..................................3</w:t>
      </w:r>
    </w:p>
    <w:p>
      <w:pPr>
        <w:rPr>
          <w:rFonts w:ascii="Times New Roman" w:eastAsia="黑体" w:cs="Times New Roman" w:hAnsi="Times New Roman"/>
          <w:sz w:val="32"/>
          <w:szCs w:val="32"/>
        </w:rPr>
      </w:pPr>
      <w:r>
        <w:rPr>
          <w:rFonts w:ascii="Times New Roman" w:eastAsia="仿宋_GB2312" w:cs="Times New Roman" w:hAnsi="Times New Roman"/>
          <w:sz w:val="32"/>
          <w:szCs w:val="32"/>
        </w:rPr>
        <w:t>（三）一般公共预算当年拨款具体使用情况</w:t>
      </w:r>
      <w:r>
        <w:rPr>
          <w:rFonts w:ascii="Times New Roman" w:eastAsia="仿宋_GB2312" w:cs="Times New Roman" w:hAnsi="Times New Roman"/>
          <w:sz w:val="32"/>
          <w:szCs w:val="32"/>
          <w:lang w:val="en-US" w:eastAsia="zh-CN"/>
        </w:rPr>
        <w:t>..........................3</w:t>
      </w:r>
    </w:p>
    <w:p>
      <w:pPr>
        <w:rPr>
          <w:rFonts w:ascii="Times New Roman" w:eastAsia="黑体" w:cs="Times New Roman" w:hAnsi="Times New Roman"/>
          <w:sz w:val="32"/>
          <w:szCs w:val="32"/>
        </w:rPr>
      </w:pPr>
      <w:r>
        <w:rPr>
          <w:rFonts w:ascii="Times New Roman" w:eastAsia="黑体" w:cs="Times New Roman" w:hAnsi="Times New Roman"/>
          <w:sz w:val="32"/>
          <w:szCs w:val="32"/>
        </w:rPr>
        <w:t>六、一般公共预算基本支出情况说明</w:t>
      </w:r>
      <w:r>
        <w:rPr>
          <w:rFonts w:ascii="Times New Roman" w:eastAsia="仿宋_GB2312" w:cs="Times New Roman" w:hAnsi="Times New Roman"/>
          <w:sz w:val="32"/>
          <w:szCs w:val="32"/>
          <w:lang w:val="en-US" w:eastAsia="zh-CN"/>
        </w:rPr>
        <w:t>......................................4</w:t>
      </w:r>
      <w:r>
        <w:rPr>
          <w:rFonts w:ascii="Times New Roman" w:eastAsia="黑体" w:cs="Times New Roman" w:hAnsi="Times New Roman"/>
          <w:sz w:val="32"/>
          <w:szCs w:val="32"/>
        </w:rPr>
        <w:br/>
        <w:t>七、“三公”经费财政拨款预算安排情况说明</w:t>
      </w:r>
      <w:r>
        <w:rPr>
          <w:rFonts w:ascii="Times New Roman" w:eastAsia="仿宋_GB2312" w:cs="Times New Roman" w:hAnsi="Times New Roman"/>
          <w:sz w:val="32"/>
          <w:szCs w:val="32"/>
          <w:lang w:val="en-US" w:eastAsia="zh-CN"/>
        </w:rPr>
        <w:t>...........................4</w:t>
      </w:r>
      <w:r>
        <w:rPr>
          <w:rFonts w:ascii="Times New Roman" w:eastAsia="黑体" w:cs="Times New Roman" w:hAnsi="Times New Roman"/>
          <w:sz w:val="32"/>
          <w:szCs w:val="32"/>
        </w:rPr>
        <w:br/>
        <w:t>八、政府性基金预算支出情况说明</w:t>
      </w:r>
      <w:r>
        <w:rPr>
          <w:rFonts w:ascii="Times New Roman" w:eastAsia="黑体" w:cs="Times New Roman" w:hAnsi="Times New Roman"/>
          <w:sz w:val="32"/>
          <w:szCs w:val="32"/>
          <w:lang w:val="en-US" w:eastAsia="zh-CN"/>
        </w:rPr>
        <w:t>..........................................5</w:t>
      </w:r>
      <w:r>
        <w:rPr>
          <w:rFonts w:ascii="Times New Roman" w:eastAsia="黑体" w:cs="Times New Roman" w:hAnsi="Times New Roman"/>
          <w:sz w:val="32"/>
          <w:szCs w:val="32"/>
        </w:rPr>
        <w:br/>
        <w:t>九、其他重要事项的情况说明</w:t>
      </w:r>
      <w:r>
        <w:rPr>
          <w:rFonts w:ascii="Times New Roman" w:eastAsia="黑体" w:cs="Times New Roman" w:hAnsi="Times New Roman"/>
          <w:sz w:val="32"/>
          <w:szCs w:val="32"/>
          <w:lang w:val="en-US" w:eastAsia="zh-CN"/>
        </w:rPr>
        <w:t>..................................................5</w:t>
      </w:r>
      <w:r>
        <w:rPr>
          <w:rFonts w:ascii="Times New Roman" w:eastAsia="黑体" w:cs="Times New Roman" w:hAnsi="Times New Roman"/>
          <w:sz w:val="32"/>
          <w:szCs w:val="32"/>
        </w:rPr>
        <w:br/>
        <w:t>十、名称解释</w:t>
      </w:r>
      <w:r>
        <w:rPr>
          <w:rFonts w:ascii="Times New Roman" w:eastAsia="黑体" w:cs="Times New Roman" w:hAnsi="Times New Roman"/>
          <w:sz w:val="32"/>
          <w:szCs w:val="32"/>
          <w:lang w:val="en-US" w:eastAsia="zh-CN"/>
        </w:rPr>
        <w:t>...............................................................................6</w:t>
      </w:r>
    </w:p>
    <w:p>
      <w:pPr>
        <w:widowControl/>
        <w:shd w:val="clear" w:color="auto" w:fill="FFFFFF"/>
        <w:spacing w:before="100" w:beforeAutospacing="1" w:after="100" w:afterAutospacing="1" w:line="290" w:lineRule="atLeast"/>
        <w:ind w:right="300"/>
        <w:jc w:val="left"/>
        <w:rPr>
          <w:rFonts w:ascii="Times New Roman" w:cs="Times New Roman" w:hAnsi="Times New Roman"/>
          <w:kern w:val="0"/>
          <w:sz w:val="12"/>
          <w:szCs w:val="12"/>
        </w:rPr>
      </w:pPr>
    </w:p>
    <w:p>
      <w:pPr>
        <w:pStyle w:val="17"/>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黑体" w:cs="Times New Roman" w:hAnsi="Times New Roman"/>
          <w:sz w:val="32"/>
          <w:szCs w:val="32"/>
        </w:rPr>
        <w:sectPr>
          <w:headerReference w:type="default" r:id="rId2"/>
          <w:pgSz w:w="11906" w:h="16838"/>
          <w:pgMar w:top="1440" w:right="1800" w:bottom="1440" w:left="1800" w:header="851" w:footer="992" w:gutter="0"/>
          <w:pgNumType w:fmt="numberInDash" w:start="1"/>
          <w:docGrid w:type="lines" w:linePitch="312" w:charSpace="0"/>
        </w:sectPr>
      </w:pPr>
    </w:p>
    <w:p>
      <w:pPr>
        <w:pStyle w:val="17"/>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一、基本职能及主要工作</w:t>
      </w:r>
    </w:p>
    <w:p>
      <w:pPr>
        <w:keepNext w:val="0"/>
        <w:keepLines w:val="0"/>
        <w:pageBreakBefore w:val="0"/>
        <w:widowControl w:val="0"/>
        <w:numPr>
          <w:ilvl w:val="0"/>
          <w:numId w:val="1"/>
        </w:numPr>
        <w:kinsoku/>
        <w:wordWrap/>
        <w:overflowPunct/>
        <w:topLinePunct w:val="0"/>
        <w:autoSpaceDN/>
        <w:bidi w:val="0"/>
        <w:adjustRightInd/>
        <w:snapToGrid/>
        <w:ind w:left="0" w:firstLineChars="200" w:firstLine="640"/>
        <w:textAlignment w:val="auto"/>
        <w:rPr>
          <w:rFonts w:ascii="Times New Roman" w:eastAsia="楷体_GB2312" w:cs="Times New Roman" w:hAnsi="Times New Roman"/>
          <w:sz w:val="32"/>
          <w:szCs w:val="32"/>
        </w:rPr>
      </w:pPr>
      <w:r>
        <w:rPr>
          <w:rFonts w:ascii="Times New Roman" w:eastAsia="楷体_GB2312" w:cs="Times New Roman" w:hAnsi="Times New Roman"/>
          <w:sz w:val="32"/>
          <w:szCs w:val="32"/>
        </w:rPr>
        <w:t>部门职能简介</w:t>
      </w:r>
    </w:p>
    <w:p>
      <w:pPr>
        <w:keepNext w:val="0"/>
        <w:keepLines w:val="0"/>
        <w:pageBreakBefore w:val="0"/>
        <w:widowControl/>
        <w:suppressLineNumbers w:val="0"/>
        <w:kinsoku/>
        <w:wordWrap/>
        <w:overflowPunct/>
        <w:topLinePunct w:val="0"/>
        <w:autoSpaceDE w:val="0"/>
        <w:autoSpaceDN/>
        <w:bidi w:val="0"/>
        <w:adjustRightInd/>
        <w:snapToGrid/>
        <w:spacing w:line="578" w:lineRule="exact"/>
        <w:ind w:left="0" w:firstLineChars="200" w:firstLine="640"/>
        <w:jc w:val="both"/>
        <w:textAlignment w:val="auto"/>
        <w:rPr>
          <w:rFonts w:ascii="Times New Roman" w:eastAsia="仿宋_GB2312" w:cs="Times New Roman" w:hAnsi="Times New Roman"/>
          <w:color w:val="000000"/>
          <w:kern w:val="0"/>
          <w:sz w:val="32"/>
          <w:szCs w:val="32"/>
        </w:rPr>
      </w:pPr>
      <w:r>
        <w:rPr>
          <w:rFonts w:ascii="Times New Roman" w:eastAsia="仿宋_GB2312" w:cs="Times New Roman" w:hAnsi="Times New Roman"/>
          <w:kern w:val="0"/>
          <w:sz w:val="32"/>
          <w:szCs w:val="32"/>
        </w:rPr>
        <w:t>根据文件规定，主要职责是：组织贯彻执行中央、省委、州委关于统一战线的方针政策，调查研究统一战线的理论和政策，负责协调监督检查全州统一战线工作，检查统战政策执行情况，牵头协调处理统战工作中的重大问题和组织统一战线和重大活动；负责调查研究协调全州有关民族和宗教工作重大方针政策的贯彻执行，联系少数民族和宗教界代表人物，协助做好少数民族干部的培养和举荐工作；负责联系全州党外代表人士及党外知识分子工作，负责党外人士的政治安排，做好党外后备干部和新的代表人物队伍的建设工作，指导有关统战团体和人民团体的统战工作；调查研究并反映我州非公有制经济代表人士的情况，团结、帮助、引导、教育非公有制经济代表人士，领导州工商联党组，指导州工商联工作；负责海内外统一战线的宣传工作，指导各县统战工作和统战系统的干部培训。贯彻和执行中央、省州关于对国外藏胞工作的方针政策，结合我州实际提出实施意见并组织实施；组织动员国外藏胞为我州经济、教育、文化和卫生事业发展服务；会同有关部门处理我州涉及国外藏胞的重大事件。</w:t>
      </w:r>
    </w:p>
    <w:p>
      <w:pPr>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楷体_GB2312" w:cs="Times New Roman" w:hAnsi="Times New Roman"/>
          <w:sz w:val="32"/>
          <w:szCs w:val="32"/>
        </w:rPr>
      </w:pPr>
      <w:r>
        <w:rPr>
          <w:rFonts w:ascii="Times New Roman" w:eastAsia="楷体_GB2312" w:cs="Times New Roman" w:hAnsi="Times New Roman"/>
          <w:sz w:val="32"/>
          <w:szCs w:val="32"/>
        </w:rPr>
        <w:t>（二）2022年重点工作</w:t>
      </w:r>
    </w:p>
    <w:p>
      <w:pPr>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（略）。</w:t>
      </w:r>
      <w:bookmarkStart w:id="0" w:name="_GoBack"/>
      <w:bookmarkEnd w:id="0"/>
    </w:p>
    <w:p>
      <w:pPr>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二、部门预算单位构成</w:t>
      </w:r>
    </w:p>
    <w:p>
      <w:pPr>
        <w:keepNext w:val="0"/>
        <w:keepLines w:val="0"/>
        <w:pageBreakBefore w:val="0"/>
        <w:widowControl w:val="0"/>
        <w:kinsoku/>
        <w:wordWrap/>
        <w:overflowPunct/>
        <w:topLinePunct w:val="0"/>
        <w:autoSpaceDN/>
        <w:bidi w:val="0"/>
        <w:adjustRightInd/>
        <w:snapToGrid/>
        <w:spacing w:line="540" w:lineRule="exact"/>
        <w:ind w:firstLineChars="200" w:firstLine="640"/>
        <w:textAlignment w:val="auto"/>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州委统战部（一级预算单位），下设州侨联（二级预算单位）和州佛学院（二级预算单位）。</w:t>
      </w:r>
    </w:p>
    <w:p>
      <w:pPr>
        <w:pStyle w:val="17"/>
        <w:keepNext w:val="0"/>
        <w:keepLines w:val="0"/>
        <w:pageBreakBefore w:val="0"/>
        <w:widowControl w:val="0"/>
        <w:kinsoku/>
        <w:wordWrap/>
        <w:overflowPunct/>
        <w:topLinePunct w:val="0"/>
        <w:autoSpaceDN/>
        <w:bidi w:val="0"/>
        <w:adjustRightInd/>
        <w:snapToGrid/>
        <w:ind w:left="0"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lang w:val="en-US" w:eastAsia="zh-CN"/>
        </w:rPr>
        <w:t>三、</w:t>
      </w:r>
      <w:r>
        <w:rPr>
          <w:rFonts w:ascii="Times New Roman" w:eastAsia="黑体" w:cs="Times New Roman" w:hAnsi="Times New Roman"/>
          <w:sz w:val="32"/>
          <w:szCs w:val="32"/>
        </w:rPr>
        <w:t>收支预算情况说明</w:t>
      </w: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rPr>
        <w:t>按照综合预算的原则，州委统战部所有收入和支出均纳入部门预算管理。</w:t>
      </w: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lang w:eastAsia="zh-CN"/>
        </w:rPr>
        <w:t>（</w:t>
      </w:r>
      <w:r>
        <w:rPr>
          <w:rFonts w:ascii="Times New Roman" w:eastAsia="仿宋" w:cs="Times New Roman" w:hAnsi="Times New Roman"/>
          <w:sz w:val="32"/>
          <w:szCs w:val="32"/>
          <w:lang w:val="en-US" w:eastAsia="zh-CN"/>
        </w:rPr>
        <w:t>一</w:t>
      </w:r>
      <w:r>
        <w:rPr>
          <w:rFonts w:ascii="Times New Roman" w:eastAsia="仿宋" w:cs="Times New Roman" w:hAnsi="Times New Roman"/>
          <w:sz w:val="32"/>
          <w:szCs w:val="32"/>
          <w:lang w:eastAsia="zh-CN"/>
        </w:rPr>
        <w:t>）</w:t>
      </w:r>
      <w:r>
        <w:rPr>
          <w:rFonts w:ascii="Times New Roman" w:eastAsia="仿宋" w:cs="Times New Roman" w:hAnsi="Times New Roman"/>
          <w:sz w:val="32"/>
          <w:szCs w:val="32"/>
        </w:rPr>
        <w:t>收入预算情况</w:t>
      </w:r>
      <w:r>
        <w:rPr>
          <w:rFonts w:ascii="Times New Roman" w:eastAsia="仿宋" w:cs="Times New Roman" w:hAnsi="Times New Roman"/>
          <w:sz w:val="32"/>
          <w:szCs w:val="32"/>
          <w:lang w:eastAsia="zh-CN"/>
        </w:rPr>
        <w:t>：</w:t>
      </w:r>
      <w:r>
        <w:rPr>
          <w:rFonts w:ascii="Times New Roman" w:eastAsia="仿宋" w:cs="Times New Roman" w:hAnsi="Times New Roman"/>
          <w:sz w:val="32"/>
          <w:szCs w:val="32"/>
        </w:rPr>
        <w:t>州委统战部202</w:t>
      </w:r>
      <w:r>
        <w:rPr>
          <w:rFonts w:ascii="Times New Roman" w:eastAsia="仿宋" w:cs="Times New Roman" w:hAnsi="Times New Roman"/>
          <w:sz w:val="32"/>
          <w:szCs w:val="32"/>
          <w:lang w:val="en-US" w:eastAsia="zh-CN"/>
        </w:rPr>
        <w:t>2</w:t>
      </w:r>
      <w:r>
        <w:rPr>
          <w:rFonts w:ascii="Times New Roman" w:eastAsia="仿宋" w:cs="Times New Roman" w:hAnsi="Times New Roman"/>
          <w:sz w:val="32"/>
          <w:szCs w:val="32"/>
        </w:rPr>
        <w:t>年收入预算1</w:t>
      </w:r>
      <w:r>
        <w:rPr>
          <w:rFonts w:ascii="Times New Roman" w:eastAsia="仿宋" w:cs="Times New Roman" w:hAnsi="Times New Roman"/>
          <w:sz w:val="32"/>
          <w:szCs w:val="32"/>
          <w:lang w:val="en-US" w:eastAsia="zh-CN"/>
        </w:rPr>
        <w:t>080.21</w:t>
      </w:r>
      <w:r>
        <w:rPr>
          <w:rFonts w:ascii="Times New Roman" w:eastAsia="仿宋" w:cs="Times New Roman" w:hAnsi="Times New Roman"/>
          <w:sz w:val="32"/>
          <w:szCs w:val="32"/>
        </w:rPr>
        <w:t>万元，其中：上年结转0万元；一般公共预算拨款收入</w:t>
      </w:r>
      <w:r>
        <w:rPr>
          <w:rFonts w:ascii="Times New Roman" w:eastAsia="仿宋" w:cs="Times New Roman" w:hAnsi="Times New Roman"/>
          <w:sz w:val="32"/>
          <w:szCs w:val="32"/>
          <w:lang w:val="en-US" w:eastAsia="zh-CN"/>
        </w:rPr>
        <w:t>1080.21</w:t>
      </w:r>
      <w:r>
        <w:rPr>
          <w:rFonts w:ascii="Times New Roman" w:eastAsia="仿宋" w:cs="Times New Roman" w:hAnsi="Times New Roman"/>
          <w:sz w:val="32"/>
          <w:szCs w:val="32"/>
        </w:rPr>
        <w:t>万元，占100%。</w:t>
      </w:r>
    </w:p>
    <w:p>
      <w:pPr>
        <w:ind w:firstLineChars="200" w:firstLine="640"/>
        <w:rPr>
          <w:rFonts w:ascii="Times New Roman" w:eastAsia="仿宋" w:cs="Times New Roman" w:hAnsi="Times New Roman"/>
          <w:sz w:val="32"/>
          <w:szCs w:val="32"/>
        </w:rPr>
      </w:pPr>
      <w:r>
        <w:rPr>
          <w:rFonts w:ascii="Times New Roman" w:eastAsia="仿宋" w:cs="Times New Roman" w:hAnsi="Times New Roman"/>
          <w:sz w:val="32"/>
          <w:szCs w:val="32"/>
          <w:lang w:eastAsia="zh-CN"/>
        </w:rPr>
        <w:t>（</w:t>
      </w:r>
      <w:r>
        <w:rPr>
          <w:rFonts w:ascii="Times New Roman" w:eastAsia="仿宋" w:cs="Times New Roman" w:hAnsi="Times New Roman"/>
          <w:sz w:val="32"/>
          <w:szCs w:val="32"/>
          <w:lang w:val="en-US" w:eastAsia="zh-CN"/>
        </w:rPr>
        <w:t>二</w:t>
      </w:r>
      <w:r>
        <w:rPr>
          <w:rFonts w:ascii="Times New Roman" w:eastAsia="仿宋" w:cs="Times New Roman" w:hAnsi="Times New Roman"/>
          <w:sz w:val="32"/>
          <w:szCs w:val="32"/>
          <w:lang w:eastAsia="zh-CN"/>
        </w:rPr>
        <w:t>）</w:t>
      </w:r>
      <w:r>
        <w:rPr>
          <w:rFonts w:ascii="Times New Roman" w:eastAsia="仿宋" w:cs="Times New Roman" w:hAnsi="Times New Roman"/>
          <w:sz w:val="32"/>
          <w:szCs w:val="32"/>
        </w:rPr>
        <w:t>支出预算情况：一般公共服务支出</w:t>
      </w:r>
      <w:r>
        <w:rPr>
          <w:rFonts w:ascii="Times New Roman" w:eastAsia="仿宋" w:cs="Times New Roman" w:hAnsi="Times New Roman"/>
          <w:sz w:val="32"/>
          <w:szCs w:val="32"/>
          <w:lang w:val="en-US" w:eastAsia="zh-CN"/>
        </w:rPr>
        <w:t>868.2</w:t>
      </w:r>
      <w:r>
        <w:rPr>
          <w:rFonts w:ascii="Times New Roman" w:eastAsia="仿宋" w:cs="Times New Roman" w:hAnsi="Times New Roman"/>
          <w:sz w:val="32"/>
          <w:szCs w:val="32"/>
        </w:rPr>
        <w:t>万元，社会保障和就业支出</w:t>
      </w:r>
      <w:r>
        <w:rPr>
          <w:rFonts w:ascii="Times New Roman" w:eastAsia="仿宋" w:cs="Times New Roman" w:hAnsi="Times New Roman"/>
          <w:sz w:val="32"/>
          <w:szCs w:val="32"/>
          <w:lang w:val="en-US" w:eastAsia="zh-CN"/>
        </w:rPr>
        <w:t>117.6</w:t>
      </w:r>
      <w:r>
        <w:rPr>
          <w:rFonts w:ascii="Times New Roman" w:eastAsia="仿宋" w:cs="Times New Roman" w:hAnsi="Times New Roman"/>
          <w:sz w:val="32"/>
          <w:szCs w:val="32"/>
        </w:rPr>
        <w:t>万元，卫生健康支出</w:t>
      </w:r>
      <w:r>
        <w:rPr>
          <w:rFonts w:ascii="Times New Roman" w:eastAsia="仿宋" w:cs="Times New Roman" w:hAnsi="Times New Roman"/>
          <w:sz w:val="32"/>
          <w:szCs w:val="32"/>
          <w:lang w:val="en-US" w:eastAsia="zh-CN"/>
        </w:rPr>
        <w:t>30.44</w:t>
      </w:r>
      <w:r>
        <w:rPr>
          <w:rFonts w:ascii="Times New Roman" w:eastAsia="仿宋" w:cs="Times New Roman" w:hAnsi="Times New Roman"/>
          <w:sz w:val="32"/>
          <w:szCs w:val="32"/>
        </w:rPr>
        <w:t>万元，住房保障支</w:t>
      </w:r>
      <w:r>
        <w:rPr>
          <w:rFonts w:ascii="Times New Roman" w:eastAsia="仿宋" w:cs="Times New Roman" w:hAnsi="Times New Roman"/>
          <w:sz w:val="32"/>
          <w:szCs w:val="32"/>
          <w:lang w:val="en-US" w:eastAsia="zh-CN"/>
        </w:rPr>
        <w:t>出62.69</w:t>
      </w:r>
      <w:r>
        <w:rPr>
          <w:rFonts w:ascii="Times New Roman" w:eastAsia="仿宋" w:cs="Times New Roman" w:hAnsi="Times New Roman"/>
          <w:sz w:val="32"/>
          <w:szCs w:val="32"/>
        </w:rPr>
        <w:t>万元。州委统战部202</w:t>
      </w:r>
      <w:r>
        <w:rPr>
          <w:rFonts w:ascii="Times New Roman" w:eastAsia="仿宋" w:cs="Times New Roman" w:hAnsi="Times New Roman"/>
          <w:sz w:val="32"/>
          <w:szCs w:val="32"/>
          <w:lang w:val="en-US" w:eastAsia="zh-CN"/>
        </w:rPr>
        <w:t>2</w:t>
      </w:r>
      <w:r>
        <w:rPr>
          <w:rFonts w:ascii="Times New Roman" w:eastAsia="仿宋" w:cs="Times New Roman" w:hAnsi="Times New Roman"/>
          <w:sz w:val="32"/>
          <w:szCs w:val="32"/>
        </w:rPr>
        <w:t>年收支总预算</w:t>
      </w:r>
      <w:r>
        <w:rPr>
          <w:rFonts w:ascii="Times New Roman" w:eastAsia="仿宋" w:cs="Times New Roman" w:hAnsi="Times New Roman"/>
          <w:sz w:val="32"/>
          <w:szCs w:val="32"/>
          <w:lang w:val="en-US" w:eastAsia="zh-CN"/>
        </w:rPr>
        <w:t>1080.21</w:t>
      </w:r>
      <w:r>
        <w:rPr>
          <w:rFonts w:ascii="Times New Roman" w:eastAsia="仿宋" w:cs="Times New Roman" w:hAnsi="Times New Roman"/>
          <w:sz w:val="32"/>
          <w:szCs w:val="32"/>
        </w:rPr>
        <w:t>万元,比202</w:t>
      </w:r>
      <w:r>
        <w:rPr>
          <w:rFonts w:ascii="Times New Roman" w:eastAsia="仿宋" w:cs="Times New Roman" w:hAnsi="Times New Roman"/>
          <w:sz w:val="32"/>
          <w:szCs w:val="32"/>
          <w:lang w:val="en-US" w:eastAsia="zh-CN"/>
        </w:rPr>
        <w:t>1</w:t>
      </w:r>
      <w:r>
        <w:rPr>
          <w:rFonts w:ascii="Times New Roman" w:eastAsia="仿宋" w:cs="Times New Roman" w:hAnsi="Times New Roman"/>
          <w:sz w:val="32"/>
          <w:szCs w:val="32"/>
        </w:rPr>
        <w:t>（</w:t>
      </w:r>
      <w:r>
        <w:rPr>
          <w:rFonts w:ascii="Times New Roman" w:eastAsia="仿宋" w:cs="Times New Roman" w:hAnsi="Times New Roman"/>
          <w:sz w:val="32"/>
          <w:szCs w:val="32"/>
          <w:lang w:val="en-US" w:eastAsia="zh-CN"/>
        </w:rPr>
        <w:t>1050.29</w:t>
      </w:r>
      <w:r>
        <w:rPr>
          <w:rFonts w:ascii="Times New Roman" w:eastAsia="仿宋" w:cs="Times New Roman" w:hAnsi="Times New Roman"/>
          <w:sz w:val="32"/>
          <w:szCs w:val="32"/>
        </w:rPr>
        <w:t>万元）年收支预算总数</w:t>
      </w:r>
      <w:r>
        <w:rPr>
          <w:rFonts w:ascii="Times New Roman" w:eastAsia="仿宋" w:cs="Times New Roman" w:hAnsi="Times New Roman"/>
          <w:sz w:val="32"/>
          <w:szCs w:val="32"/>
          <w:lang w:val="en-US" w:eastAsia="zh-CN"/>
        </w:rPr>
        <w:t>多29.92</w:t>
      </w:r>
      <w:r>
        <w:rPr>
          <w:rFonts w:ascii="Times New Roman" w:eastAsia="仿宋" w:cs="Times New Roman" w:hAnsi="Times New Roman"/>
          <w:sz w:val="32"/>
          <w:szCs w:val="32"/>
        </w:rPr>
        <w:t>万元，主要原因:</w:t>
      </w:r>
      <w:r>
        <w:rPr>
          <w:rFonts w:ascii="Times New Roman" w:eastAsia="仿宋" w:cs="Times New Roman" w:hAnsi="Times New Roman"/>
          <w:sz w:val="32"/>
          <w:szCs w:val="32"/>
          <w:lang w:val="en-US" w:eastAsia="zh-CN"/>
        </w:rPr>
        <w:t>一是工资福利支出增加；二是增加办公设备购置7.6万元，用于购置一体式打印机。</w:t>
      </w:r>
    </w:p>
    <w:p>
      <w:pPr>
        <w:rPr>
          <w:rFonts w:ascii="Times New Roman" w:eastAsia="仿宋_GB2312" w:cs="Times New Roman" w:hAnsi="Times New Roman"/>
          <w:sz w:val="32"/>
          <w:szCs w:val="32"/>
        </w:rPr>
      </w:pPr>
      <w:r>
        <w:rPr>
          <w:rFonts w:ascii="Times New Roman" w:eastAsia="仿宋" w:cs="Times New Roman" w:hAnsi="Times New Roman"/>
          <w:sz w:val="32"/>
          <w:szCs w:val="32"/>
        </w:rPr>
        <w:t>　　州委统战部202</w:t>
      </w:r>
      <w:r>
        <w:rPr>
          <w:rFonts w:ascii="Times New Roman" w:eastAsia="仿宋" w:cs="Times New Roman" w:hAnsi="Times New Roman"/>
          <w:sz w:val="32"/>
          <w:szCs w:val="32"/>
          <w:lang w:val="en-US" w:eastAsia="zh-CN"/>
        </w:rPr>
        <w:t>2</w:t>
      </w:r>
      <w:r>
        <w:rPr>
          <w:rFonts w:ascii="Times New Roman" w:eastAsia="仿宋" w:cs="Times New Roman" w:hAnsi="Times New Roman"/>
          <w:sz w:val="32"/>
          <w:szCs w:val="32"/>
        </w:rPr>
        <w:t>年支出预算</w:t>
      </w:r>
      <w:r>
        <w:rPr>
          <w:rFonts w:ascii="Times New Roman" w:eastAsia="仿宋" w:cs="Times New Roman" w:hAnsi="Times New Roman"/>
          <w:sz w:val="32"/>
          <w:szCs w:val="32"/>
          <w:lang w:val="en-US" w:eastAsia="zh-CN"/>
        </w:rPr>
        <w:t>1078.92</w:t>
      </w:r>
      <w:r>
        <w:rPr>
          <w:rFonts w:ascii="Times New Roman" w:eastAsia="仿宋" w:cs="Times New Roman" w:hAnsi="Times New Roman"/>
          <w:sz w:val="32"/>
          <w:szCs w:val="32"/>
        </w:rPr>
        <w:t>元，</w:t>
      </w:r>
      <w:r>
        <w:rPr>
          <w:rFonts w:ascii="Times New Roman" w:eastAsia="仿宋" w:cs="Times New Roman" w:hAnsi="Times New Roman"/>
          <w:sz w:val="32"/>
          <w:szCs w:val="32"/>
          <w:lang w:val="en-US" w:eastAsia="zh-CN"/>
        </w:rPr>
        <w:t>结转下年支出1.29万元，共计1080.21万元。</w:t>
      </w:r>
      <w:r>
        <w:rPr>
          <w:rFonts w:ascii="Times New Roman" w:eastAsia="仿宋" w:cs="Times New Roman" w:hAnsi="Times New Roman"/>
          <w:sz w:val="32"/>
          <w:szCs w:val="32"/>
        </w:rPr>
        <w:t>其中：基本支出</w:t>
      </w:r>
      <w:r>
        <w:rPr>
          <w:rFonts w:ascii="Times New Roman" w:eastAsia="仿宋" w:cs="Times New Roman" w:hAnsi="Times New Roman"/>
          <w:sz w:val="32"/>
          <w:szCs w:val="32"/>
          <w:lang w:val="en-US" w:eastAsia="zh-CN"/>
        </w:rPr>
        <w:t>769.52</w:t>
      </w:r>
      <w:r>
        <w:rPr>
          <w:rFonts w:ascii="Times New Roman" w:eastAsia="仿宋" w:cs="Times New Roman" w:hAnsi="Times New Roman"/>
          <w:sz w:val="32"/>
          <w:szCs w:val="32"/>
        </w:rPr>
        <w:t>万元，占71.2</w:t>
      </w:r>
      <w:r>
        <w:rPr>
          <w:rFonts w:ascii="Times New Roman" w:eastAsia="仿宋" w:cs="Times New Roman" w:hAnsi="Times New Roman"/>
          <w:sz w:val="32"/>
          <w:szCs w:val="32"/>
          <w:lang w:val="en-US" w:eastAsia="zh-CN"/>
        </w:rPr>
        <w:t>4</w:t>
      </w:r>
      <w:r>
        <w:rPr>
          <w:rFonts w:ascii="Times New Roman" w:eastAsia="仿宋" w:cs="Times New Roman" w:hAnsi="Times New Roman"/>
          <w:sz w:val="32"/>
          <w:szCs w:val="32"/>
        </w:rPr>
        <w:t>%；项目支出</w:t>
      </w:r>
      <w:r>
        <w:rPr>
          <w:rFonts w:ascii="Times New Roman" w:eastAsia="仿宋" w:cs="Times New Roman" w:hAnsi="Times New Roman"/>
          <w:sz w:val="32"/>
          <w:szCs w:val="32"/>
          <w:lang w:val="en-US" w:eastAsia="zh-CN"/>
        </w:rPr>
        <w:t>309.4</w:t>
      </w:r>
      <w:r>
        <w:rPr>
          <w:rFonts w:ascii="Times New Roman" w:eastAsia="仿宋" w:cs="Times New Roman" w:hAnsi="Times New Roman"/>
          <w:sz w:val="32"/>
          <w:szCs w:val="32"/>
        </w:rPr>
        <w:t>万元，占</w:t>
      </w:r>
      <w:r>
        <w:rPr>
          <w:rFonts w:ascii="Times New Roman" w:eastAsia="仿宋" w:cs="Times New Roman" w:hAnsi="Times New Roman"/>
          <w:sz w:val="32"/>
          <w:szCs w:val="32"/>
          <w:lang w:val="en-US" w:eastAsia="zh-CN"/>
        </w:rPr>
        <w:t>28.64%，结转下年支出占比0.12</w:t>
      </w:r>
      <w:r>
        <w:rPr>
          <w:rFonts w:ascii="Times New Roman" w:eastAsia="仿宋" w:cs="Times New Roman" w:hAnsi="Times New Roman"/>
          <w:sz w:val="32"/>
          <w:szCs w:val="32"/>
        </w:rPr>
        <w:t>%。</w:t>
      </w:r>
    </w:p>
    <w:p>
      <w:pPr>
        <w:ind w:firstLineChars="200" w:firstLine="640"/>
        <w:rPr>
          <w:rFonts w:ascii="Times New Roman" w:eastAsia="仿宋" w:cs="Times New Roman" w:hAnsi="Times New Roman"/>
          <w:sz w:val="32"/>
          <w:szCs w:val="32"/>
          <w:lang w:val="en-US" w:eastAsia="zh-CN"/>
        </w:rPr>
      </w:pPr>
      <w:r>
        <w:rPr>
          <w:rFonts w:ascii="Times New Roman" w:eastAsia="黑体" w:cs="Times New Roman" w:hAnsi="Times New Roman"/>
          <w:sz w:val="32"/>
          <w:szCs w:val="32"/>
        </w:rPr>
        <w:t>四、财政拨款收支预算情况说明</w:t>
      </w:r>
      <w:r>
        <w:rPr>
          <w:rFonts w:ascii="Times New Roman" w:cs="Times New Roman" w:hAnsi="Times New Roman"/>
          <w:sz w:val="16"/>
        </w:rPr>
        <w:br/>
      </w:r>
      <w:r>
        <w:rPr>
          <w:rFonts w:ascii="Times New Roman" w:eastAsia="仿宋_GB2312" w:cs="Times New Roman" w:hAnsi="Times New Roman"/>
          <w:kern w:val="2"/>
          <w:sz w:val="32"/>
          <w:szCs w:val="32"/>
          <w:lang w:val="en-US" w:eastAsia="zh-CN" w:bidi="ar-SA"/>
        </w:rPr>
        <w:t xml:space="preserve">   </w:t>
      </w:r>
      <w:r>
        <w:rPr>
          <w:rFonts w:ascii="Times New Roman" w:eastAsia="仿宋" w:cs="Times New Roman" w:hAnsi="Times New Roman"/>
          <w:sz w:val="32"/>
          <w:szCs w:val="32"/>
          <w:lang w:val="en-US" w:eastAsia="zh-CN"/>
        </w:rPr>
        <w:t xml:space="preserve"> 2022年财政拨款收支总预算1080.21万元,比2021年财政拨款收支总预算增加29.92万元，</w:t>
      </w:r>
      <w:r>
        <w:rPr>
          <w:rFonts w:ascii="Times New Roman" w:eastAsia="仿宋" w:cs="Times New Roman" w:hAnsi="Times New Roman"/>
          <w:sz w:val="32"/>
          <w:szCs w:val="32"/>
          <w:lang w:eastAsia="zh-CN"/>
        </w:rPr>
        <w:t>主要原因:</w:t>
      </w:r>
      <w:r>
        <w:rPr>
          <w:rFonts w:ascii="Times New Roman" w:eastAsia="仿宋" w:cs="Times New Roman" w:hAnsi="Times New Roman"/>
          <w:sz w:val="32"/>
          <w:szCs w:val="32"/>
          <w:lang w:val="en-US" w:eastAsia="zh-CN"/>
        </w:rPr>
        <w:t>一是工资福利支出增加；二是增加办公设备购置7.6万元，用于购置一体式打印机。</w:t>
      </w:r>
    </w:p>
    <w:p>
      <w:pPr>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sz w:val="32"/>
          <w:szCs w:val="32"/>
          <w:lang w:eastAsia="zh-CN"/>
        </w:rPr>
        <w:t>收入包括：</w:t>
      </w:r>
      <w:r>
        <w:rPr>
          <w:rFonts w:ascii="Times New Roman" w:eastAsia="仿宋" w:cs="Times New Roman" w:hAnsi="Times New Roman"/>
          <w:sz w:val="32"/>
          <w:szCs w:val="32"/>
          <w:lang w:val="en-US" w:eastAsia="zh-CN"/>
        </w:rPr>
        <w:t>行政运行558.98万元，一般行政管理事务309.40万元，机关事业单位基本养老保险缴费支出84.00万元，机关事业单位职业年金缴费支出33.60万元，行政单位医疗23.61万元，公务员医疗补助7.13万元，住房公积金63.49万元。</w:t>
      </w:r>
    </w:p>
    <w:p>
      <w:pPr>
        <w:ind w:firstLineChars="200" w:firstLine="640"/>
        <w:rPr>
          <w:rFonts w:ascii="Times New Roman" w:eastAsia="仿宋" w:cs="Times New Roman" w:hAnsi="Times New Roman"/>
          <w:sz w:val="32"/>
          <w:szCs w:val="32"/>
          <w:lang w:eastAsia="zh-CN"/>
        </w:rPr>
      </w:pPr>
      <w:r>
        <w:rPr>
          <w:rFonts w:ascii="Times New Roman" w:eastAsia="仿宋" w:cs="Times New Roman" w:hAnsi="Times New Roman"/>
          <w:sz w:val="32"/>
          <w:szCs w:val="32"/>
          <w:lang w:eastAsia="zh-CN"/>
        </w:rPr>
        <w:t>支出包括：</w:t>
      </w:r>
      <w:r>
        <w:rPr>
          <w:rFonts w:ascii="Times New Roman" w:eastAsia="仿宋" w:cs="Times New Roman" w:hAnsi="Times New Roman"/>
          <w:sz w:val="32"/>
          <w:szCs w:val="32"/>
          <w:lang w:val="en-US" w:eastAsia="zh-CN"/>
        </w:rPr>
        <w:t>行政运行558.98万元，一般行政管理事务309.40万元，机关事业单位基本养老保险缴费支出84.00万元，机关事业单位职业年金缴费支出33.60万元，行政单位医疗23.61万元，公务员医疗补助7.13万元，住房公积金63.49万元。</w:t>
      </w:r>
    </w:p>
    <w:p>
      <w:pPr>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五、一般公共预算当年拨款情况说明</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（一）一般公共预算当年拨款规模变化情况</w:t>
      </w:r>
    </w:p>
    <w:p>
      <w:pPr>
        <w:ind w:firstLineChars="200" w:firstLine="640"/>
        <w:rPr>
          <w:rFonts w:ascii="Times New Roman" w:eastAsia="仿宋" w:cs="Times New Roman" w:hAnsi="Times New Roman"/>
          <w:sz w:val="32"/>
          <w:szCs w:val="32"/>
          <w:lang w:val="en-US" w:eastAsia="zh-CN"/>
        </w:rPr>
      </w:pPr>
      <w:r>
        <w:rPr>
          <w:rFonts w:ascii="Times New Roman" w:eastAsia="仿宋" w:cs="Times New Roman" w:hAnsi="Times New Roman"/>
          <w:sz w:val="32"/>
          <w:szCs w:val="32"/>
          <w:lang w:val="en-US" w:eastAsia="zh-CN"/>
        </w:rPr>
        <w:t>2022年一般公共预算当年拨款1078.92万元，比2021年预算数增加29.92万元，主要原因:一是工资福利支出增加；二是增加办公设备购置7.6万元，用于购置一体式打印机。</w:t>
      </w:r>
    </w:p>
    <w:p>
      <w:pPr>
        <w:pStyle w:val="18"/>
        <w:keepNext w:val="0"/>
        <w:keepLines w:val="0"/>
        <w:pageBreakBefore w:val="0"/>
        <w:widowControl w:val="0"/>
        <w:numPr>
          <w:ilvl w:val="0"/>
          <w:numId w:val="1"/>
        </w:numPr>
        <w:kinsoku/>
        <w:wordWrap/>
        <w:overflowPunct/>
        <w:topLinePunct w:val="0"/>
        <w:autoSpaceDE/>
        <w:autoSpaceDN/>
        <w:bidi w:val="0"/>
        <w:adjustRightInd/>
        <w:snapToGrid/>
        <w:spacing w:before="0" w:line="360" w:lineRule="auto"/>
        <w:ind w:left="0" w:firstLineChars="200" w:firstLine="640"/>
        <w:textAlignment w:val="auto"/>
        <w:rPr>
          <w:rFonts w:ascii="Times New Roman" w:cs="Times New Roman" w:hAnsi="Times New Roman"/>
          <w:kern w:val="2"/>
          <w:sz w:val="32"/>
          <w:szCs w:val="32"/>
        </w:rPr>
      </w:pPr>
      <w:r>
        <w:rPr>
          <w:rFonts w:ascii="Times New Roman" w:cs="Times New Roman" w:hAnsi="Times New Roman"/>
          <w:sz w:val="32"/>
          <w:szCs w:val="32"/>
        </w:rPr>
        <w:t>一般公共预算当年拨款结构情</w:t>
      </w:r>
      <w:r>
        <w:rPr>
          <w:rFonts w:ascii="Times New Roman" w:cs="Times New Roman" w:hAnsi="Times New Roman"/>
          <w:sz w:val="32"/>
          <w:szCs w:val="32"/>
          <w:lang w:val="en-US" w:eastAsia="zh-CN"/>
        </w:rPr>
        <w:t>况</w:t>
      </w:r>
    </w:p>
    <w:p>
      <w:pPr>
        <w:pStyle w:val="18"/>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rPr>
          <w:rFonts w:ascii="Times New Roman" w:cs="Times New Roman" w:hAnsi="Times New Roman"/>
          <w:sz w:val="32"/>
          <w:szCs w:val="32"/>
          <w:lang w:val="en-US" w:eastAsia="zh-CN"/>
        </w:rPr>
      </w:pPr>
      <w:r>
        <w:rPr>
          <w:rFonts w:ascii="Times New Roman" w:cs="Times New Roman" w:hAnsi="Times New Roman"/>
          <w:sz w:val="32"/>
          <w:szCs w:val="32"/>
        </w:rPr>
        <w:t>一般公共服务支出</w:t>
      </w:r>
      <w:r>
        <w:rPr>
          <w:rFonts w:ascii="Times New Roman" w:cs="Times New Roman" w:hAnsi="Times New Roman"/>
          <w:sz w:val="32"/>
          <w:szCs w:val="32"/>
          <w:lang w:val="en-US" w:eastAsia="zh-CN"/>
        </w:rPr>
        <w:t>868.2</w:t>
      </w:r>
      <w:r>
        <w:rPr>
          <w:rFonts w:ascii="Times New Roman" w:cs="Times New Roman" w:hAnsi="Times New Roman"/>
          <w:sz w:val="32"/>
          <w:szCs w:val="32"/>
        </w:rPr>
        <w:t>万元，占</w:t>
      </w:r>
      <w:r>
        <w:rPr>
          <w:rFonts w:ascii="Times New Roman" w:cs="Times New Roman" w:hAnsi="Times New Roman"/>
          <w:sz w:val="32"/>
          <w:szCs w:val="32"/>
          <w:lang w:val="en-US" w:eastAsia="zh-CN"/>
        </w:rPr>
        <w:t>80.47</w:t>
      </w:r>
      <w:r>
        <w:rPr>
          <w:rFonts w:ascii="Times New Roman" w:cs="Times New Roman" w:hAnsi="Times New Roman"/>
          <w:sz w:val="32"/>
          <w:szCs w:val="32"/>
        </w:rPr>
        <w:t>%；社会保障和就业支出</w:t>
      </w:r>
      <w:r>
        <w:rPr>
          <w:rFonts w:ascii="Times New Roman" w:cs="Times New Roman" w:hAnsi="Times New Roman"/>
          <w:sz w:val="32"/>
          <w:szCs w:val="32"/>
          <w:lang w:val="en-US" w:eastAsia="zh-CN"/>
        </w:rPr>
        <w:t>117.6</w:t>
      </w:r>
      <w:r>
        <w:rPr>
          <w:rFonts w:ascii="Times New Roman" w:cs="Times New Roman" w:hAnsi="Times New Roman"/>
          <w:sz w:val="32"/>
          <w:szCs w:val="32"/>
        </w:rPr>
        <w:t>万元，占</w:t>
      </w:r>
      <w:r>
        <w:rPr>
          <w:rFonts w:ascii="Times New Roman" w:cs="Times New Roman" w:hAnsi="Times New Roman"/>
          <w:sz w:val="32"/>
          <w:szCs w:val="32"/>
          <w:lang w:val="en-US" w:eastAsia="zh-CN"/>
        </w:rPr>
        <w:t>10.90</w:t>
      </w:r>
      <w:r>
        <w:rPr>
          <w:rFonts w:ascii="Times New Roman" w:cs="Times New Roman" w:hAnsi="Times New Roman"/>
          <w:sz w:val="32"/>
          <w:szCs w:val="32"/>
        </w:rPr>
        <w:t>%；医疗卫生与计划生育支出</w:t>
      </w:r>
      <w:r>
        <w:rPr>
          <w:rFonts w:ascii="Times New Roman" w:cs="Times New Roman" w:hAnsi="Times New Roman"/>
          <w:sz w:val="32"/>
          <w:szCs w:val="32"/>
          <w:lang w:val="en-US" w:eastAsia="zh-CN"/>
        </w:rPr>
        <w:t>30.44</w:t>
      </w:r>
      <w:r>
        <w:rPr>
          <w:rFonts w:ascii="Times New Roman" w:cs="Times New Roman" w:hAnsi="Times New Roman"/>
          <w:sz w:val="32"/>
          <w:szCs w:val="32"/>
        </w:rPr>
        <w:t>万元，占</w:t>
      </w:r>
      <w:r>
        <w:rPr>
          <w:rFonts w:ascii="Times New Roman" w:cs="Times New Roman" w:hAnsi="Times New Roman"/>
          <w:sz w:val="32"/>
          <w:szCs w:val="32"/>
          <w:lang w:val="en-US" w:eastAsia="zh-CN"/>
        </w:rPr>
        <w:t>2.82</w:t>
      </w:r>
      <w:r>
        <w:rPr>
          <w:rFonts w:ascii="Times New Roman" w:cs="Times New Roman" w:hAnsi="Times New Roman"/>
          <w:sz w:val="32"/>
          <w:szCs w:val="32"/>
        </w:rPr>
        <w:t>%；住房保障支出</w:t>
      </w:r>
      <w:r>
        <w:rPr>
          <w:rFonts w:ascii="Times New Roman" w:cs="Times New Roman" w:hAnsi="Times New Roman"/>
          <w:sz w:val="32"/>
          <w:szCs w:val="32"/>
          <w:lang w:val="en-US" w:eastAsia="zh-CN"/>
        </w:rPr>
        <w:t>62.69</w:t>
      </w:r>
      <w:r>
        <w:rPr>
          <w:rFonts w:ascii="Times New Roman" w:cs="Times New Roman" w:hAnsi="Times New Roman"/>
          <w:sz w:val="32"/>
          <w:szCs w:val="32"/>
        </w:rPr>
        <w:t>万元，占</w:t>
      </w:r>
      <w:r>
        <w:rPr>
          <w:rFonts w:ascii="Times New Roman" w:cs="Times New Roman" w:hAnsi="Times New Roman"/>
          <w:sz w:val="32"/>
          <w:szCs w:val="32"/>
          <w:lang w:val="en-US" w:eastAsia="zh-CN"/>
        </w:rPr>
        <w:t>5.81</w:t>
      </w:r>
      <w:r>
        <w:rPr>
          <w:rFonts w:ascii="Times New Roman" w:cs="Times New Roman" w:hAnsi="Times New Roman"/>
          <w:sz w:val="32"/>
          <w:szCs w:val="32"/>
        </w:rPr>
        <w:t>%</w:t>
      </w:r>
      <w:r>
        <w:rPr>
          <w:rFonts w:ascii="Times New Roman" w:cs="Times New Roman" w:hAnsi="Times New Roman"/>
          <w:sz w:val="32"/>
          <w:szCs w:val="32"/>
          <w:lang w:eastAsia="zh-CN"/>
        </w:rPr>
        <w:t>。</w:t>
      </w:r>
      <w:r>
        <w:rPr>
          <w:rFonts w:ascii="Times New Roman" w:cs="Times New Roman" w:hAnsi="Times New Roman"/>
          <w:sz w:val="32"/>
          <w:szCs w:val="32"/>
          <w:lang w:val="en-US" w:eastAsia="zh-CN"/>
        </w:rPr>
        <w:t xml:space="preserve">   </w:t>
      </w:r>
    </w:p>
    <w:p>
      <w:pPr>
        <w:pStyle w:val="18"/>
        <w:keepNext w:val="0"/>
        <w:keepLines w:val="0"/>
        <w:pageBreakBefore w:val="0"/>
        <w:widowControl w:val="0"/>
        <w:kinsoku/>
        <w:wordWrap/>
        <w:overflowPunct/>
        <w:topLinePunct w:val="0"/>
        <w:autoSpaceDE/>
        <w:autoSpaceDN/>
        <w:bidi w:val="0"/>
        <w:adjustRightInd/>
        <w:snapToGrid/>
        <w:spacing w:before="0" w:line="360" w:lineRule="auto"/>
        <w:ind w:left="0"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（三）一般公共预算当年拨款具体使用情况</w:t>
      </w:r>
    </w:p>
    <w:p>
      <w:pPr>
        <w:rPr>
          <w:rFonts w:ascii="Times New Roman" w:eastAsia="仿宋_GB2312" w:cs="Times New Roman" w:hAnsi="Times New Roman"/>
          <w:kern w:val="0"/>
          <w:sz w:val="32"/>
          <w:szCs w:val="32"/>
          <w:lang w:val="en-US" w:eastAsia="zh-CN" w:bidi="ar-SA"/>
        </w:rPr>
      </w:pPr>
      <w:r>
        <w:rPr>
          <w:rFonts w:ascii="Times New Roman" w:eastAsia="仿宋" w:cs="Times New Roman" w:hAnsi="Times New Roman"/>
          <w:sz w:val="32"/>
          <w:szCs w:val="32"/>
        </w:rPr>
        <w:t>　</w:t>
      </w:r>
      <w:r>
        <w:rPr>
          <w:rFonts w:ascii="Times New Roman" w:eastAsia="仿宋" w:cs="Times New Roman" w:hAnsi="Times New Roman"/>
          <w:sz w:val="32"/>
          <w:szCs w:val="32"/>
          <w:lang w:val="en-US" w:eastAsia="zh-CN"/>
        </w:rPr>
        <w:t xml:space="preserve"> </w:t>
      </w:r>
      <w:r>
        <w:rPr>
          <w:rFonts w:ascii="Times New Roman" w:eastAsia="仿宋_GB2312" w:cs="Times New Roman" w:hAnsi="Times New Roman"/>
          <w:kern w:val="0"/>
          <w:sz w:val="32"/>
          <w:szCs w:val="32"/>
          <w:lang w:val="en-US" w:eastAsia="zh-CN" w:bidi="ar-SA"/>
        </w:rPr>
        <w:t xml:space="preserve">  1．一般公共服务统战事务行政运行经费（2013401）2022年预算数为868.2万元，主要用于:人员经费及日常公用经费支出。</w:t>
      </w:r>
    </w:p>
    <w:p>
      <w:pPr>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　　2.一般公共服务统战事务一般行政管理事务经费（2013402）2022年预算数为309.4万元，主要用于:工作运转类项目经费支出、会议、培训和慰问支出。</w:t>
      </w:r>
    </w:p>
    <w:p>
      <w:pPr>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　　3.机关事业单位基本养老保险缴费（2080505）2022年预算数为84万元。</w:t>
      </w:r>
    </w:p>
    <w:p>
      <w:pPr>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　　4.机关事业单位职业年金缴费（2080506）2022年预算数为33.6万元。</w:t>
      </w:r>
    </w:p>
    <w:p>
      <w:pPr>
        <w:ind w:firstLine="645"/>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5.行政单位医疗（2101101）2022年预算数为30.44万元。</w:t>
      </w:r>
    </w:p>
    <w:p>
      <w:pPr>
        <w:ind w:firstLine="645"/>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6.公务员医疗补助（2101103）2022年预算数为7.13万元。</w:t>
      </w:r>
    </w:p>
    <w:p>
      <w:pPr>
        <w:rPr>
          <w:rFonts w:ascii="Times New Roman" w:eastAsia="仿宋_GB2312" w:cs="Times New Roman" w:hAnsi="Times New Roman"/>
          <w:kern w:val="0"/>
          <w:sz w:val="32"/>
          <w:szCs w:val="32"/>
          <w:lang w:val="en-US" w:eastAsia="zh-CN" w:bidi="ar-SA"/>
        </w:rPr>
      </w:pPr>
      <w:r>
        <w:rPr>
          <w:rFonts w:ascii="Times New Roman" w:eastAsia="仿宋_GB2312" w:cs="Times New Roman" w:hAnsi="Times New Roman"/>
          <w:kern w:val="0"/>
          <w:sz w:val="32"/>
          <w:szCs w:val="32"/>
          <w:lang w:val="en-US" w:eastAsia="zh-CN" w:bidi="ar-SA"/>
        </w:rPr>
        <w:t>　　7.住房公积金（2210201）202</w:t>
      </w:r>
      <w:r>
        <w:rPr>
          <w:rFonts w:ascii="Times New Roman" w:eastAsia="仿宋_GB2312" w:cs="Times New Roman" w:hAnsi="Times New Roman" w:hint="eastAsia"/>
          <w:kern w:val="0"/>
          <w:sz w:val="32"/>
          <w:szCs w:val="32"/>
          <w:lang w:val="en-US" w:eastAsia="zh-CN" w:bidi="ar-SA"/>
        </w:rPr>
        <w:t>2</w:t>
      </w:r>
      <w:r>
        <w:rPr>
          <w:rFonts w:ascii="Times New Roman" w:eastAsia="仿宋_GB2312" w:cs="Times New Roman" w:hAnsi="Times New Roman"/>
          <w:kern w:val="0"/>
          <w:sz w:val="32"/>
          <w:szCs w:val="32"/>
          <w:lang w:val="en-US" w:eastAsia="zh-CN" w:bidi="ar-SA"/>
        </w:rPr>
        <w:t>年预算数为62.69万元。</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六、一般公共预算基本支出情况说明</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2022年一般公共预算基本支出</w:t>
      </w:r>
      <w:r>
        <w:rPr>
          <w:rFonts w:ascii="Times New Roman" w:cs="Times New Roman" w:hAnsi="Times New Roman"/>
          <w:kern w:val="2"/>
          <w:sz w:val="32"/>
          <w:szCs w:val="32"/>
          <w:lang w:val="en-US" w:eastAsia="zh-CN"/>
        </w:rPr>
        <w:t>769.52</w:t>
      </w:r>
      <w:r>
        <w:rPr>
          <w:rFonts w:ascii="Times New Roman" w:cs="Times New Roman" w:hAnsi="Times New Roman"/>
          <w:kern w:val="2"/>
          <w:sz w:val="32"/>
          <w:szCs w:val="32"/>
        </w:rPr>
        <w:t>万元，其中：人员经费</w:t>
      </w:r>
      <w:r>
        <w:rPr>
          <w:rFonts w:ascii="Times New Roman" w:cs="Times New Roman" w:hAnsi="Times New Roman"/>
          <w:kern w:val="2"/>
          <w:sz w:val="32"/>
          <w:szCs w:val="32"/>
          <w:lang w:val="en-US" w:eastAsia="zh-CN"/>
        </w:rPr>
        <w:t>635.57</w:t>
      </w:r>
      <w:r>
        <w:rPr>
          <w:rFonts w:ascii="Times New Roman" w:cs="Times New Roman" w:hAnsi="Times New Roman"/>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eastAsia="黑体" w:cs="Times New Roman" w:hAnsi="Times New Roman"/>
          <w:sz w:val="32"/>
          <w:szCs w:val="32"/>
        </w:rPr>
      </w:pPr>
      <w:r>
        <w:rPr>
          <w:rFonts w:ascii="Times New Roman" w:cs="Times New Roman" w:hAnsi="Times New Roman"/>
          <w:kern w:val="2"/>
          <w:sz w:val="32"/>
          <w:szCs w:val="32"/>
        </w:rPr>
        <w:t>公用经费</w:t>
      </w:r>
      <w:r>
        <w:rPr>
          <w:rFonts w:ascii="Times New Roman" w:cs="Times New Roman" w:hAnsi="Times New Roman"/>
          <w:kern w:val="2"/>
          <w:sz w:val="32"/>
          <w:szCs w:val="32"/>
          <w:lang w:val="en-US" w:eastAsia="zh-CN"/>
        </w:rPr>
        <w:t>133.95</w:t>
      </w:r>
      <w:r>
        <w:rPr>
          <w:rFonts w:ascii="Times New Roman" w:cs="Times New Roman" w:hAnsi="Times New Roman"/>
          <w:kern w:val="2"/>
          <w:sz w:val="32"/>
          <w:szCs w:val="32"/>
        </w:rPr>
        <w:t>万元，主要包括：办公费、印刷费、水电费、邮电费、</w:t>
      </w:r>
      <w:r>
        <w:rPr>
          <w:rFonts w:ascii="Times New Roman" w:cs="Times New Roman" w:hAnsi="Times New Roman" w:hint="eastAsia"/>
          <w:kern w:val="2"/>
          <w:sz w:val="32"/>
          <w:szCs w:val="32"/>
          <w:lang w:val="en-US" w:eastAsia="zh-CN"/>
        </w:rPr>
        <w:t>取暖费、因公出国境费、公务接待费、公务用车运行维护费、</w:t>
      </w:r>
      <w:r>
        <w:rPr>
          <w:rFonts w:ascii="Times New Roman" w:cs="Times New Roman" w:hAnsi="Times New Roman"/>
          <w:kern w:val="2"/>
          <w:sz w:val="32"/>
          <w:szCs w:val="32"/>
        </w:rPr>
        <w:t>差旅费、维修（护）费、会议费、培训费、劳务费、工会经费、福利费、</w:t>
      </w:r>
      <w:r>
        <w:rPr>
          <w:rFonts w:ascii="Times New Roman" w:cs="Times New Roman" w:hAnsi="Times New Roman" w:hint="eastAsia"/>
          <w:kern w:val="2"/>
          <w:sz w:val="32"/>
          <w:szCs w:val="32"/>
          <w:lang w:val="en-US" w:eastAsia="zh-CN"/>
        </w:rPr>
        <w:t>退休费、生活补助费、</w:t>
      </w:r>
      <w:r>
        <w:rPr>
          <w:rFonts w:ascii="Times New Roman" w:cs="Times New Roman" w:hAnsi="Times New Roman"/>
          <w:kern w:val="2"/>
          <w:sz w:val="32"/>
          <w:szCs w:val="32"/>
        </w:rPr>
        <w:t>其他交通工具运行维护费、其他商品和服务支出</w:t>
      </w:r>
      <w:r>
        <w:rPr>
          <w:rFonts w:ascii="Times New Roman" w:cs="Times New Roman" w:hAnsi="Times New Roman" w:hint="eastAsia"/>
          <w:kern w:val="2"/>
          <w:sz w:val="32"/>
          <w:szCs w:val="32"/>
          <w:lang w:eastAsia="zh-CN"/>
        </w:rPr>
        <w:t>、办公设备购置</w:t>
      </w:r>
      <w:r>
        <w:rPr>
          <w:rFonts w:ascii="Times New Roman" w:cs="Times New Roman" w:hAnsi="Times New Roman" w:hint="eastAsia"/>
          <w:kern w:val="2"/>
          <w:sz w:val="32"/>
          <w:szCs w:val="32"/>
          <w:lang w:val="en-US" w:eastAsia="zh-CN"/>
        </w:rPr>
        <w:t>费</w:t>
      </w:r>
      <w:r>
        <w:rPr>
          <w:rFonts w:ascii="Times New Roman" w:cs="Times New Roman" w:hAnsi="Times New Roman" w:hint="eastAsia"/>
          <w:kern w:val="2"/>
          <w:sz w:val="32"/>
          <w:szCs w:val="32"/>
          <w:lang w:eastAsia="zh-CN"/>
        </w:rPr>
        <w:t>、</w:t>
      </w:r>
      <w:r>
        <w:rPr>
          <w:rFonts w:ascii="Times New Roman" w:cs="Times New Roman" w:hAnsi="Times New Roman"/>
          <w:kern w:val="2"/>
          <w:sz w:val="32"/>
          <w:szCs w:val="32"/>
        </w:rPr>
        <w:t>其他对个人和家庭的补助支出。</w:t>
        <w:br/>
      </w:r>
      <w:r>
        <w:rPr>
          <w:rFonts w:ascii="Times New Roman" w:cs="Times New Roman" w:hAnsi="Times New Roman"/>
          <w:kern w:val="2"/>
          <w:sz w:val="32"/>
          <w:szCs w:val="32"/>
          <w:lang w:val="en-US" w:eastAsia="zh-CN"/>
        </w:rPr>
        <w:t xml:space="preserve">    </w:t>
      </w:r>
      <w:r>
        <w:rPr>
          <w:rFonts w:ascii="Times New Roman" w:eastAsia="黑体" w:cs="Times New Roman" w:hAnsi="Times New Roman"/>
          <w:sz w:val="32"/>
          <w:szCs w:val="32"/>
        </w:rPr>
        <w:t>七、“三公”经费财政拨款预算安排情况说明</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2022年“三公”经费财政拨款预算数</w:t>
      </w:r>
      <w:r>
        <w:rPr>
          <w:rFonts w:ascii="Times New Roman" w:cs="Times New Roman" w:hAnsi="Times New Roman"/>
          <w:kern w:val="2"/>
          <w:sz w:val="32"/>
          <w:szCs w:val="32"/>
          <w:lang w:val="en-US" w:eastAsia="zh-CN"/>
        </w:rPr>
        <w:t>97.66</w:t>
      </w:r>
      <w:r>
        <w:rPr>
          <w:rFonts w:ascii="Times New Roman" w:cs="Times New Roman" w:hAnsi="Times New Roman"/>
          <w:kern w:val="2"/>
          <w:sz w:val="32"/>
          <w:szCs w:val="32"/>
        </w:rPr>
        <w:t>万元，其中：因公出国（境）经费</w:t>
      </w:r>
      <w:r>
        <w:rPr>
          <w:rFonts w:ascii="Times New Roman" w:cs="Times New Roman" w:hAnsi="Times New Roman"/>
          <w:kern w:val="2"/>
          <w:sz w:val="32"/>
          <w:szCs w:val="32"/>
          <w:lang w:val="en-US" w:eastAsia="zh-CN"/>
        </w:rPr>
        <w:t>5</w:t>
      </w:r>
      <w:r>
        <w:rPr>
          <w:rFonts w:ascii="Times New Roman" w:cs="Times New Roman" w:hAnsi="Times New Roman"/>
          <w:kern w:val="2"/>
          <w:sz w:val="32"/>
          <w:szCs w:val="32"/>
        </w:rPr>
        <w:t>万元，公务接待费</w:t>
      </w:r>
      <w:r>
        <w:rPr>
          <w:rFonts w:ascii="Times New Roman" w:cs="Times New Roman" w:hAnsi="Times New Roman"/>
          <w:kern w:val="2"/>
          <w:sz w:val="32"/>
          <w:szCs w:val="32"/>
          <w:lang w:val="en-US" w:eastAsia="zh-CN"/>
        </w:rPr>
        <w:t>5.86</w:t>
      </w:r>
      <w:r>
        <w:rPr>
          <w:rFonts w:ascii="Times New Roman" w:cs="Times New Roman" w:hAnsi="Times New Roman"/>
          <w:kern w:val="2"/>
          <w:sz w:val="32"/>
          <w:szCs w:val="32"/>
        </w:rPr>
        <w:t>万元，公务用车购置及运行维护费</w:t>
      </w:r>
      <w:r>
        <w:rPr>
          <w:rFonts w:ascii="Times New Roman" w:cs="Times New Roman" w:hAnsi="Times New Roman"/>
          <w:kern w:val="2"/>
          <w:sz w:val="32"/>
          <w:szCs w:val="32"/>
          <w:lang w:val="en-US" w:eastAsia="zh-CN"/>
        </w:rPr>
        <w:t>86.8</w:t>
      </w:r>
      <w:r>
        <w:rPr>
          <w:rFonts w:ascii="Times New Roman" w:cs="Times New Roman" w:hAnsi="Times New Roman"/>
          <w:kern w:val="2"/>
          <w:sz w:val="32"/>
          <w:szCs w:val="32"/>
        </w:rPr>
        <w:t>万元。</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（一）2022年因公出国（境）经费</w:t>
      </w:r>
      <w:r>
        <w:rPr>
          <w:rFonts w:ascii="Times New Roman" w:cs="Times New Roman" w:hAnsi="Times New Roman"/>
          <w:kern w:val="2"/>
          <w:sz w:val="32"/>
          <w:szCs w:val="32"/>
          <w:lang w:val="en-US" w:eastAsia="zh-CN"/>
        </w:rPr>
        <w:t>5</w:t>
      </w:r>
      <w:r>
        <w:rPr>
          <w:rFonts w:ascii="Times New Roman" w:cs="Times New Roman" w:hAnsi="Times New Roman"/>
          <w:kern w:val="2"/>
          <w:sz w:val="32"/>
          <w:szCs w:val="32"/>
        </w:rPr>
        <w:t>万元。</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color w:val="000000"/>
          <w:kern w:val="2"/>
          <w:sz w:val="32"/>
          <w:szCs w:val="32"/>
          <w:lang w:val="en-US" w:eastAsia="zh-CN"/>
        </w:rPr>
      </w:pPr>
      <w:r>
        <w:rPr>
          <w:rFonts w:ascii="Times New Roman" w:cs="Times New Roman" w:hAnsi="Times New Roman"/>
          <w:kern w:val="2"/>
          <w:sz w:val="32"/>
          <w:szCs w:val="32"/>
        </w:rPr>
        <w:t>（二）</w:t>
      </w:r>
      <w:r>
        <w:rPr>
          <w:rFonts w:ascii="Times New Roman" w:cs="Times New Roman" w:hAnsi="Times New Roman"/>
          <w:color w:val="000000"/>
          <w:kern w:val="2"/>
          <w:sz w:val="32"/>
          <w:szCs w:val="32"/>
        </w:rPr>
        <w:t>2022年公务接待经费</w:t>
      </w:r>
      <w:r>
        <w:rPr>
          <w:rFonts w:ascii="Times New Roman" w:cs="Times New Roman" w:hAnsi="Times New Roman"/>
          <w:color w:val="000000"/>
          <w:kern w:val="2"/>
          <w:sz w:val="32"/>
          <w:szCs w:val="32"/>
          <w:lang w:val="en-US" w:eastAsia="zh-CN"/>
        </w:rPr>
        <w:t>5.86</w:t>
      </w:r>
      <w:r>
        <w:rPr>
          <w:rFonts w:ascii="Times New Roman" w:cs="Times New Roman" w:hAnsi="Times New Roman"/>
          <w:color w:val="000000"/>
          <w:kern w:val="2"/>
          <w:sz w:val="32"/>
          <w:szCs w:val="32"/>
        </w:rPr>
        <w:t>万元。较2021年预算经费减少</w:t>
      </w:r>
      <w:r>
        <w:rPr>
          <w:rFonts w:ascii="Times New Roman" w:cs="Times New Roman" w:hAnsi="Times New Roman"/>
          <w:color w:val="000000"/>
          <w:kern w:val="2"/>
          <w:sz w:val="32"/>
          <w:szCs w:val="32"/>
          <w:lang w:val="en-US" w:eastAsia="zh-CN"/>
        </w:rPr>
        <w:t>0.06</w:t>
      </w:r>
      <w:r>
        <w:rPr>
          <w:rFonts w:ascii="Times New Roman" w:cs="Times New Roman" w:hAnsi="Times New Roman"/>
          <w:color w:val="000000"/>
          <w:kern w:val="2"/>
          <w:sz w:val="32"/>
          <w:szCs w:val="32"/>
        </w:rPr>
        <w:t>万元，</w:t>
      </w:r>
      <w:r>
        <w:rPr>
          <w:rFonts w:ascii="Times New Roman" w:cs="Times New Roman" w:hAnsi="Times New Roman"/>
          <w:sz w:val="32"/>
          <w:szCs w:val="32"/>
          <w:lang w:val="en-US" w:eastAsia="zh-CN"/>
        </w:rPr>
        <w:t>减少1.01</w:t>
      </w:r>
      <w:r>
        <w:rPr>
          <w:rFonts w:ascii="Times New Roman" w:cs="Times New Roman" w:hAnsi="Times New Roman"/>
          <w:color w:val="000000"/>
          <w:kern w:val="2"/>
          <w:sz w:val="32"/>
          <w:szCs w:val="32"/>
        </w:rPr>
        <w:t>%。</w:t>
        <w:br/>
      </w:r>
      <w:r>
        <w:rPr>
          <w:rFonts w:ascii="Times New Roman" w:cs="Times New Roman" w:hAnsi="Times New Roman"/>
          <w:color w:val="FF0000"/>
          <w:kern w:val="2"/>
          <w:sz w:val="32"/>
          <w:szCs w:val="32"/>
        </w:rPr>
        <w:t>　　</w:t>
      </w:r>
      <w:r>
        <w:rPr>
          <w:rFonts w:ascii="Times New Roman" w:cs="Times New Roman" w:hAnsi="Times New Roman"/>
          <w:color w:val="000000"/>
          <w:kern w:val="2"/>
          <w:sz w:val="32"/>
          <w:szCs w:val="32"/>
        </w:rPr>
        <w:t>（三）2022年公务用车购置及运行维护费</w:t>
      </w:r>
      <w:r>
        <w:rPr>
          <w:rFonts w:ascii="Times New Roman" w:cs="Times New Roman" w:hAnsi="Times New Roman"/>
          <w:color w:val="000000"/>
          <w:kern w:val="2"/>
          <w:sz w:val="32"/>
          <w:szCs w:val="32"/>
          <w:lang w:val="en-US" w:eastAsia="zh-CN"/>
        </w:rPr>
        <w:t>86.8</w:t>
      </w:r>
      <w:r>
        <w:rPr>
          <w:rFonts w:ascii="Times New Roman" w:cs="Times New Roman" w:hAnsi="Times New Roman"/>
          <w:color w:val="000000"/>
          <w:kern w:val="2"/>
          <w:sz w:val="32"/>
          <w:szCs w:val="32"/>
        </w:rPr>
        <w:t>万元。较2021年预算经费</w:t>
      </w:r>
      <w:r>
        <w:rPr>
          <w:rFonts w:ascii="Times New Roman" w:cs="Times New Roman" w:hAnsi="Times New Roman"/>
          <w:sz w:val="32"/>
          <w:szCs w:val="32"/>
        </w:rPr>
        <w:t>增加</w:t>
      </w:r>
      <w:r>
        <w:rPr>
          <w:rFonts w:ascii="Times New Roman" w:cs="Times New Roman" w:hAnsi="Times New Roman"/>
          <w:color w:val="000000"/>
          <w:kern w:val="2"/>
          <w:sz w:val="32"/>
          <w:szCs w:val="32"/>
          <w:lang w:val="en-US" w:eastAsia="zh-CN"/>
        </w:rPr>
        <w:t>1</w:t>
      </w:r>
      <w:r>
        <w:rPr>
          <w:rFonts w:ascii="Times New Roman" w:cs="Times New Roman" w:hAnsi="Times New Roman"/>
          <w:color w:val="000000"/>
          <w:kern w:val="2"/>
          <w:sz w:val="32"/>
          <w:szCs w:val="32"/>
        </w:rPr>
        <w:t>万元，增长</w:t>
      </w:r>
      <w:r>
        <w:rPr>
          <w:rFonts w:ascii="Times New Roman" w:cs="Times New Roman" w:hAnsi="Times New Roman"/>
          <w:color w:val="000000"/>
          <w:kern w:val="2"/>
          <w:sz w:val="32"/>
          <w:szCs w:val="32"/>
          <w:lang w:val="en-US" w:eastAsia="zh-CN"/>
        </w:rPr>
        <w:t>1.17</w:t>
      </w:r>
      <w:r>
        <w:rPr>
          <w:rFonts w:ascii="Times New Roman" w:cs="Times New Roman" w:hAnsi="Times New Roman"/>
          <w:color w:val="000000"/>
          <w:kern w:val="2"/>
          <w:sz w:val="32"/>
          <w:szCs w:val="32"/>
        </w:rPr>
        <w:t>%</w:t>
      </w:r>
      <w:r>
        <w:rPr>
          <w:rFonts w:ascii="Times New Roman" w:cs="Times New Roman" w:hAnsi="Times New Roman"/>
          <w:color w:val="000000"/>
          <w:kern w:val="2"/>
          <w:sz w:val="32"/>
          <w:szCs w:val="32"/>
          <w:lang w:val="en-US" w:eastAsia="zh-CN"/>
        </w:rPr>
        <w:t>。</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八、政府性基金预算支出情况说明</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2022年政府性基金预算拨款安排的支出</w:t>
      </w:r>
      <w:r>
        <w:rPr>
          <w:rFonts w:ascii="Times New Roman" w:cs="Times New Roman" w:hAnsi="Times New Roman"/>
          <w:kern w:val="2"/>
          <w:sz w:val="32"/>
          <w:szCs w:val="32"/>
          <w:lang w:val="en-US" w:eastAsia="zh-CN"/>
        </w:rPr>
        <w:t>0</w:t>
      </w:r>
      <w:r>
        <w:rPr>
          <w:rFonts w:ascii="Times New Roman" w:cs="Times New Roman" w:hAnsi="Times New Roman"/>
          <w:kern w:val="2"/>
          <w:sz w:val="32"/>
          <w:szCs w:val="32"/>
        </w:rPr>
        <w:t>万元。较2021年预算经费</w:t>
      </w:r>
      <w:r>
        <w:rPr>
          <w:rFonts w:ascii="Times New Roman" w:cs="Times New Roman" w:hAnsi="Times New Roman"/>
          <w:sz w:val="32"/>
          <w:szCs w:val="32"/>
        </w:rPr>
        <w:t>增加/</w:t>
      </w:r>
      <w:r>
        <w:rPr>
          <w:rFonts w:ascii="Times New Roman" w:cs="Times New Roman" w:hAnsi="Times New Roman"/>
          <w:color w:val="000000"/>
          <w:kern w:val="2"/>
          <w:sz w:val="32"/>
          <w:szCs w:val="32"/>
        </w:rPr>
        <w:t>减少</w:t>
      </w:r>
      <w:r>
        <w:rPr>
          <w:rFonts w:ascii="Times New Roman" w:cs="Times New Roman" w:hAnsi="Times New Roman"/>
          <w:kern w:val="2"/>
          <w:sz w:val="32"/>
          <w:szCs w:val="32"/>
          <w:lang w:val="en-US" w:eastAsia="zh-CN"/>
        </w:rPr>
        <w:t>0</w:t>
      </w:r>
      <w:r>
        <w:rPr>
          <w:rFonts w:ascii="Times New Roman" w:cs="Times New Roman" w:hAnsi="Times New Roman"/>
          <w:kern w:val="2"/>
          <w:sz w:val="32"/>
          <w:szCs w:val="32"/>
        </w:rPr>
        <w:t>万元，增长</w:t>
      </w:r>
      <w:r>
        <w:rPr>
          <w:rFonts w:ascii="Times New Roman" w:cs="Times New Roman" w:hAnsi="Times New Roman"/>
          <w:kern w:val="2"/>
          <w:sz w:val="32"/>
          <w:szCs w:val="32"/>
          <w:lang w:val="en-US" w:eastAsia="zh-CN"/>
        </w:rPr>
        <w:t>0</w:t>
      </w:r>
      <w:r>
        <w:rPr>
          <w:rFonts w:ascii="Times New Roman" w:cs="Times New Roman" w:hAnsi="Times New Roman"/>
          <w:kern w:val="2"/>
          <w:sz w:val="32"/>
          <w:szCs w:val="32"/>
        </w:rPr>
        <w:t>%。</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eastAsia="黑体" w:cs="Times New Roman" w:hAnsi="Times New Roman"/>
          <w:sz w:val="32"/>
          <w:szCs w:val="32"/>
        </w:rPr>
      </w:pPr>
      <w:r>
        <w:rPr>
          <w:rFonts w:ascii="Times New Roman" w:eastAsia="黑体" w:cs="Times New Roman" w:hAnsi="Times New Roman"/>
          <w:sz w:val="32"/>
          <w:szCs w:val="32"/>
        </w:rPr>
        <w:t>九、其他重要事项的情况说明</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color w:val="FF0000"/>
          <w:kern w:val="2"/>
          <w:sz w:val="32"/>
          <w:szCs w:val="32"/>
        </w:rPr>
      </w:pPr>
      <w:r>
        <w:rPr>
          <w:rFonts w:ascii="Times New Roman" w:cs="Times New Roman" w:hAnsi="Times New Roman"/>
          <w:kern w:val="2"/>
          <w:sz w:val="32"/>
          <w:szCs w:val="32"/>
        </w:rPr>
        <w:t>（一）机关运行经费</w:t>
        <w:br/>
        <w:t>　  2022年机关运行经费财政拨款预算为</w:t>
      </w:r>
      <w:r>
        <w:rPr>
          <w:rFonts w:ascii="Times New Roman" w:cs="Times New Roman" w:hAnsi="Times New Roman"/>
          <w:kern w:val="2"/>
          <w:sz w:val="32"/>
          <w:szCs w:val="32"/>
          <w:lang w:val="en-US" w:eastAsia="zh-CN"/>
        </w:rPr>
        <w:t>558.98</w:t>
      </w:r>
      <w:r>
        <w:rPr>
          <w:rFonts w:ascii="Times New Roman" w:cs="Times New Roman" w:hAnsi="Times New Roman"/>
          <w:kern w:val="2"/>
          <w:sz w:val="32"/>
          <w:szCs w:val="32"/>
        </w:rPr>
        <w:t>万元，比2021 年预算</w:t>
      </w:r>
      <w:r>
        <w:rPr>
          <w:rFonts w:ascii="Times New Roman" w:cs="Times New Roman" w:hAnsi="Times New Roman"/>
          <w:color w:val="000000"/>
          <w:kern w:val="2"/>
          <w:sz w:val="32"/>
          <w:szCs w:val="32"/>
        </w:rPr>
        <w:t>减少</w:t>
      </w:r>
      <w:r>
        <w:rPr>
          <w:rFonts w:ascii="Times New Roman" w:cs="Times New Roman" w:hAnsi="Times New Roman"/>
          <w:color w:val="000000"/>
          <w:kern w:val="2"/>
          <w:sz w:val="32"/>
          <w:szCs w:val="32"/>
          <w:lang w:val="en-US" w:eastAsia="zh-CN"/>
        </w:rPr>
        <w:t>9.84</w:t>
      </w:r>
      <w:r>
        <w:rPr>
          <w:rFonts w:ascii="Times New Roman" w:cs="Times New Roman" w:hAnsi="Times New Roman"/>
          <w:color w:val="000000"/>
          <w:kern w:val="2"/>
          <w:sz w:val="32"/>
          <w:szCs w:val="32"/>
        </w:rPr>
        <w:t>万元，减少</w:t>
      </w:r>
      <w:r>
        <w:rPr>
          <w:rFonts w:ascii="Times New Roman" w:cs="Times New Roman" w:hAnsi="Times New Roman"/>
          <w:color w:val="000000"/>
          <w:kern w:val="2"/>
          <w:sz w:val="32"/>
          <w:szCs w:val="32"/>
          <w:lang w:val="en-US" w:eastAsia="zh-CN"/>
        </w:rPr>
        <w:t>1.73</w:t>
      </w:r>
      <w:r>
        <w:rPr>
          <w:rFonts w:ascii="Times New Roman" w:cs="Times New Roman" w:hAnsi="Times New Roman"/>
          <w:color w:val="000000"/>
          <w:kern w:val="2"/>
          <w:sz w:val="32"/>
          <w:szCs w:val="32"/>
        </w:rPr>
        <w:t>%。</w:t>
      </w:r>
      <w:r>
        <w:rPr>
          <w:rFonts w:ascii="Times New Roman" w:cs="Times New Roman" w:hAnsi="Times New Roman"/>
          <w:color w:val="000000"/>
          <w:kern w:val="2"/>
          <w:sz w:val="32"/>
          <w:szCs w:val="32"/>
          <w:lang w:val="en-US" w:eastAsia="zh-CN"/>
        </w:rPr>
        <w:t>主要原因是人员变动，导致工资基数降低。</w:t>
      </w:r>
      <w:r>
        <w:rPr>
          <w:rFonts w:ascii="Times New Roman" w:cs="Times New Roman" w:hAnsi="Times New Roman"/>
          <w:color w:val="000000"/>
          <w:kern w:val="2"/>
          <w:sz w:val="32"/>
          <w:szCs w:val="32"/>
        </w:rPr>
        <w:t xml:space="preserve"> </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hint="eastAsia"/>
          <w:kern w:val="2"/>
          <w:sz w:val="32"/>
          <w:szCs w:val="32"/>
          <w:lang w:val="en-US" w:eastAsia="zh-CN"/>
        </w:rPr>
      </w:pPr>
      <w:r>
        <w:rPr>
          <w:rFonts w:ascii="Times New Roman" w:cs="Times New Roman" w:hAnsi="Times New Roman"/>
          <w:kern w:val="2"/>
          <w:sz w:val="32"/>
          <w:szCs w:val="32"/>
        </w:rPr>
        <w:t>（二）政府采购情况</w:t>
        <w:br/>
        <w:t>　</w:t>
      </w:r>
      <w:r>
        <w:rPr>
          <w:rFonts w:ascii="Times New Roman" w:cs="Times New Roman" w:hAnsi="Times New Roman"/>
          <w:color w:val="000000"/>
          <w:kern w:val="2"/>
          <w:sz w:val="32"/>
          <w:szCs w:val="32"/>
        </w:rPr>
        <w:t>　2022年安排政府采购预算</w:t>
      </w:r>
      <w:r>
        <w:rPr>
          <w:rFonts w:ascii="Times New Roman" w:cs="Times New Roman" w:hAnsi="Times New Roman"/>
          <w:color w:val="000000"/>
          <w:kern w:val="2"/>
          <w:sz w:val="32"/>
          <w:szCs w:val="32"/>
          <w:lang w:val="en-US" w:eastAsia="zh-CN"/>
        </w:rPr>
        <w:t>9.6</w:t>
      </w:r>
      <w:r>
        <w:rPr>
          <w:rFonts w:ascii="Times New Roman" w:cs="Times New Roman" w:hAnsi="Times New Roman"/>
          <w:color w:val="000000"/>
          <w:kern w:val="2"/>
          <w:sz w:val="32"/>
          <w:szCs w:val="32"/>
        </w:rPr>
        <w:t>万元，主要</w:t>
      </w:r>
      <w:r>
        <w:rPr>
          <w:rFonts w:ascii="Times New Roman" w:cs="Times New Roman" w:hAnsi="Times New Roman"/>
          <w:kern w:val="2"/>
          <w:sz w:val="32"/>
          <w:szCs w:val="32"/>
        </w:rPr>
        <w:t>用于</w:t>
      </w:r>
      <w:r>
        <w:rPr>
          <w:rFonts w:ascii="Times New Roman" w:cs="Times New Roman" w:hAnsi="Times New Roman" w:hint="eastAsia"/>
          <w:kern w:val="2"/>
          <w:sz w:val="32"/>
          <w:szCs w:val="32"/>
          <w:lang w:val="en-US" w:eastAsia="zh-CN"/>
        </w:rPr>
        <w:t>购置立式空调、复印机打印机扫描一体、消毒柜、人脸识别、体温测量仪一台12000元。</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（三）国有资产占有使用情况</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cs="Times New Roman" w:hAnsi="Times New Roman"/>
          <w:kern w:val="2"/>
          <w:sz w:val="32"/>
          <w:szCs w:val="32"/>
        </w:rPr>
        <w:t>截至2021年12月31日，我单位固定资产</w:t>
      </w:r>
      <w:r>
        <w:rPr>
          <w:rFonts w:ascii="Times New Roman" w:eastAsia="仿宋_GB2312" w:cs="Times New Roman" w:hAnsi="Times New Roman"/>
          <w:kern w:val="0"/>
          <w:sz w:val="32"/>
          <w:szCs w:val="32"/>
          <w:shd w:val="clear" w:color="auto" w:fill="FFFFFF"/>
        </w:rPr>
        <w:t>559.71</w:t>
      </w:r>
      <w:r>
        <w:rPr>
          <w:rFonts w:ascii="Times New Roman" w:cs="Times New Roman" w:hAnsi="Times New Roman"/>
          <w:kern w:val="2"/>
          <w:sz w:val="32"/>
          <w:szCs w:val="32"/>
        </w:rPr>
        <w:t>万元。</w:t>
      </w:r>
    </w:p>
    <w:p>
      <w:pPr>
        <w:pStyle w:val="18"/>
        <w:keepNext w:val="0"/>
        <w:keepLines w:val="0"/>
        <w:pageBreakBefore w:val="0"/>
        <w:widowControl w:val="0"/>
        <w:numPr>
          <w:ilvl w:val="0"/>
          <w:numId w:val="2"/>
        </w:numPr>
        <w:kinsoku/>
        <w:wordWrap/>
        <w:overflowPunct/>
        <w:topLinePunct w:val="0"/>
        <w:autoSpaceDN/>
        <w:bidi w:val="0"/>
        <w:adjustRightInd/>
        <w:snapToGrid/>
        <w:spacing w:before="0" w:line="360" w:lineRule="auto"/>
        <w:ind w:left="0" w:firstLineChars="200" w:firstLine="640"/>
        <w:textAlignment w:val="auto"/>
        <w:rPr>
          <w:rFonts w:ascii="Times New Roman" w:eastAsia="黑体" w:cs="Times New Roman" w:hAnsi="Times New Roman"/>
          <w:sz w:val="32"/>
          <w:szCs w:val="32"/>
        </w:rPr>
      </w:pPr>
      <w:r>
        <w:rPr>
          <w:rFonts w:ascii="Times New Roman" w:cs="Times New Roman" w:hAnsi="Times New Roman"/>
          <w:kern w:val="2"/>
          <w:sz w:val="32"/>
          <w:szCs w:val="32"/>
        </w:rPr>
        <w:t>绩效目标设置情况</w:t>
        <w:br/>
        <w:t>　　2022年通用项目和专用项目均按要求实行绩效目标管理，涉及一般公共预算当年拨款</w:t>
      </w:r>
      <w:r>
        <w:rPr>
          <w:rFonts w:ascii="Times New Roman" w:cs="Times New Roman" w:hAnsi="Times New Roman"/>
          <w:kern w:val="2"/>
          <w:sz w:val="32"/>
          <w:szCs w:val="32"/>
          <w:lang w:val="en-US" w:eastAsia="zh-CN"/>
        </w:rPr>
        <w:t>309.</w:t>
      </w:r>
      <w:r>
        <w:rPr>
          <w:rFonts w:ascii="Times New Roman" w:cs="Times New Roman" w:hAnsi="Times New Roman" w:hint="eastAsia"/>
          <w:kern w:val="2"/>
          <w:sz w:val="32"/>
          <w:szCs w:val="32"/>
          <w:lang w:val="en-US" w:eastAsia="zh-CN"/>
        </w:rPr>
        <w:t>4</w:t>
      </w:r>
      <w:r>
        <w:rPr>
          <w:rFonts w:ascii="Times New Roman" w:cs="Times New Roman" w:hAnsi="Times New Roman"/>
          <w:kern w:val="2"/>
          <w:sz w:val="32"/>
          <w:szCs w:val="32"/>
        </w:rPr>
        <w:t>万元。</w:t>
      </w:r>
    </w:p>
    <w:p>
      <w:pPr>
        <w:pStyle w:val="18"/>
        <w:keepNext w:val="0"/>
        <w:keepLines w:val="0"/>
        <w:pageBreakBefore w:val="0"/>
        <w:widowControl w:val="0"/>
        <w:kinsoku/>
        <w:wordWrap/>
        <w:overflowPunct/>
        <w:topLinePunct w:val="0"/>
        <w:autoSpaceDN/>
        <w:bidi w:val="0"/>
        <w:adjustRightInd/>
        <w:snapToGrid/>
        <w:spacing w:before="0" w:line="360" w:lineRule="auto"/>
        <w:ind w:firstLineChars="200" w:firstLine="640"/>
        <w:textAlignment w:val="auto"/>
        <w:rPr>
          <w:rFonts w:ascii="Times New Roman" w:cs="Times New Roman" w:hAnsi="Times New Roman"/>
          <w:kern w:val="2"/>
          <w:sz w:val="32"/>
          <w:szCs w:val="32"/>
        </w:rPr>
      </w:pPr>
      <w:r>
        <w:rPr>
          <w:rFonts w:ascii="Times New Roman" w:eastAsia="黑体" w:cs="Times New Roman" w:hAnsi="Times New Roman"/>
          <w:sz w:val="32"/>
          <w:szCs w:val="32"/>
        </w:rPr>
        <w:t xml:space="preserve">十、名称解释 </w:t>
      </w:r>
      <w:r>
        <w:rPr>
          <w:rFonts w:ascii="Times New Roman" w:cs="Times New Roman" w:hAnsi="Times New Roman"/>
          <w:sz w:val="32"/>
          <w:szCs w:val="32"/>
        </w:rPr>
        <w:br/>
      </w:r>
      <w:r>
        <w:rPr>
          <w:rFonts w:ascii="Times New Roman" w:eastAsia="宋体" w:cs="Times New Roman" w:hAnsi="Times New Roman"/>
          <w:sz w:val="16"/>
        </w:rPr>
        <w:t>　　</w:t>
      </w:r>
      <w:r>
        <w:rPr>
          <w:rFonts w:ascii="Times New Roman" w:eastAsia="宋体" w:cs="Times New Roman" w:hAnsi="Times New Roman"/>
          <w:sz w:val="16"/>
          <w:lang w:val="en-US" w:eastAsia="zh-CN"/>
        </w:rPr>
        <w:t xml:space="preserve">   </w:t>
      </w:r>
      <w:r>
        <w:rPr>
          <w:rFonts w:ascii="Times New Roman" w:cs="Times New Roman" w:hAnsi="Times New Roman"/>
          <w:kern w:val="2"/>
          <w:sz w:val="32"/>
          <w:szCs w:val="32"/>
        </w:rPr>
        <w:t>（一）财政拨款收入：指由财政拨款形成的部门收入。按现行管理制度，部门预算中反映的财政拨款仅包括一般公共预算拨款和政府性基金预算拨款。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autoSpaceDN/>
        <w:bidi w:val="0"/>
        <w:adjustRightInd/>
        <w:snapToGrid/>
        <w:ind w:firstLineChars="200" w:firstLine="640"/>
        <w:textAlignment w:val="auto"/>
        <w:rPr>
          <w:rFonts w:ascii="Times New Roman" w:eastAsia="仿宋_GB2312" w:cs="Times New Roman" w:hAnsi="Times New Roman"/>
          <w:sz w:val="32"/>
          <w:szCs w:val="32"/>
        </w:rPr>
      </w:pPr>
    </w:p>
    <w:sectPr>
      <w:footerReference w:type="default" r:id="rId3"/>
      <w:pgSz w:w="11906" w:h="16838"/>
      <w:pgMar w:top="1440" w:right="1800" w:bottom="1440" w:left="1800" w:header="851" w:footer="992" w:gutter="0"/>
      <w:pgNumType w:fmt="numberInDash" w:start="1"/>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黑体">
    <w:panose1 w:val="02010609060101010101"/>
    <w:charset w:val="86"/>
    <w:family w:val="auto"/>
    <w:pitch w:val="variable"/>
    <w:sig w:usb0="800002BF" w:usb1="38CF7CFA" w:usb2="00000016" w:usb3="00000000" w:csb0="00040001" w:csb1="00000000"/>
  </w:font>
  <w:font w:name="方正小标宋_GBK">
    <w:panose1 w:val="03000509000000000000"/>
    <w:charset w:val="86"/>
    <w:family w:val="auto"/>
    <w:pitch w:val="variable"/>
    <w:sig w:usb0="00000001" w:usb1="080E0000" w:usb2="00000000" w:usb3="00000000" w:csb0="00040000" w:csb1="00000000"/>
  </w:font>
  <w:font w:name="楷体_GB2312">
    <w:panose1 w:val="02010609030101010101"/>
    <w:charset w:val="86"/>
    <w:family w:val="auto"/>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modern"/>
    <w:pitch w:val="variable"/>
    <w:sig w:usb0="800002BF" w:usb1="38CF7CFA" w:usb2="00000016" w:usb3="00000000" w:csb0="00040001" w:csb1="00000000"/>
  </w:font>
  <w:font w:name="宋体">
    <w:panose1 w:val="02010600030101010101"/>
    <w:charset w:val="86"/>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pPr>
    <w:r>
      <w:rPr>
        <w:sz w:val="18"/>
      </w:rPr>
      <mc:AlternateContent>
        <mc:Choice Requires="wps">
          <w:drawing>
            <wp:anchor distT="0" distB="0" distL="114298" distR="114298" simplePos="0" relativeHeight="12" behindDoc="0" locked="0" layoutInCell="1" hidden="0" allowOverlap="1">
              <wp:simplePos x="0" y="0"/>
              <wp:positionH relativeFrom="margin">
                <wp:align>right</wp:align>
              </wp:positionH>
              <wp:positionV relativeFrom="paragraph">
                <wp:posOffset>0</wp:posOffset>
              </wp:positionV>
              <wp:extent cx="444500" cy="230251"/>
              <wp:effectExtent l="0" t="0" r="0" b="0"/>
              <wp:wrapNone/>
              <wp:docPr id="1" name="文本框 3"/>
              <wp:cNvGraphicFramePr>
                <a:graphicFrameLocks noChangeAspect="0"/>
              </wp:cNvGraphicFramePr>
              <a:graphic>
                <a:graphicData uri="http://schemas.microsoft.com/office/word/2010/wordprocessingShape">
                  <wps:wsp>
                    <wps:cNvSpPr/>
                    <wps:spPr>
                      <a:xfrm rot="0">
                        <a:off x="0" y="0"/>
                        <a:ext cx="444500" cy="230251"/>
                      </a:xfrm>
                      <a:prstGeom prst="rect"/>
                      <a:noFill/>
                      <a:ln w="9525" cmpd="sng" cap="flat">
                        <a:noFill/>
                        <a:prstDash val="solid"/>
                        <a:round/>
                      </a:ln>
                    </wps:spPr>
                    <wps:txbx id="2">
                      <w:txbxContent>
                        <w:p>
                          <w:pPr>
                            <w:pStyle w:val="15"/>
                            <w:tabs>
                              <w:tab w:val="center" w:pos="4153"/>
                              <w:tab w:val="right" w:pos="8306"/>
                            </w:tabs>
                            <w:rPr>
                              <w:rFonts w:ascii="仿宋_GB2312" w:eastAsia="仿宋_GB2312" w:cs="仿宋_GB2312" w:hint="eastAsia"/>
                              <w:sz w:val="28"/>
                              <w:szCs w:val="28"/>
                            </w:rPr>
                          </w:pP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  \* MERGEFORMAT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w:t>
                          </w:r>
                          <w:r>
                            <w:rPr>
                              <w:rFonts w:ascii="仿宋_GB2312" w:eastAsia="仿宋_GB2312" w:cs="仿宋_GB2312" w:hint="eastAsia"/>
                              <w:sz w:val="28"/>
                              <w:szCs w:val="28"/>
                            </w:rPr>
                            <w:fldChar w:fldCharType="end"/>
                          </w:r>
                        </w:p>
                      </w:txbxContent>
                    </wps:txbx>
                    <wps:bodyPr vert="horz" wrap="none" lIns="0" tIns="0" rIns="0" bIns="0" anchor="t" anchorCtr="0" upright="0">
                      <a:spAutoFit/>
                    </wps:bodyPr>
                  </wps:wsp>
                </a:graphicData>
              </a:graphic>
            </wp:anchor>
          </w:drawing>
        </mc:Choice>
        <mc:Fallback>
          <w:pict>
            <v:shape type="#_x0000_t202" id="文本框 3 3" o:spid="_x0000_s3" filled="f" stroked="f" style="position:absolute;margin-left:0.0pt;margin-top:0.0pt;width:35.00003pt;height:18.130003pt;z-index:12;mso-position-horizontal:right;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5"/>
                      <w:tabs>
                        <w:tab w:val="center" w:pos="4153"/>
                        <w:tab w:val="right" w:pos="8306"/>
                      </w:tabs>
                      <w:rPr>
                        <w:rFonts w:ascii="仿宋_GB2312" w:eastAsia="仿宋_GB2312" w:cs="仿宋_GB2312" w:hint="eastAsia"/>
                        <w:sz w:val="28"/>
                        <w:szCs w:val="28"/>
                      </w:rPr>
                    </w:pPr>
                    <w:r>
                      <w:rPr>
                        <w:rFonts w:ascii="仿宋_GB2312" w:eastAsia="仿宋_GB2312" w:cs="仿宋_GB2312" w:hint="eastAsia"/>
                        <w:sz w:val="28"/>
                        <w:szCs w:val="28"/>
                      </w:rPr>
                      <w:fldChar w:fldCharType="begin"/>
                    </w:r>
                    <w:r>
                      <w:rPr>
                        <w:rFonts w:ascii="仿宋_GB2312" w:eastAsia="仿宋_GB2312" w:cs="仿宋_GB2312" w:hint="eastAsia"/>
                        <w:sz w:val="28"/>
                        <w:szCs w:val="28"/>
                      </w:rPr>
                      <w:instrText xml:space="preserve"> PAGE  \* MERGEFORMAT </w:instrText>
                    </w:r>
                    <w:r>
                      <w:rPr>
                        <w:rFonts w:ascii="仿宋_GB2312" w:eastAsia="仿宋_GB2312" w:cs="仿宋_GB2312" w:hint="eastAsia"/>
                        <w:sz w:val="28"/>
                        <w:szCs w:val="28"/>
                      </w:rPr>
                      <w:fldChar w:fldCharType="separate"/>
                    </w:r>
                    <w:r>
                      <w:rPr>
                        <w:rFonts w:ascii="仿宋_GB2312" w:eastAsia="仿宋_GB2312" w:cs="仿宋_GB2312" w:hint="eastAsia"/>
                        <w:sz w:val="28"/>
                        <w:szCs w:val="28"/>
                      </w:rPr>
                      <w:t>1</w:t>
                    </w:r>
                    <w:r>
                      <w:rPr>
                        <w:rFonts w:ascii="仿宋_GB2312" w:eastAsia="仿宋_GB2312" w:cs="仿宋_GB2312" w:hint="eastAsia"/>
                        <w:sz w:val="28"/>
                        <w:szCs w:val="28"/>
                      </w:rPr>
                      <w:fldChar w:fldCharType="end"/>
                    </w:r>
                  </w:p>
                </w:txbxContent>
              </v:textbox>
            </v:shape>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DE4796"/>
    <w:multiLevelType w:val="singleLevel"/>
    <w:tmpl w:val="AADE4796"/>
    <w:lvl w:ilvl="0">
      <w:start w:val="1"/>
      <w:numFmt w:val="chineseCounting"/>
      <w:lvlRestart w:val="0"/>
      <w:suff w:val="nothing"/>
      <w:lvlText w:val="（%1）"/>
      <w:lvlJc w:val="left"/>
      <w:pPr>
        <w:ind w:left="0" w:hanging="0"/>
      </w:pPr>
      <w:rPr>
        <w:rFonts w:hint="eastAsia"/>
      </w:rPr>
    </w:lvl>
  </w:abstractNum>
  <w:abstractNum w:abstractNumId="1">
    <w:nsid w:val="A474ADD0"/>
    <w:multiLevelType w:val="singleLevel"/>
    <w:tmpl w:val="A474ADD0"/>
    <w:lvl w:ilvl="0">
      <w:start w:val="4"/>
      <w:numFmt w:val="chineseCounting"/>
      <w:lvlRestart w:val="0"/>
      <w:suff w:val="nothing"/>
      <w:lvlText w:val="（%1）"/>
      <w:lvlJc w:val="left"/>
      <w:pPr>
        <w:ind w:left="0" w:hanging="0"/>
      </w:pPr>
      <w:rPr>
        <w:rFonts w:ascii="仿宋_GB2312" w:hAnsi="仿宋_GB2312" w:eastAsia="仿宋_GB2312" w:cs="仿宋_GB2312"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character" w:customStyle="1" w:styleId="19">
    <w:name w:val="font11"/>
    <w:basedOn w:val="10"/>
    <w:rPr>
      <w:rFonts w:ascii="宋体" w:eastAsia="宋体" w:cs="宋体"/>
      <w:color w:val="000000"/>
      <w:sz w:val="22"/>
      <w:szCs w:val="22"/>
      <w:u w:val="none"/>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Yozo_Office27021597764231179</Application>
  <Pages>9</Pages>
  <Words>2934</Words>
  <Characters>4229</Characters>
  <Lines>180</Lines>
  <Paragraphs>61</Paragraphs>
  <CharactersWithSpaces>4298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cp:revision>
  <cp:lastPrinted>2022-01-28T07:33:43Z</cp:lastPrinted>
  <dcterms:created xsi:type="dcterms:W3CDTF">2022-01-12T08:31:00Z</dcterms:created>
  <dcterms:modified xsi:type="dcterms:W3CDTF">2022-01-28T08:35:16Z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2052-11.1.0.11294</vt:lpwstr>
  </property>
  <property fmtid="{D5CDD505-2E9C-101B-9397-08002B2CF9AE}" pid="3" name="ICV">
    <vt:lpwstr>0C318E3C94584960B55A9535B928632D</vt:lpwstr>
  </property>
</Properties>
</file>