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阿坝州人民政府办公室</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60" w:firstLineChars="100"/>
        <w:jc w:val="center"/>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已经保密审查、内容审定，同意对外公开。报表及报告中已扣减涉密资金。</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8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 w:eastAsia="楷体"/>
          <w:sz w:val="32"/>
          <w:szCs w:val="32"/>
          <w:lang w:eastAsia="zh-CN"/>
        </w:rPr>
      </w:pPr>
      <w:r>
        <w:rPr>
          <w:rFonts w:hint="eastAsia" w:ascii="楷体" w:eastAsia="楷体"/>
          <w:sz w:val="32"/>
          <w:szCs w:val="32"/>
        </w:rPr>
        <w:t>（一）一般公共预算当年拨款规模变化情况</w:t>
      </w:r>
    </w:p>
    <w:p>
      <w:pPr>
        <w:rPr>
          <w:rFonts w:hint="eastAsia" w:ascii="楷体" w:eastAsia="楷体"/>
          <w:sz w:val="32"/>
          <w:szCs w:val="32"/>
          <w:lang w:eastAsia="zh-CN"/>
        </w:rPr>
      </w:pPr>
      <w:r>
        <w:rPr>
          <w:rFonts w:hint="eastAsia" w:ascii="楷体" w:eastAsia="楷体"/>
          <w:sz w:val="32"/>
          <w:szCs w:val="32"/>
        </w:rPr>
        <w:t>（二）一般公共预算当年拨款结构情况</w:t>
      </w:r>
    </w:p>
    <w:p>
      <w:pPr>
        <w:rPr>
          <w:rFonts w:hint="eastAsia" w:ascii="楷体" w:eastAsia="楷体"/>
          <w:sz w:val="32"/>
          <w:szCs w:val="32"/>
          <w:lang w:eastAsia="zh-CN"/>
        </w:rPr>
      </w:pPr>
      <w:r>
        <w:rPr>
          <w:rFonts w:hint="eastAsia" w:ascii="楷体" w:eastAsia="楷体"/>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82"/>
        <w:rPr>
          <w:rFonts w:ascii="黑体" w:eastAsia="黑体"/>
          <w:sz w:val="32"/>
          <w:szCs w:val="32"/>
        </w:rPr>
      </w:pPr>
      <w:r>
        <w:rPr>
          <w:rFonts w:hint="eastAsia" w:ascii="黑体" w:eastAsia="黑体"/>
          <w:sz w:val="32"/>
          <w:szCs w:val="32"/>
        </w:rPr>
        <w:t>一、基本职能及主要工作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rPr>
          <w:rFonts w:hint="eastAsia" w:ascii="仿宋_GB2312" w:eastAsia="仿宋_GB2312" w:cs="Arial"/>
          <w:color w:val="000000"/>
          <w:sz w:val="32"/>
          <w:szCs w:val="32"/>
          <w:lang w:eastAsia="zh-CN" w:bidi="ar-SA"/>
        </w:rPr>
      </w:pP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w:t>
      </w:r>
      <w:r>
        <w:rPr>
          <w:rFonts w:hint="eastAsia" w:ascii="仿宋_GB2312" w:eastAsia="仿宋_GB2312"/>
          <w:sz w:val="32"/>
          <w:szCs w:val="32"/>
          <w:lang w:eastAsia="zh-CN"/>
        </w:rPr>
        <w:t>；</w:t>
      </w:r>
      <w:r>
        <w:rPr>
          <w:rFonts w:hint="eastAsia" w:ascii="仿宋_GB2312" w:eastAsia="仿宋_GB2312"/>
          <w:color w:val="000000"/>
          <w:sz w:val="32"/>
          <w:szCs w:val="32"/>
        </w:rPr>
        <w:t>组织办理涉及州政府工作的人大代表议案、批评、建议和政协委员建议案、提案工作；</w:t>
      </w:r>
      <w:r>
        <w:rPr>
          <w:rFonts w:hint="eastAsia" w:ascii="仿宋_GB2312" w:eastAsia="仿宋_GB2312"/>
          <w:color w:val="000000"/>
          <w:sz w:val="32"/>
          <w:szCs w:val="32"/>
          <w:lang w:val="en-US" w:eastAsia="zh-CN"/>
        </w:rPr>
        <w:t>指导全州应急管理工作，协助州政府领导同志做好需由州政府组织处理的突发事件的应急处置工作；</w:t>
      </w:r>
      <w:r>
        <w:rPr>
          <w:rFonts w:hint="eastAsia" w:ascii="仿宋_GB2312" w:eastAsia="仿宋_GB2312"/>
          <w:color w:val="000000"/>
          <w:sz w:val="32"/>
          <w:szCs w:val="32"/>
        </w:rPr>
        <w:t>围绕州政府中心工作和州政府领导同志指示，组织专题调查研究，及时反映情况，提出政策性建议</w:t>
      </w:r>
      <w:r>
        <w:rPr>
          <w:rFonts w:hint="eastAsia" w:ascii="仿宋_GB2312" w:eastAsia="仿宋_GB2312"/>
          <w:color w:val="000000"/>
          <w:sz w:val="32"/>
          <w:szCs w:val="32"/>
          <w:lang w:eastAsia="zh-CN"/>
        </w:rPr>
        <w:t>；</w:t>
      </w:r>
      <w:r>
        <w:rPr>
          <w:rFonts w:hint="eastAsia" w:ascii="仿宋_GB2312" w:eastAsia="仿宋_GB2312"/>
          <w:color w:val="000000"/>
          <w:sz w:val="32"/>
          <w:szCs w:val="32"/>
        </w:rPr>
        <w:t>做好机关事务</w:t>
      </w:r>
      <w:r>
        <w:rPr>
          <w:rFonts w:hint="eastAsia" w:ascii="仿宋_GB2312" w:eastAsia="仿宋_GB2312" w:cs="Arial"/>
          <w:color w:val="000000"/>
          <w:sz w:val="32"/>
          <w:szCs w:val="32"/>
          <w:lang w:bidi="ar-SA"/>
        </w:rPr>
        <w:t>工作，为州政府领导同志服好务</w:t>
      </w:r>
      <w:r>
        <w:rPr>
          <w:rFonts w:hint="eastAsia" w:ascii="仿宋_GB2312" w:eastAsia="仿宋_GB2312" w:cs="Arial"/>
          <w:color w:val="000000"/>
          <w:sz w:val="32"/>
          <w:szCs w:val="32"/>
          <w:lang w:eastAsia="zh-CN" w:bidi="ar-SA"/>
        </w:rPr>
        <w:t>；</w:t>
      </w:r>
      <w:r>
        <w:rPr>
          <w:rFonts w:hint="eastAsia" w:ascii="仿宋_GB2312" w:eastAsia="仿宋_GB2312" w:cs="Arial"/>
          <w:color w:val="000000"/>
          <w:sz w:val="32"/>
          <w:szCs w:val="32"/>
          <w:lang w:bidi="ar-SA"/>
        </w:rPr>
        <w:t>承办州政府和州政府领导交办的其他事项</w:t>
      </w:r>
      <w:r>
        <w:rPr>
          <w:rFonts w:hint="eastAsia" w:ascii="仿宋_GB2312" w:eastAsia="仿宋_GB2312" w:cs="Arial"/>
          <w:color w:val="000000"/>
          <w:sz w:val="32"/>
          <w:szCs w:val="32"/>
          <w:lang w:eastAsia="zh-CN" w:bidi="ar-SA"/>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年重点工作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一</w:t>
      </w:r>
      <w:r>
        <w:rPr>
          <w:rFonts w:hint="eastAsia" w:ascii="仿宋_GB2312" w:eastAsia="仿宋_GB2312"/>
          <w:color w:val="auto"/>
          <w:sz w:val="32"/>
          <w:szCs w:val="32"/>
        </w:rPr>
        <w:t>是服务大局谋发展。坚持稳中求进工作总基调，紧紧围绕中央和省委、州经济工作会议部署，深入调查研究，建良言、出实招，创新推动出台稳增长的政策激励措施，实现经济质的稳步提升和量的合理增长。</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二</w:t>
      </w:r>
      <w:r>
        <w:rPr>
          <w:rFonts w:hint="eastAsia" w:ascii="仿宋_GB2312" w:eastAsia="仿宋_GB2312"/>
          <w:color w:val="auto"/>
          <w:sz w:val="32"/>
          <w:szCs w:val="32"/>
        </w:rPr>
        <w:t>是沟通协调畅政令。</w:t>
      </w:r>
      <w:r>
        <w:rPr>
          <w:rFonts w:hint="eastAsia" w:ascii="仿宋_GB2312" w:eastAsia="仿宋_GB2312"/>
          <w:color w:val="auto"/>
          <w:sz w:val="32"/>
          <w:szCs w:val="32"/>
          <w:lang w:eastAsia="zh-CN"/>
        </w:rPr>
        <w:t>切实履行</w:t>
      </w:r>
      <w:r>
        <w:rPr>
          <w:rFonts w:hint="eastAsia" w:ascii="仿宋_GB2312" w:eastAsia="仿宋_GB2312"/>
          <w:color w:val="auto"/>
          <w:sz w:val="32"/>
          <w:szCs w:val="32"/>
        </w:rPr>
        <w:t>左右联系、上下沟通、居中协调的工作职能，推动政府各项政策（项目）的贯彻落实</w:t>
      </w:r>
      <w:r>
        <w:rPr>
          <w:rFonts w:hint="eastAsia" w:ascii="仿宋_GB2312" w:eastAsia="仿宋_GB2312"/>
          <w:color w:val="auto"/>
          <w:sz w:val="32"/>
          <w:szCs w:val="32"/>
          <w:lang w:eastAsia="zh-CN"/>
        </w:rPr>
        <w:t>。</w:t>
      </w:r>
      <w:r>
        <w:rPr>
          <w:rFonts w:hint="eastAsia" w:ascii="仿宋_GB2312" w:eastAsia="仿宋_GB2312"/>
          <w:color w:val="auto"/>
          <w:sz w:val="32"/>
          <w:szCs w:val="32"/>
        </w:rPr>
        <w:t>强化对各项政务工作必要性、政策性、指导性和合法性的审核，牢牢把住</w:t>
      </w:r>
      <w:r>
        <w:rPr>
          <w:rFonts w:hint="eastAsia" w:ascii="仿宋_GB2312" w:eastAsia="仿宋_GB2312"/>
          <w:color w:val="auto"/>
          <w:sz w:val="32"/>
          <w:szCs w:val="32"/>
          <w:lang w:eastAsia="zh-CN"/>
        </w:rPr>
        <w:t>各类文件</w:t>
      </w:r>
      <w:r>
        <w:rPr>
          <w:rFonts w:hint="eastAsia" w:ascii="仿宋_GB2312" w:eastAsia="仿宋_GB2312"/>
          <w:color w:val="auto"/>
          <w:sz w:val="32"/>
          <w:szCs w:val="32"/>
        </w:rPr>
        <w:t>进出关口。</w:t>
      </w:r>
      <w:r>
        <w:rPr>
          <w:rFonts w:hint="eastAsia" w:ascii="仿宋_GB2312" w:eastAsia="仿宋_GB2312"/>
          <w:color w:val="auto"/>
          <w:sz w:val="32"/>
          <w:szCs w:val="32"/>
          <w:lang w:eastAsia="zh-CN"/>
        </w:rPr>
        <w:t>认真</w:t>
      </w:r>
      <w:r>
        <w:rPr>
          <w:rFonts w:hint="eastAsia" w:ascii="仿宋_GB2312" w:eastAsia="仿宋_GB2312"/>
          <w:color w:val="auto"/>
          <w:sz w:val="32"/>
          <w:szCs w:val="32"/>
        </w:rPr>
        <w:t>筹办州政府全体会议、州政府常务会议</w:t>
      </w:r>
      <w:r>
        <w:rPr>
          <w:rFonts w:hint="eastAsia" w:ascii="仿宋_GB2312" w:eastAsia="仿宋_GB2312"/>
          <w:color w:val="auto"/>
          <w:sz w:val="32"/>
          <w:szCs w:val="32"/>
          <w:lang w:eastAsia="zh-CN"/>
        </w:rPr>
        <w:t>等专题会议</w:t>
      </w:r>
      <w:r>
        <w:rPr>
          <w:rFonts w:hint="eastAsia" w:ascii="仿宋_GB2312" w:eastAsia="仿宋_GB2312"/>
          <w:color w:val="auto"/>
          <w:sz w:val="32"/>
          <w:szCs w:val="32"/>
        </w:rPr>
        <w:t>，指导</w:t>
      </w:r>
      <w:r>
        <w:rPr>
          <w:rFonts w:hint="eastAsia" w:ascii="仿宋_GB2312" w:eastAsia="仿宋_GB2312"/>
          <w:color w:val="auto"/>
          <w:sz w:val="32"/>
          <w:szCs w:val="32"/>
          <w:lang w:eastAsia="zh-CN"/>
        </w:rPr>
        <w:t>各级各</w:t>
      </w:r>
      <w:r>
        <w:rPr>
          <w:rFonts w:hint="eastAsia" w:ascii="仿宋_GB2312" w:eastAsia="仿宋_GB2312"/>
          <w:color w:val="auto"/>
          <w:sz w:val="32"/>
          <w:szCs w:val="32"/>
        </w:rPr>
        <w:t>部门做好</w:t>
      </w:r>
      <w:r>
        <w:rPr>
          <w:rFonts w:hint="eastAsia" w:ascii="仿宋_GB2312" w:eastAsia="仿宋_GB2312"/>
          <w:color w:val="auto"/>
          <w:sz w:val="32"/>
          <w:szCs w:val="32"/>
          <w:lang w:eastAsia="zh-CN"/>
        </w:rPr>
        <w:t>相关</w:t>
      </w:r>
      <w:r>
        <w:rPr>
          <w:rFonts w:hint="eastAsia" w:ascii="仿宋_GB2312" w:eastAsia="仿宋_GB2312"/>
          <w:color w:val="auto"/>
          <w:sz w:val="32"/>
          <w:szCs w:val="32"/>
        </w:rPr>
        <w:t>专题会议。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三是聚焦重点抓落实。</w:t>
      </w:r>
      <w:r>
        <w:rPr>
          <w:rFonts w:hint="eastAsia" w:ascii="仿宋_GB2312" w:eastAsia="仿宋_GB2312"/>
          <w:sz w:val="32"/>
          <w:szCs w:val="32"/>
        </w:rPr>
        <w:t>紧密围绕州委州政府年度重点任务，以“督落实、促提升、解民忧”为目标，持续完善“事前有清单、事中有跟踪、事后有评估”的工作体系，并创新运用多元化督查方式，为全州高质量发展提供有力支撑。</w:t>
      </w:r>
    </w:p>
    <w:p>
      <w:pPr>
        <w:keepNext w:val="0"/>
        <w:keepLines w:val="0"/>
        <w:pageBreakBefore w:val="0"/>
        <w:widowControl w:val="0"/>
        <w:kinsoku/>
        <w:wordWrap/>
        <w:overflowPunct/>
        <w:topLinePunct w:val="0"/>
        <w:autoSpaceDE/>
        <w:autoSpaceDN/>
        <w:adjustRightInd/>
        <w:snapToGrid/>
        <w:spacing w:line="540" w:lineRule="exact"/>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四是规范管理强基础。稳步推进数字政府建设工作，持续深化“放管服”改革，优化政务服务，全面提升政府效能。认真落实</w:t>
      </w:r>
      <w:r>
        <w:rPr>
          <w:rFonts w:hint="eastAsia" w:ascii="仿宋_GB2312" w:eastAsia="仿宋_GB2312"/>
          <w:color w:val="auto"/>
          <w:sz w:val="32"/>
          <w:szCs w:val="32"/>
          <w:lang w:eastAsia="zh-CN"/>
        </w:rPr>
        <w:t>为基层减负工作</w:t>
      </w:r>
      <w:r>
        <w:rPr>
          <w:rFonts w:hint="eastAsia" w:ascii="仿宋_GB2312" w:eastAsia="仿宋_GB2312"/>
          <w:color w:val="auto"/>
          <w:sz w:val="32"/>
          <w:szCs w:val="32"/>
        </w:rPr>
        <w:t>要求，</w:t>
      </w:r>
      <w:r>
        <w:rPr>
          <w:rFonts w:hint="eastAsia" w:ascii="仿宋_GB2312" w:eastAsia="仿宋_GB2312"/>
          <w:color w:val="auto"/>
          <w:sz w:val="32"/>
          <w:szCs w:val="32"/>
          <w:lang w:eastAsia="zh-CN"/>
        </w:rPr>
        <w:t>狠</w:t>
      </w:r>
      <w:r>
        <w:rPr>
          <w:rFonts w:hint="eastAsia" w:ascii="仿宋_GB2312" w:eastAsia="仿宋_GB2312"/>
          <w:color w:val="auto"/>
          <w:sz w:val="32"/>
          <w:szCs w:val="32"/>
        </w:rPr>
        <w:t>抓文电规范运转。严格落实值班值守、安全保密等各项规定，坚决</w:t>
      </w:r>
      <w:r>
        <w:rPr>
          <w:rFonts w:hint="eastAsia" w:ascii="仿宋_GB2312" w:eastAsia="仿宋_GB2312"/>
          <w:color w:val="auto"/>
          <w:sz w:val="32"/>
          <w:szCs w:val="32"/>
          <w:lang w:eastAsia="zh-CN"/>
        </w:rPr>
        <w:t>筑牢</w:t>
      </w:r>
      <w:r>
        <w:rPr>
          <w:rFonts w:hint="eastAsia" w:ascii="仿宋_GB2312" w:eastAsia="仿宋_GB2312"/>
          <w:color w:val="auto"/>
          <w:sz w:val="32"/>
          <w:szCs w:val="32"/>
        </w:rPr>
        <w:t>机关安全底线。</w:t>
      </w:r>
    </w:p>
    <w:p>
      <w:pPr>
        <w:keepNext w:val="0"/>
        <w:keepLines w:val="0"/>
        <w:pageBreakBefore w:val="0"/>
        <w:widowControl w:val="0"/>
        <w:kinsoku/>
        <w:wordWrap/>
        <w:overflowPunct/>
        <w:topLinePunct w:val="0"/>
        <w:autoSpaceDE/>
        <w:autoSpaceDN/>
        <w:adjustRightInd/>
        <w:snapToGrid/>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五</w:t>
      </w:r>
      <w:r>
        <w:rPr>
          <w:rFonts w:hint="eastAsia" w:ascii="仿宋_GB2312" w:eastAsia="仿宋_GB2312"/>
          <w:color w:val="auto"/>
          <w:sz w:val="32"/>
          <w:szCs w:val="32"/>
        </w:rPr>
        <w:t>是强化政府政务公开。坚持围绕社会关注、群众关心的热点难点问题，做实做细政府信息公开工作。在已开设的专栏，包括重点公开深化改革、促进经济发展、民生改善、助力政府建设等重点领域，不断推进决策、执行、管理、服务、结果公开。全面系统反映全州经济社会发展、民生改善中的重大工程建设情况、重要问题解决情况和重要社情民意。</w:t>
      </w:r>
    </w:p>
    <w:p>
      <w:pPr>
        <w:keepNext w:val="0"/>
        <w:keepLines w:val="0"/>
        <w:pageBreakBefore w:val="0"/>
        <w:widowControl w:val="0"/>
        <w:kinsoku/>
        <w:wordWrap/>
        <w:overflowPunct/>
        <w:topLinePunct w:val="0"/>
        <w:autoSpaceDE/>
        <w:autoSpaceDN/>
        <w:adjustRightInd/>
        <w:snapToGrid/>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六</w:t>
      </w:r>
      <w:r>
        <w:rPr>
          <w:rFonts w:hint="eastAsia" w:ascii="仿宋_GB2312" w:eastAsia="仿宋_GB2312"/>
          <w:color w:val="auto"/>
          <w:sz w:val="32"/>
          <w:szCs w:val="32"/>
        </w:rPr>
        <w:t>是加强机关后勤保障。严格执行八项规定和中央、省州关于厉行节约的相关规定，通过预算执行，增强财务和经费管理精细程度，确保“三公经费”科学合理增减。全面落实节约措施，认真开展各项节能创建和减耗降排工作，提倡并组织开展绿色办公和环境卫生整治，引导全机关节能低碳行为。</w:t>
      </w:r>
    </w:p>
    <w:p>
      <w:pPr>
        <w:pStyle w:val="182"/>
        <w:numPr>
          <w:ilvl w:val="0"/>
          <w:numId w:val="1"/>
        </w:numPr>
        <w:ind w:firstLineChars="0"/>
        <w:rPr>
          <w:rFonts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eastAsia="黑体"/>
          <w:color w:val="000000"/>
          <w:sz w:val="32"/>
          <w:szCs w:val="32"/>
        </w:rPr>
      </w:pPr>
      <w:r>
        <w:rPr>
          <w:rFonts w:hint="eastAsia" w:ascii="仿宋_GB2312" w:eastAsia="仿宋_GB2312"/>
          <w:color w:val="000000"/>
          <w:sz w:val="32"/>
          <w:szCs w:val="32"/>
        </w:rPr>
        <w:t>州政府办公室是</w:t>
      </w:r>
      <w:r>
        <w:rPr>
          <w:rFonts w:hint="eastAsia" w:ascii="仿宋_GB2312" w:eastAsia="仿宋_GB2312"/>
          <w:color w:val="000000"/>
          <w:sz w:val="32"/>
          <w:szCs w:val="32"/>
          <w:lang w:eastAsia="zh-CN"/>
        </w:rPr>
        <w:t>州</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统一核算机构1个，独立编制机构</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个。按照</w:t>
      </w:r>
      <w:r>
        <w:rPr>
          <w:rFonts w:hint="eastAsia" w:ascii="仿宋_GB2312" w:eastAsia="仿宋_GB2312"/>
          <w:color w:val="000000"/>
          <w:sz w:val="32"/>
          <w:szCs w:val="32"/>
          <w:lang w:val="en-US" w:eastAsia="zh-CN"/>
        </w:rPr>
        <w:t>相关会计制度规定</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本单位适用《政府会计制度》</w:t>
      </w:r>
      <w:r>
        <w:rPr>
          <w:rFonts w:hint="eastAsia" w:ascii="仿宋_GB2312" w:eastAsia="仿宋_GB2312"/>
          <w:color w:val="000000"/>
          <w:sz w:val="32"/>
          <w:szCs w:val="32"/>
        </w:rPr>
        <w:t>。</w:t>
      </w:r>
    </w:p>
    <w:p>
      <w:pPr>
        <w:pStyle w:val="182"/>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pPr>
        <w:pStyle w:val="182"/>
        <w:numPr>
          <w:ilvl w:val="0"/>
          <w:numId w:val="0"/>
        </w:numPr>
        <w:ind w:leftChars="0" w:firstLine="640" w:firstLineChars="200"/>
        <w:rPr>
          <w:rFonts w:ascii="黑体" w:eastAsia="黑体"/>
          <w:sz w:val="32"/>
          <w:szCs w:val="32"/>
        </w:rPr>
      </w:pPr>
      <w:r>
        <w:rPr>
          <w:rFonts w:hint="eastAsia" w:ascii="仿宋_GB2312" w:eastAsia="仿宋_GB2312" w:cs="仿宋_GB2312"/>
          <w:sz w:val="32"/>
          <w:szCs w:val="32"/>
          <w:lang w:val="en-US" w:eastAsia="zh-CN"/>
        </w:rPr>
        <w:t>我单位</w:t>
      </w:r>
      <w:r>
        <w:rPr>
          <w:rFonts w:hint="eastAsia" w:ascii="仿宋_GB2312" w:eastAsia="仿宋_GB2312" w:cs="仿宋_GB2312"/>
          <w:sz w:val="32"/>
          <w:szCs w:val="32"/>
          <w:lang w:eastAsia="zh-CN"/>
        </w:rPr>
        <w:t>坚持</w:t>
      </w:r>
      <w:r>
        <w:rPr>
          <w:rFonts w:hint="eastAsia" w:ascii="仿宋_GB2312" w:eastAsia="仿宋_GB2312" w:cs="仿宋_GB2312"/>
          <w:sz w:val="32"/>
          <w:szCs w:val="32"/>
          <w:lang w:val="en-US" w:eastAsia="zh-CN"/>
        </w:rPr>
        <w:t>零基</w:t>
      </w:r>
      <w:r>
        <w:rPr>
          <w:rFonts w:hint="eastAsia" w:ascii="仿宋_GB2312" w:eastAsia="仿宋_GB2312" w:cs="仿宋_GB2312"/>
          <w:sz w:val="32"/>
          <w:szCs w:val="32"/>
        </w:rPr>
        <w:t>预算的原则，州政府办</w:t>
      </w:r>
      <w:r>
        <w:rPr>
          <w:rFonts w:hint="eastAsia" w:ascii="仿宋_GB2312" w:eastAsia="仿宋_GB2312" w:cs="仿宋_GB2312"/>
          <w:sz w:val="32"/>
          <w:szCs w:val="32"/>
          <w:lang w:eastAsia="zh-CN"/>
        </w:rPr>
        <w:t>公室</w:t>
      </w:r>
      <w:r>
        <w:rPr>
          <w:rFonts w:hint="eastAsia" w:ascii="仿宋_GB2312" w:eastAsia="仿宋_GB2312" w:cs="仿宋_GB2312"/>
          <w:sz w:val="32"/>
          <w:szCs w:val="32"/>
        </w:rPr>
        <w:t>所有收入和支出均纳入部门预算管理。</w:t>
      </w:r>
    </w:p>
    <w:p>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pPr>
        <w:pStyle w:val="182"/>
        <w:numPr>
          <w:ilvl w:val="0"/>
          <w:numId w:val="0"/>
        </w:numPr>
        <w:ind w:leftChars="0" w:firstLine="640" w:firstLineChars="200"/>
        <w:rPr>
          <w:rFonts w:hint="eastAsia" w:ascii="仿宋_GB2312"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州政府办公室2026年收入预算3,589.56万元，其中：一般公共预算拨款收入3,589.56万元，占100%。</w:t>
      </w:r>
    </w:p>
    <w:p>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pPr>
        <w:numPr>
          <w:ilvl w:val="0"/>
          <w:numId w:val="0"/>
        </w:numPr>
        <w:ind w:firstLine="640" w:firstLineChars="200"/>
        <w:jc w:val="left"/>
        <w:rPr>
          <w:rFonts w:hint="eastAsia" w:ascii="楷体" w:hAnsi="楷体" w:eastAsia="楷体" w:cs="仿宋_GB2312"/>
          <w:color w:val="FF0000"/>
          <w:sz w:val="32"/>
          <w:szCs w:val="32"/>
        </w:rPr>
      </w:pPr>
      <w:r>
        <w:rPr>
          <w:rFonts w:hint="eastAsia" w:ascii="仿宋_GB2312" w:hAnsi="Calibri" w:eastAsia="仿宋_GB2312" w:cs="仿宋_GB2312"/>
          <w:b w:val="0"/>
          <w:bCs w:val="0"/>
          <w:color w:val="auto"/>
          <w:kern w:val="2"/>
          <w:sz w:val="32"/>
          <w:szCs w:val="32"/>
          <w:lang w:val="en-US" w:eastAsia="zh-CN" w:bidi="ar-SA"/>
        </w:rPr>
        <w:t>州政府办公室202</w:t>
      </w:r>
      <w:r>
        <w:rPr>
          <w:rFonts w:hint="eastAsia" w:ascii="仿宋_GB2312" w:eastAsia="仿宋_GB2312" w:cs="仿宋_GB2312"/>
          <w:b w:val="0"/>
          <w:bCs w:val="0"/>
          <w:color w:val="auto"/>
          <w:kern w:val="2"/>
          <w:sz w:val="32"/>
          <w:szCs w:val="32"/>
          <w:lang w:val="en-US" w:eastAsia="zh-CN" w:bidi="ar-SA"/>
        </w:rPr>
        <w:t>6</w:t>
      </w:r>
      <w:r>
        <w:rPr>
          <w:rFonts w:hint="eastAsia" w:ascii="仿宋_GB2312" w:hAnsi="Calibri" w:eastAsia="仿宋_GB2312" w:cs="仿宋_GB2312"/>
          <w:b w:val="0"/>
          <w:bCs w:val="0"/>
          <w:color w:val="auto"/>
          <w:kern w:val="2"/>
          <w:sz w:val="32"/>
          <w:szCs w:val="32"/>
          <w:lang w:val="en-US" w:eastAsia="zh-CN" w:bidi="ar-SA"/>
        </w:rPr>
        <w:t>年支出预算</w:t>
      </w:r>
      <w:r>
        <w:rPr>
          <w:rFonts w:hint="eastAsia" w:ascii="仿宋_GB2312" w:eastAsia="仿宋_GB2312" w:cs="仿宋_GB2312"/>
          <w:b w:val="0"/>
          <w:bCs w:val="0"/>
          <w:color w:val="auto"/>
          <w:sz w:val="32"/>
          <w:szCs w:val="32"/>
          <w:lang w:val="en-US" w:eastAsia="zh-CN"/>
        </w:rPr>
        <w:t>3,589.56</w:t>
      </w:r>
      <w:r>
        <w:rPr>
          <w:rFonts w:hint="eastAsia" w:ascii="仿宋_GB2312" w:hAnsi="Calibri" w:eastAsia="仿宋_GB2312" w:cs="仿宋_GB2312"/>
          <w:b w:val="0"/>
          <w:bCs w:val="0"/>
          <w:color w:val="auto"/>
          <w:kern w:val="2"/>
          <w:sz w:val="32"/>
          <w:szCs w:val="32"/>
          <w:lang w:val="en-US" w:eastAsia="zh-CN" w:bidi="ar-SA"/>
        </w:rPr>
        <w:t>万元，其中：一般公共服务支出</w:t>
      </w:r>
      <w:r>
        <w:rPr>
          <w:rFonts w:hint="eastAsia" w:ascii="仿宋_GB2312" w:eastAsia="仿宋_GB2312" w:cs="仿宋_GB2312"/>
          <w:b w:val="0"/>
          <w:bCs w:val="0"/>
          <w:color w:val="auto"/>
          <w:kern w:val="2"/>
          <w:sz w:val="32"/>
          <w:szCs w:val="32"/>
          <w:lang w:val="en-US" w:eastAsia="zh-CN" w:bidi="ar-SA"/>
        </w:rPr>
        <w:t>3,006.69</w:t>
      </w:r>
      <w:r>
        <w:rPr>
          <w:rFonts w:hint="eastAsia" w:ascii="仿宋_GB2312" w:hAnsi="Calibri" w:eastAsia="仿宋_GB2312" w:cs="仿宋_GB2312"/>
          <w:b w:val="0"/>
          <w:bCs w:val="0"/>
          <w:color w:val="auto"/>
          <w:kern w:val="2"/>
          <w:sz w:val="32"/>
          <w:szCs w:val="32"/>
          <w:lang w:val="en-US" w:eastAsia="zh-CN" w:bidi="ar-SA"/>
        </w:rPr>
        <w:t>万元，占比</w:t>
      </w:r>
      <w:r>
        <w:rPr>
          <w:rFonts w:hint="eastAsia" w:ascii="仿宋_GB2312" w:eastAsia="仿宋_GB2312" w:cs="仿宋_GB2312"/>
          <w:b w:val="0"/>
          <w:bCs w:val="0"/>
          <w:color w:val="auto"/>
          <w:kern w:val="2"/>
          <w:sz w:val="32"/>
          <w:szCs w:val="32"/>
          <w:lang w:val="en-US" w:eastAsia="zh-CN" w:bidi="ar-SA"/>
        </w:rPr>
        <w:t>83.76</w:t>
      </w:r>
      <w:r>
        <w:rPr>
          <w:rFonts w:hint="eastAsia" w:ascii="仿宋_GB2312" w:hAnsi="Calibri" w:eastAsia="仿宋_GB2312" w:cs="仿宋_GB2312"/>
          <w:b w:val="0"/>
          <w:bCs w:val="0"/>
          <w:color w:val="auto"/>
          <w:kern w:val="2"/>
          <w:sz w:val="32"/>
          <w:szCs w:val="32"/>
          <w:lang w:val="en-US" w:eastAsia="zh-CN" w:bidi="ar-SA"/>
        </w:rPr>
        <w:t>%.社会保障和就业支出</w:t>
      </w:r>
      <w:r>
        <w:rPr>
          <w:rFonts w:hint="eastAsia" w:ascii="仿宋_GB2312" w:eastAsia="仿宋_GB2312" w:cs="仿宋_GB2312"/>
          <w:b w:val="0"/>
          <w:bCs w:val="0"/>
          <w:color w:val="auto"/>
          <w:kern w:val="2"/>
          <w:sz w:val="32"/>
          <w:szCs w:val="32"/>
          <w:lang w:val="en-US" w:eastAsia="zh-CN" w:bidi="ar-SA"/>
        </w:rPr>
        <w:t>311.52</w:t>
      </w:r>
      <w:r>
        <w:rPr>
          <w:rFonts w:hint="eastAsia" w:ascii="仿宋_GB2312" w:hAnsi="Calibri" w:eastAsia="仿宋_GB2312" w:cs="仿宋_GB2312"/>
          <w:b w:val="0"/>
          <w:bCs w:val="0"/>
          <w:color w:val="auto"/>
          <w:kern w:val="2"/>
          <w:sz w:val="32"/>
          <w:szCs w:val="32"/>
          <w:lang w:val="en-US" w:eastAsia="zh-CN" w:bidi="ar-SA"/>
        </w:rPr>
        <w:t>万元，占比</w:t>
      </w:r>
      <w:r>
        <w:rPr>
          <w:rFonts w:hint="eastAsia" w:ascii="仿宋_GB2312" w:eastAsia="仿宋_GB2312" w:cs="仿宋_GB2312"/>
          <w:b w:val="0"/>
          <w:bCs w:val="0"/>
          <w:color w:val="auto"/>
          <w:kern w:val="2"/>
          <w:sz w:val="32"/>
          <w:szCs w:val="32"/>
          <w:lang w:val="en-US" w:eastAsia="zh-CN" w:bidi="ar-SA"/>
        </w:rPr>
        <w:t>8.68</w:t>
      </w:r>
      <w:r>
        <w:rPr>
          <w:rFonts w:hint="eastAsia" w:ascii="仿宋_GB2312" w:hAnsi="Calibri" w:eastAsia="仿宋_GB2312" w:cs="仿宋_GB2312"/>
          <w:b w:val="0"/>
          <w:bCs w:val="0"/>
          <w:color w:val="auto"/>
          <w:kern w:val="2"/>
          <w:sz w:val="32"/>
          <w:szCs w:val="32"/>
          <w:lang w:val="en-US" w:eastAsia="zh-CN" w:bidi="ar-SA"/>
        </w:rPr>
        <w:t>%。卫生健康支出</w:t>
      </w:r>
      <w:r>
        <w:rPr>
          <w:rFonts w:hint="eastAsia" w:ascii="仿宋_GB2312" w:eastAsia="仿宋_GB2312" w:cs="仿宋_GB2312"/>
          <w:b w:val="0"/>
          <w:bCs w:val="0"/>
          <w:color w:val="auto"/>
          <w:kern w:val="2"/>
          <w:sz w:val="32"/>
          <w:szCs w:val="32"/>
          <w:lang w:val="en-US" w:eastAsia="zh-CN" w:bidi="ar-SA"/>
        </w:rPr>
        <w:t>118.56</w:t>
      </w:r>
      <w:r>
        <w:rPr>
          <w:rFonts w:hint="eastAsia" w:ascii="仿宋_GB2312" w:hAnsi="Calibri" w:eastAsia="仿宋_GB2312" w:cs="仿宋_GB2312"/>
          <w:b w:val="0"/>
          <w:bCs w:val="0"/>
          <w:color w:val="auto"/>
          <w:kern w:val="2"/>
          <w:sz w:val="32"/>
          <w:szCs w:val="32"/>
          <w:lang w:val="en-US" w:eastAsia="zh-CN" w:bidi="ar-SA"/>
        </w:rPr>
        <w:t>万元，占</w:t>
      </w:r>
      <w:r>
        <w:rPr>
          <w:rFonts w:hint="eastAsia" w:ascii="仿宋_GB2312" w:eastAsia="仿宋_GB2312" w:cs="仿宋_GB2312"/>
          <w:color w:val="auto"/>
          <w:sz w:val="32"/>
          <w:szCs w:val="32"/>
          <w:lang w:val="en-US" w:eastAsia="zh-CN"/>
        </w:rPr>
        <w:t>比3.3%。住房保障支出152.79万元，占比4.26%。</w:t>
      </w:r>
    </w:p>
    <w:p>
      <w:pPr>
        <w:ind w:left="638" w:leftChars="304"/>
        <w:rPr>
          <w:rFonts w:hint="eastAsia" w:ascii="黑体" w:eastAsia="黑体"/>
          <w:sz w:val="32"/>
          <w:szCs w:val="32"/>
          <w:lang w:eastAsia="zh-CN"/>
        </w:rPr>
      </w:pPr>
      <w:r>
        <w:rPr>
          <w:rFonts w:hint="eastAsia" w:ascii="黑体" w:eastAsia="黑体"/>
          <w:sz w:val="32"/>
          <w:szCs w:val="32"/>
        </w:rPr>
        <w:t>四、财政拨款收支预算情况说明</w:t>
      </w:r>
    </w:p>
    <w:p>
      <w:pPr>
        <w:ind w:firstLine="640" w:firstLineChars="200"/>
        <w:rPr>
          <w:rFonts w:hint="default" w:ascii="仿宋_GB2312" w:hAnsi="黑体" w:eastAsia="仿宋_GB2312"/>
          <w:sz w:val="32"/>
          <w:szCs w:val="32"/>
          <w:lang w:val="en-US" w:eastAsia="zh-CN"/>
        </w:rPr>
      </w:pPr>
      <w:r>
        <w:rPr>
          <w:rFonts w:hint="eastAsia" w:ascii="仿宋_GB2312" w:eastAsia="仿宋_GB2312"/>
          <w:color w:val="auto"/>
          <w:sz w:val="32"/>
          <w:szCs w:val="32"/>
        </w:rPr>
        <w:t>州政府办</w:t>
      </w:r>
      <w:r>
        <w:rPr>
          <w:rFonts w:hint="eastAsia" w:ascii="仿宋_GB2312" w:eastAsia="仿宋_GB2312"/>
          <w:color w:val="auto"/>
          <w:sz w:val="32"/>
          <w:szCs w:val="32"/>
          <w:lang w:eastAsia="zh-CN"/>
        </w:rPr>
        <w:t>公室</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年财政拨款收支总预算</w:t>
      </w:r>
      <w:r>
        <w:rPr>
          <w:rFonts w:hint="eastAsia" w:ascii="仿宋_GB2312" w:eastAsia="仿宋_GB2312" w:cs="仿宋_GB2312"/>
          <w:b w:val="0"/>
          <w:bCs w:val="0"/>
          <w:color w:val="auto"/>
          <w:sz w:val="32"/>
          <w:szCs w:val="32"/>
          <w:lang w:val="en-US" w:eastAsia="zh-CN"/>
        </w:rPr>
        <w:t>3,589.56</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减少370.76</w:t>
      </w:r>
      <w:r>
        <w:rPr>
          <w:rFonts w:hint="eastAsia" w:ascii="仿宋_GB2312" w:hAnsi="黑体" w:eastAsia="仿宋_GB2312"/>
          <w:sz w:val="32"/>
          <w:szCs w:val="32"/>
        </w:rPr>
        <w:t>万元，主要原因</w:t>
      </w:r>
      <w:r>
        <w:rPr>
          <w:rFonts w:hint="eastAsia" w:ascii="仿宋_GB2312" w:hAnsi="黑体" w:eastAsia="仿宋_GB2312"/>
          <w:sz w:val="32"/>
          <w:szCs w:val="32"/>
          <w:lang w:val="en-US" w:eastAsia="zh-CN"/>
        </w:rPr>
        <w:t>是人员减少，基本工资及各类保险金额相对减少，2026年按照工作安排，项目经费预算568万元(按要求在公开表中扣减涉密项目资金），下降0.5%。</w:t>
      </w:r>
    </w:p>
    <w:p>
      <w:pPr>
        <w:spacing w:line="540" w:lineRule="exact"/>
        <w:ind w:firstLine="640" w:firstLineChars="200"/>
        <w:rPr>
          <w:rFonts w:hint="eastAsia" w:asci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收入包括：</w:t>
      </w:r>
      <w:r>
        <w:rPr>
          <w:rFonts w:hint="eastAsia" w:ascii="仿宋_GB2312" w:eastAsia="仿宋_GB2312" w:cs="仿宋_GB2312"/>
          <w:color w:val="auto"/>
          <w:sz w:val="32"/>
          <w:szCs w:val="32"/>
          <w:lang w:val="en-US" w:eastAsia="zh-CN"/>
        </w:rPr>
        <w:t>州政府办公室2026年收入预算</w:t>
      </w:r>
      <w:r>
        <w:rPr>
          <w:rFonts w:hint="eastAsia" w:ascii="仿宋_GB2312" w:eastAsia="仿宋_GB2312" w:cs="仿宋_GB2312"/>
          <w:b w:val="0"/>
          <w:bCs w:val="0"/>
          <w:color w:val="auto"/>
          <w:sz w:val="32"/>
          <w:szCs w:val="32"/>
          <w:lang w:val="en-US" w:eastAsia="zh-CN"/>
        </w:rPr>
        <w:t>3,589.56</w:t>
      </w:r>
      <w:r>
        <w:rPr>
          <w:rFonts w:hint="eastAsia" w:ascii="仿宋_GB2312" w:eastAsia="仿宋_GB2312" w:cs="仿宋_GB2312"/>
          <w:color w:val="auto"/>
          <w:sz w:val="32"/>
          <w:szCs w:val="32"/>
          <w:lang w:val="en-US" w:eastAsia="zh-CN"/>
        </w:rPr>
        <w:t>万元，其中：一般公共预算拨款收入</w:t>
      </w:r>
      <w:r>
        <w:rPr>
          <w:rFonts w:hint="eastAsia" w:ascii="仿宋_GB2312" w:eastAsia="仿宋_GB2312" w:cs="仿宋_GB2312"/>
          <w:b w:val="0"/>
          <w:bCs w:val="0"/>
          <w:color w:val="auto"/>
          <w:sz w:val="32"/>
          <w:szCs w:val="32"/>
          <w:lang w:val="en-US" w:eastAsia="zh-CN"/>
        </w:rPr>
        <w:t>3,589.56</w:t>
      </w:r>
      <w:r>
        <w:rPr>
          <w:rFonts w:hint="eastAsia" w:ascii="仿宋_GB2312" w:eastAsia="仿宋_GB2312" w:cs="仿宋_GB2312"/>
          <w:color w:val="auto"/>
          <w:sz w:val="32"/>
          <w:szCs w:val="32"/>
          <w:lang w:val="en-US" w:eastAsia="zh-CN"/>
        </w:rPr>
        <w:t>万元，较上年</w:t>
      </w:r>
      <w:r>
        <w:rPr>
          <w:rFonts w:hint="eastAsia" w:ascii="仿宋_GB2312" w:hAnsi="黑体" w:eastAsia="仿宋_GB2312"/>
          <w:sz w:val="32"/>
          <w:szCs w:val="32"/>
          <w:lang w:val="en-US" w:eastAsia="zh-CN"/>
        </w:rPr>
        <w:t>减少370.76</w:t>
      </w:r>
      <w:r>
        <w:rPr>
          <w:rFonts w:hint="eastAsia" w:ascii="仿宋_GB2312" w:hAnsi="黑体" w:eastAsia="仿宋_GB2312"/>
          <w:sz w:val="32"/>
          <w:szCs w:val="32"/>
        </w:rPr>
        <w:t>万元</w:t>
      </w:r>
      <w:r>
        <w:rPr>
          <w:rFonts w:hint="eastAsia" w:ascii="仿宋_GB2312" w:eastAsia="仿宋_GB2312" w:cs="仿宋_GB2312"/>
          <w:color w:val="auto"/>
          <w:sz w:val="32"/>
          <w:szCs w:val="32"/>
          <w:lang w:val="en-US" w:eastAsia="zh-CN"/>
        </w:rPr>
        <w:t>。</w:t>
      </w:r>
    </w:p>
    <w:p>
      <w:pPr>
        <w:spacing w:line="540" w:lineRule="exact"/>
        <w:ind w:firstLine="640" w:firstLineChars="200"/>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支出包括：州政府办公室2026年支出预算</w:t>
      </w:r>
      <w:r>
        <w:rPr>
          <w:rFonts w:hint="eastAsia" w:ascii="仿宋_GB2312" w:eastAsia="仿宋_GB2312" w:cs="仿宋_GB2312"/>
          <w:b w:val="0"/>
          <w:bCs w:val="0"/>
          <w:color w:val="auto"/>
          <w:sz w:val="32"/>
          <w:szCs w:val="32"/>
          <w:lang w:val="en-US" w:eastAsia="zh-CN"/>
        </w:rPr>
        <w:t>3,589.56</w:t>
      </w:r>
      <w:r>
        <w:rPr>
          <w:rFonts w:hint="eastAsia" w:ascii="仿宋_GB2312" w:eastAsia="仿宋_GB2312" w:cs="仿宋_GB2312"/>
          <w:color w:val="auto"/>
          <w:sz w:val="32"/>
          <w:szCs w:val="32"/>
          <w:lang w:val="en-US" w:eastAsia="zh-CN"/>
        </w:rPr>
        <w:t>万元，其中：一般公共服务支出</w:t>
      </w:r>
      <w:r>
        <w:rPr>
          <w:rFonts w:hint="eastAsia" w:ascii="仿宋_GB2312" w:eastAsia="仿宋_GB2312" w:cs="仿宋_GB2312"/>
          <w:b w:val="0"/>
          <w:bCs w:val="0"/>
          <w:color w:val="auto"/>
          <w:kern w:val="2"/>
          <w:sz w:val="32"/>
          <w:szCs w:val="32"/>
          <w:lang w:val="en-US" w:eastAsia="zh-CN" w:bidi="ar-SA"/>
        </w:rPr>
        <w:t>3,006.69</w:t>
      </w:r>
      <w:r>
        <w:rPr>
          <w:rFonts w:hint="eastAsia" w:ascii="仿宋_GB2312" w:eastAsia="仿宋_GB2312" w:cs="仿宋_GB2312"/>
          <w:color w:val="auto"/>
          <w:sz w:val="32"/>
          <w:szCs w:val="32"/>
          <w:lang w:val="en-US" w:eastAsia="zh-CN"/>
        </w:rPr>
        <w:t>万元，较上年减少273.23万元。社会保障和就业支出</w:t>
      </w:r>
      <w:r>
        <w:rPr>
          <w:rFonts w:hint="eastAsia" w:ascii="仿宋_GB2312" w:eastAsia="仿宋_GB2312" w:cs="仿宋_GB2312"/>
          <w:b w:val="0"/>
          <w:bCs w:val="0"/>
          <w:color w:val="auto"/>
          <w:kern w:val="2"/>
          <w:sz w:val="32"/>
          <w:szCs w:val="32"/>
          <w:lang w:val="en-US" w:eastAsia="zh-CN" w:bidi="ar-SA"/>
        </w:rPr>
        <w:t>311.52</w:t>
      </w:r>
      <w:r>
        <w:rPr>
          <w:rFonts w:hint="eastAsia" w:ascii="仿宋_GB2312" w:eastAsia="仿宋_GB2312" w:cs="仿宋_GB2312"/>
          <w:color w:val="auto"/>
          <w:sz w:val="32"/>
          <w:szCs w:val="32"/>
          <w:lang w:val="en-US" w:eastAsia="zh-CN"/>
        </w:rPr>
        <w:t>万元，较上年减少53.63万元。卫生健康支出118.56万元，较上年减少26.41万元。住房保障支出152.79万元，较上年减少26.31万元。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83"/>
        <w:spacing w:before="0" w:line="360" w:lineRule="auto"/>
        <w:ind w:firstLine="660"/>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（一）一般公共预算当年拨款规模变化情况</w:t>
      </w:r>
    </w:p>
    <w:p>
      <w:pPr>
        <w:pStyle w:val="183"/>
        <w:spacing w:before="0" w:line="360" w:lineRule="auto"/>
        <w:ind w:firstLine="660"/>
        <w:rPr>
          <w:rFonts w:cs="仿宋_GB2312"/>
          <w:kern w:val="2"/>
          <w:sz w:val="32"/>
          <w:szCs w:val="32"/>
        </w:rPr>
      </w:pPr>
      <w:r>
        <w:rPr>
          <w:rFonts w:hint="eastAsia" w:ascii="仿宋_GB2312" w:eastAsia="仿宋_GB2312" w:cs="仿宋_GB2312"/>
          <w:color w:val="auto"/>
          <w:sz w:val="32"/>
          <w:szCs w:val="32"/>
          <w:lang w:val="en-US" w:eastAsia="zh-CN" w:bidi="ar-SA"/>
        </w:rPr>
        <w:t>州政府办公室202</w:t>
      </w:r>
      <w:r>
        <w:rPr>
          <w:rFonts w:hint="eastAsia" w:cs="仿宋_GB2312"/>
          <w:color w:val="auto"/>
          <w:sz w:val="32"/>
          <w:szCs w:val="32"/>
          <w:lang w:val="en-US" w:eastAsia="zh-CN" w:bidi="ar-SA"/>
        </w:rPr>
        <w:t>6</w:t>
      </w:r>
      <w:r>
        <w:rPr>
          <w:rFonts w:hint="eastAsia" w:ascii="仿宋_GB2312" w:eastAsia="仿宋_GB2312" w:cs="仿宋_GB2312"/>
          <w:color w:val="auto"/>
          <w:sz w:val="32"/>
          <w:szCs w:val="32"/>
          <w:lang w:val="en-US" w:eastAsia="zh-CN" w:bidi="ar-SA"/>
        </w:rPr>
        <w:t>年</w:t>
      </w:r>
      <w:r>
        <w:rPr>
          <w:rFonts w:hint="eastAsia" w:cs="宋体"/>
          <w:sz w:val="32"/>
          <w:szCs w:val="32"/>
          <w:lang w:bidi="ar-SA"/>
        </w:rPr>
        <w:t>一般公共预算当年拨款</w:t>
      </w:r>
      <w:r>
        <w:rPr>
          <w:rFonts w:hint="eastAsia" w:ascii="仿宋_GB2312" w:eastAsia="仿宋_GB2312" w:cs="仿宋_GB2312"/>
          <w:b w:val="0"/>
          <w:bCs w:val="0"/>
          <w:color w:val="auto"/>
          <w:sz w:val="32"/>
          <w:szCs w:val="32"/>
          <w:lang w:val="en-US" w:eastAsia="zh-CN"/>
        </w:rPr>
        <w:t>3,589.56</w:t>
      </w:r>
      <w:r>
        <w:rPr>
          <w:rFonts w:hint="eastAsia" w:cs="宋体"/>
          <w:sz w:val="32"/>
          <w:szCs w:val="32"/>
          <w:lang w:bidi="ar-SA"/>
        </w:rPr>
        <w:t>万元，比202</w:t>
      </w:r>
      <w:r>
        <w:rPr>
          <w:rFonts w:hint="eastAsia" w:cs="宋体"/>
          <w:sz w:val="32"/>
          <w:szCs w:val="32"/>
          <w:lang w:val="en-US" w:eastAsia="zh-CN" w:bidi="ar-SA"/>
        </w:rPr>
        <w:t>5</w:t>
      </w:r>
      <w:r>
        <w:rPr>
          <w:rFonts w:hint="eastAsia" w:cs="宋体"/>
          <w:sz w:val="32"/>
          <w:szCs w:val="32"/>
          <w:lang w:bidi="ar-SA"/>
        </w:rPr>
        <w:t>年预算数</w:t>
      </w:r>
      <w:r>
        <w:rPr>
          <w:rFonts w:hint="eastAsia" w:cs="宋体"/>
          <w:sz w:val="32"/>
          <w:szCs w:val="32"/>
          <w:lang w:val="en-US" w:eastAsia="zh-CN" w:bidi="ar-SA"/>
        </w:rPr>
        <w:t>减少</w:t>
      </w:r>
      <w:r>
        <w:rPr>
          <w:rFonts w:hint="eastAsia" w:ascii="仿宋_GB2312" w:hAnsi="黑体" w:eastAsia="仿宋_GB2312"/>
          <w:sz w:val="32"/>
          <w:szCs w:val="32"/>
          <w:lang w:val="en-US" w:eastAsia="zh-CN"/>
        </w:rPr>
        <w:t>370.76</w:t>
      </w:r>
      <w:r>
        <w:rPr>
          <w:rFonts w:hint="eastAsia" w:cs="宋体"/>
          <w:sz w:val="32"/>
          <w:szCs w:val="32"/>
          <w:lang w:bidi="ar-SA"/>
        </w:rPr>
        <w:t>万元，主要原因</w:t>
      </w:r>
      <w:r>
        <w:rPr>
          <w:rFonts w:hint="eastAsia" w:ascii="仿宋_GB2312" w:hAnsi="黑体" w:eastAsia="仿宋_GB2312"/>
          <w:sz w:val="32"/>
          <w:szCs w:val="32"/>
        </w:rPr>
        <w:t>主要原因</w:t>
      </w:r>
      <w:r>
        <w:rPr>
          <w:rFonts w:hint="eastAsia" w:ascii="仿宋_GB2312" w:hAnsi="黑体" w:eastAsia="仿宋_GB2312"/>
          <w:sz w:val="32"/>
          <w:szCs w:val="32"/>
          <w:lang w:val="en-US" w:eastAsia="zh-CN"/>
        </w:rPr>
        <w:t>是人员减少，基本工资及各类保险金额相对减少</w:t>
      </w:r>
      <w:r>
        <w:rPr>
          <w:rFonts w:hint="eastAsia" w:hAnsi="黑体"/>
          <w:sz w:val="32"/>
          <w:szCs w:val="32"/>
          <w:lang w:val="en-US" w:eastAsia="zh-CN"/>
        </w:rPr>
        <w:t>。</w:t>
      </w:r>
    </w:p>
    <w:p>
      <w:pPr>
        <w:pStyle w:val="183"/>
        <w:spacing w:before="0" w:line="360" w:lineRule="auto"/>
        <w:ind w:left="651" w:leftChars="31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（二）一般公共预算当年拨款结构情况</w:t>
      </w:r>
    </w:p>
    <w:p>
      <w:pPr>
        <w:numPr>
          <w:ilvl w:val="0"/>
          <w:numId w:val="0"/>
        </w:numPr>
        <w:ind w:firstLine="640" w:firstLineChars="200"/>
        <w:jc w:val="left"/>
        <w:rPr>
          <w:rFonts w:hint="eastAsia" w:ascii="楷体" w:hAnsi="楷体" w:eastAsia="楷体" w:cs="仿宋_GB2312"/>
          <w:color w:val="FF0000"/>
          <w:sz w:val="32"/>
          <w:szCs w:val="32"/>
        </w:rPr>
      </w:pPr>
      <w:r>
        <w:rPr>
          <w:rFonts w:hint="eastAsia" w:ascii="仿宋_GB2312" w:hAnsi="Calibri" w:eastAsia="仿宋_GB2312" w:cs="仿宋_GB2312"/>
          <w:b w:val="0"/>
          <w:bCs w:val="0"/>
          <w:color w:val="auto"/>
          <w:kern w:val="2"/>
          <w:sz w:val="32"/>
          <w:szCs w:val="32"/>
          <w:lang w:val="en-US" w:eastAsia="zh-CN" w:bidi="ar-SA"/>
        </w:rPr>
        <w:t>一般公共服务支出</w:t>
      </w:r>
      <w:r>
        <w:rPr>
          <w:rFonts w:hint="eastAsia" w:ascii="仿宋_GB2312" w:eastAsia="仿宋_GB2312" w:cs="仿宋_GB2312"/>
          <w:b w:val="0"/>
          <w:bCs w:val="0"/>
          <w:color w:val="auto"/>
          <w:kern w:val="2"/>
          <w:sz w:val="32"/>
          <w:szCs w:val="32"/>
          <w:lang w:val="en-US" w:eastAsia="zh-CN" w:bidi="ar-SA"/>
        </w:rPr>
        <w:t>3,006.69</w:t>
      </w:r>
      <w:r>
        <w:rPr>
          <w:rFonts w:hint="eastAsia" w:ascii="仿宋_GB2312" w:hAnsi="Calibri" w:eastAsia="仿宋_GB2312" w:cs="仿宋_GB2312"/>
          <w:b w:val="0"/>
          <w:bCs w:val="0"/>
          <w:color w:val="auto"/>
          <w:kern w:val="2"/>
          <w:sz w:val="32"/>
          <w:szCs w:val="32"/>
          <w:lang w:val="en-US" w:eastAsia="zh-CN" w:bidi="ar-SA"/>
        </w:rPr>
        <w:t>万元，占比</w:t>
      </w:r>
      <w:r>
        <w:rPr>
          <w:rFonts w:hint="eastAsia" w:ascii="仿宋_GB2312" w:eastAsia="仿宋_GB2312" w:cs="仿宋_GB2312"/>
          <w:b w:val="0"/>
          <w:bCs w:val="0"/>
          <w:color w:val="auto"/>
          <w:kern w:val="2"/>
          <w:sz w:val="32"/>
          <w:szCs w:val="32"/>
          <w:lang w:val="en-US" w:eastAsia="zh-CN" w:bidi="ar-SA"/>
        </w:rPr>
        <w:t>83.76</w:t>
      </w:r>
      <w:r>
        <w:rPr>
          <w:rFonts w:hint="eastAsia" w:ascii="仿宋_GB2312" w:hAnsi="Calibri" w:eastAsia="仿宋_GB2312" w:cs="仿宋_GB2312"/>
          <w:b w:val="0"/>
          <w:bCs w:val="0"/>
          <w:color w:val="auto"/>
          <w:kern w:val="2"/>
          <w:sz w:val="32"/>
          <w:szCs w:val="32"/>
          <w:lang w:val="en-US" w:eastAsia="zh-CN" w:bidi="ar-SA"/>
        </w:rPr>
        <w:t>%.社会保障和就业支出</w:t>
      </w:r>
      <w:r>
        <w:rPr>
          <w:rFonts w:hint="eastAsia" w:ascii="仿宋_GB2312" w:eastAsia="仿宋_GB2312" w:cs="仿宋_GB2312"/>
          <w:b w:val="0"/>
          <w:bCs w:val="0"/>
          <w:color w:val="auto"/>
          <w:kern w:val="2"/>
          <w:sz w:val="32"/>
          <w:szCs w:val="32"/>
          <w:lang w:val="en-US" w:eastAsia="zh-CN" w:bidi="ar-SA"/>
        </w:rPr>
        <w:t>311.52</w:t>
      </w:r>
      <w:r>
        <w:rPr>
          <w:rFonts w:hint="eastAsia" w:ascii="仿宋_GB2312" w:hAnsi="Calibri" w:eastAsia="仿宋_GB2312" w:cs="仿宋_GB2312"/>
          <w:b w:val="0"/>
          <w:bCs w:val="0"/>
          <w:color w:val="auto"/>
          <w:kern w:val="2"/>
          <w:sz w:val="32"/>
          <w:szCs w:val="32"/>
          <w:lang w:val="en-US" w:eastAsia="zh-CN" w:bidi="ar-SA"/>
        </w:rPr>
        <w:t>万元，占比</w:t>
      </w:r>
      <w:r>
        <w:rPr>
          <w:rFonts w:hint="eastAsia" w:ascii="仿宋_GB2312" w:eastAsia="仿宋_GB2312" w:cs="仿宋_GB2312"/>
          <w:b w:val="0"/>
          <w:bCs w:val="0"/>
          <w:color w:val="auto"/>
          <w:kern w:val="2"/>
          <w:sz w:val="32"/>
          <w:szCs w:val="32"/>
          <w:lang w:val="en-US" w:eastAsia="zh-CN" w:bidi="ar-SA"/>
        </w:rPr>
        <w:t>8.68</w:t>
      </w:r>
      <w:r>
        <w:rPr>
          <w:rFonts w:hint="eastAsia" w:ascii="仿宋_GB2312" w:hAnsi="Calibri" w:eastAsia="仿宋_GB2312" w:cs="仿宋_GB2312"/>
          <w:b w:val="0"/>
          <w:bCs w:val="0"/>
          <w:color w:val="auto"/>
          <w:kern w:val="2"/>
          <w:sz w:val="32"/>
          <w:szCs w:val="32"/>
          <w:lang w:val="en-US" w:eastAsia="zh-CN" w:bidi="ar-SA"/>
        </w:rPr>
        <w:t>%。卫生健康支出</w:t>
      </w:r>
      <w:r>
        <w:rPr>
          <w:rFonts w:hint="eastAsia" w:ascii="仿宋_GB2312" w:eastAsia="仿宋_GB2312" w:cs="仿宋_GB2312"/>
          <w:color w:val="auto"/>
          <w:sz w:val="32"/>
          <w:szCs w:val="32"/>
          <w:lang w:val="en-US" w:eastAsia="zh-CN"/>
        </w:rPr>
        <w:t>118.56</w:t>
      </w:r>
      <w:r>
        <w:rPr>
          <w:rFonts w:hint="eastAsia" w:ascii="仿宋_GB2312" w:hAnsi="Calibri" w:eastAsia="仿宋_GB2312" w:cs="仿宋_GB2312"/>
          <w:b w:val="0"/>
          <w:bCs w:val="0"/>
          <w:color w:val="auto"/>
          <w:kern w:val="2"/>
          <w:sz w:val="32"/>
          <w:szCs w:val="32"/>
          <w:lang w:val="en-US" w:eastAsia="zh-CN" w:bidi="ar-SA"/>
        </w:rPr>
        <w:t>万元，占</w:t>
      </w:r>
      <w:r>
        <w:rPr>
          <w:rFonts w:hint="eastAsia" w:ascii="仿宋_GB2312" w:eastAsia="仿宋_GB2312" w:cs="仿宋_GB2312"/>
          <w:color w:val="auto"/>
          <w:sz w:val="32"/>
          <w:szCs w:val="32"/>
          <w:lang w:val="en-US" w:eastAsia="zh-CN"/>
        </w:rPr>
        <w:t>比3.3%。住房保障支出152.79万元，占比4.26%。</w:t>
      </w:r>
    </w:p>
    <w:p>
      <w:pPr>
        <w:pStyle w:val="183"/>
        <w:spacing w:before="0" w:line="360" w:lineRule="auto"/>
        <w:ind w:firstLine="660"/>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（三）一般公共预算当年拨款具体使用情况</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1．一般公共服务（类）政府办公厅（室）及相关机构事务（款）行政运行（项）202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2,438.69</w:t>
      </w:r>
      <w:r>
        <w:rPr>
          <w:rFonts w:hint="eastAsia" w:cs="仿宋_GB2312"/>
          <w:kern w:val="2"/>
          <w:sz w:val="32"/>
          <w:szCs w:val="32"/>
        </w:rPr>
        <w:t>万元，主要用于保障机构运转的基本支出。</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cs="仿宋_GB2312"/>
          <w:kern w:val="2"/>
          <w:sz w:val="32"/>
          <w:szCs w:val="32"/>
        </w:rPr>
        <w:t>2.一般公共服务（类）政府办公厅（室）及相关机构事</w:t>
      </w:r>
      <w:r>
        <w:rPr>
          <w:rFonts w:hint="eastAsia" w:cs="仿宋_GB2312"/>
          <w:color w:val="000000" w:themeColor="text1"/>
          <w:kern w:val="2"/>
          <w:sz w:val="32"/>
          <w:szCs w:val="32"/>
          <w14:textFill>
            <w14:solidFill>
              <w14:schemeClr w14:val="tx1"/>
            </w14:solidFill>
          </w14:textFill>
        </w:rPr>
        <w:t>务（款）一般行政管理事务（项）202</w:t>
      </w:r>
      <w:r>
        <w:rPr>
          <w:rFonts w:hint="eastAsia" w:cs="仿宋_GB2312"/>
          <w:color w:val="000000" w:themeColor="text1"/>
          <w:kern w:val="2"/>
          <w:sz w:val="32"/>
          <w:szCs w:val="32"/>
          <w:lang w:val="en-US" w:eastAsia="zh-CN"/>
          <w14:textFill>
            <w14:solidFill>
              <w14:schemeClr w14:val="tx1"/>
            </w14:solidFill>
          </w14:textFill>
        </w:rPr>
        <w:t>6</w:t>
      </w:r>
      <w:r>
        <w:rPr>
          <w:rFonts w:hint="eastAsia" w:cs="仿宋_GB2312"/>
          <w:color w:val="000000" w:themeColor="text1"/>
          <w:kern w:val="2"/>
          <w:sz w:val="32"/>
          <w:szCs w:val="32"/>
          <w14:textFill>
            <w14:solidFill>
              <w14:schemeClr w14:val="tx1"/>
            </w14:solidFill>
          </w14:textFill>
        </w:rPr>
        <w:t>年预算数为</w:t>
      </w:r>
      <w:r>
        <w:rPr>
          <w:rFonts w:hint="eastAsia" w:cs="仿宋_GB2312"/>
          <w:color w:val="000000" w:themeColor="text1"/>
          <w:kern w:val="2"/>
          <w:sz w:val="32"/>
          <w:szCs w:val="32"/>
          <w:lang w:val="en-US" w:eastAsia="zh-CN"/>
          <w14:textFill>
            <w14:solidFill>
              <w14:schemeClr w14:val="tx1"/>
            </w14:solidFill>
          </w14:textFill>
        </w:rPr>
        <w:t>568</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lang w:eastAsia="zh-CN"/>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主要</w:t>
      </w:r>
      <w:r>
        <w:rPr>
          <w:rFonts w:hint="eastAsia" w:cs="仿宋_GB2312"/>
          <w:color w:val="000000" w:themeColor="text1"/>
          <w:kern w:val="2"/>
          <w:sz w:val="32"/>
          <w:szCs w:val="32"/>
          <w:lang w:val="en-US" w:eastAsia="zh-CN"/>
          <w14:textFill>
            <w14:solidFill>
              <w14:schemeClr w14:val="tx1"/>
            </w14:solidFill>
          </w14:textFill>
        </w:rPr>
        <w:t>为</w:t>
      </w:r>
      <w:r>
        <w:rPr>
          <w:rFonts w:hint="eastAsia" w:cs="仿宋_GB2312"/>
          <w:color w:val="000000" w:themeColor="text1"/>
          <w:kern w:val="2"/>
          <w:sz w:val="32"/>
          <w:szCs w:val="32"/>
          <w14:textFill>
            <w14:solidFill>
              <w14:schemeClr w14:val="tx1"/>
            </w14:solidFill>
          </w14:textFill>
        </w:rPr>
        <w:t>车辆大修16万元；劳务派遣费</w:t>
      </w:r>
      <w:r>
        <w:rPr>
          <w:rFonts w:hint="eastAsia" w:cs="仿宋_GB2312"/>
          <w:color w:val="000000" w:themeColor="text1"/>
          <w:kern w:val="2"/>
          <w:sz w:val="32"/>
          <w:szCs w:val="32"/>
          <w:lang w:val="en-US" w:eastAsia="zh-CN"/>
          <w14:textFill>
            <w14:solidFill>
              <w14:schemeClr w14:val="tx1"/>
            </w14:solidFill>
          </w14:textFill>
        </w:rPr>
        <w:t>90万元；州政府办办公设备购置11万元；机关零星维修维护费30万元；会议费12万元;印刷系统运行维修维护费5万元；专项业务费372万元；阿坝州政府公报印制及投递服务10万元；办公室物业管理费7万元；场地租赁费15万元</w:t>
      </w:r>
      <w:r>
        <w:rPr>
          <w:rFonts w:hint="eastAsia" w:cs="仿宋_GB2312"/>
          <w:color w:val="000000" w:themeColor="text1"/>
          <w:kern w:val="2"/>
          <w:sz w:val="32"/>
          <w:szCs w:val="32"/>
          <w14:textFill>
            <w14:solidFill>
              <w14:schemeClr w14:val="tx1"/>
            </w14:solidFill>
          </w14:textFill>
        </w:rPr>
        <w:t>。</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eastAsia" w:cs="仿宋_GB2312"/>
          <w:kern w:val="2"/>
          <w:sz w:val="32"/>
          <w:szCs w:val="32"/>
        </w:rPr>
      </w:pPr>
      <w:r>
        <w:rPr>
          <w:rFonts w:hint="eastAsia" w:cs="仿宋_GB2312"/>
          <w:kern w:val="2"/>
          <w:sz w:val="32"/>
          <w:szCs w:val="32"/>
        </w:rPr>
        <w:t>3.社会保障和就业支出（类）行政事业单位养老支出（款）机关事业单位基本养老保险缴费支出（项）202</w:t>
      </w:r>
      <w:r>
        <w:rPr>
          <w:rFonts w:hint="eastAsia" w:cs="仿宋_GB2312"/>
          <w:kern w:val="2"/>
          <w:sz w:val="32"/>
          <w:szCs w:val="32"/>
          <w:lang w:val="en-US" w:eastAsia="zh-CN"/>
        </w:rPr>
        <w:t>6</w:t>
      </w:r>
      <w:r>
        <w:rPr>
          <w:rFonts w:hint="eastAsia" w:cs="仿宋_GB2312"/>
          <w:kern w:val="2"/>
          <w:sz w:val="32"/>
          <w:szCs w:val="32"/>
        </w:rPr>
        <w:t>年预算数为</w:t>
      </w:r>
    </w:p>
    <w:p>
      <w:pPr>
        <w:pStyle w:val="183"/>
        <w:keepNext w:val="0"/>
        <w:keepLines w:val="0"/>
        <w:pageBreakBefore w:val="0"/>
        <w:widowControl w:val="0"/>
        <w:kinsoku/>
        <w:wordWrap/>
        <w:overflowPunct/>
        <w:topLinePunct w:val="0"/>
        <w:autoSpaceDE/>
        <w:autoSpaceDN/>
        <w:bidi w:val="0"/>
        <w:adjustRightInd/>
        <w:snapToGrid/>
        <w:spacing w:before="0" w:line="540" w:lineRule="exact"/>
        <w:textAlignment w:val="auto"/>
        <w:rPr>
          <w:rFonts w:ascii="黑体" w:eastAsia="黑体"/>
          <w:sz w:val="32"/>
          <w:szCs w:val="32"/>
        </w:rPr>
      </w:pPr>
      <w:r>
        <w:rPr>
          <w:rFonts w:hint="eastAsia" w:cs="仿宋_GB2312"/>
          <w:kern w:val="2"/>
          <w:sz w:val="32"/>
          <w:szCs w:val="32"/>
          <w:lang w:val="en-US" w:eastAsia="zh-CN"/>
        </w:rPr>
        <w:t>207.68</w:t>
      </w:r>
      <w:r>
        <w:rPr>
          <w:rFonts w:hint="eastAsia" w:cs="仿宋_GB2312"/>
          <w:kern w:val="2"/>
          <w:sz w:val="32"/>
          <w:szCs w:val="32"/>
        </w:rPr>
        <w:t>万元，主要用于缴纳职工养老保险。</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4.社会保障和就业支出（类）行政事业单位养老支出（款）机关事业单位职业年金缴费支出（项）202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103.84</w:t>
      </w:r>
      <w:r>
        <w:rPr>
          <w:rFonts w:hint="eastAsia" w:cs="仿宋_GB2312"/>
          <w:kern w:val="2"/>
          <w:sz w:val="32"/>
          <w:szCs w:val="32"/>
        </w:rPr>
        <w:t>万元，主要用于缴纳职工职业年金。</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sz w:val="32"/>
          <w:szCs w:val="32"/>
        </w:rPr>
      </w:pPr>
      <w:r>
        <w:rPr>
          <w:rFonts w:hint="eastAsia" w:cs="仿宋_GB2312"/>
          <w:kern w:val="2"/>
          <w:sz w:val="32"/>
          <w:szCs w:val="32"/>
        </w:rPr>
        <w:t>5.卫生健康支出（类）行政事业单位医疗（款）行政单位医疗（项）202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90.86</w:t>
      </w:r>
      <w:r>
        <w:rPr>
          <w:rFonts w:hint="eastAsia" w:cs="仿宋_GB2312"/>
          <w:kern w:val="2"/>
          <w:sz w:val="32"/>
          <w:szCs w:val="32"/>
        </w:rPr>
        <w:t>万元，主要用于缴纳职工医疗保险。</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rPr>
      </w:pPr>
      <w:r>
        <w:rPr>
          <w:rFonts w:hint="eastAsia" w:cs="仿宋_GB2312"/>
          <w:kern w:val="2"/>
          <w:sz w:val="32"/>
          <w:szCs w:val="32"/>
        </w:rPr>
        <w:t>6.卫生健康支出（类）行政事业单位医疗（款）公务员医疗补助（项）202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27.69</w:t>
      </w:r>
      <w:r>
        <w:rPr>
          <w:rFonts w:hint="eastAsia" w:cs="仿宋_GB2312"/>
          <w:kern w:val="2"/>
          <w:sz w:val="32"/>
          <w:szCs w:val="32"/>
        </w:rPr>
        <w:t>万元，主要用于缴纳公务员医疗补助。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7.住房保障支出（类）住房改革支出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152.79</w:t>
      </w:r>
      <w:r>
        <w:rPr>
          <w:rFonts w:hint="eastAsia" w:ascii="仿宋_GB2312" w:eastAsia="仿宋_GB2312" w:cs="仿宋_GB2312"/>
          <w:sz w:val="32"/>
          <w:szCs w:val="32"/>
        </w:rPr>
        <w:t>万元，主要用于缴纳职工住房公积金。</w:t>
      </w:r>
    </w:p>
    <w:p>
      <w:pPr>
        <w:pStyle w:val="18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83"/>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州政府办公室</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年一般公共预算基本支出3</w:t>
      </w:r>
      <w:r>
        <w:rPr>
          <w:rFonts w:hint="eastAsia" w:cs="仿宋_GB2312"/>
          <w:kern w:val="2"/>
          <w:sz w:val="32"/>
          <w:szCs w:val="32"/>
          <w:lang w:eastAsia="zh-CN"/>
        </w:rPr>
        <w:t>，</w:t>
      </w:r>
      <w:r>
        <w:rPr>
          <w:rFonts w:hint="eastAsia" w:cs="仿宋_GB2312"/>
          <w:kern w:val="2"/>
          <w:sz w:val="32"/>
          <w:szCs w:val="32"/>
        </w:rPr>
        <w:t>021.56万元，其中：</w:t>
      </w:r>
    </w:p>
    <w:p>
      <w:pPr>
        <w:pStyle w:val="183"/>
        <w:spacing w:before="0" w:line="360" w:lineRule="auto"/>
        <w:ind w:firstLine="640" w:firstLineChars="200"/>
        <w:rPr>
          <w:rFonts w:cs="仿宋_GB2312"/>
          <w:kern w:val="2"/>
          <w:sz w:val="32"/>
          <w:szCs w:val="32"/>
        </w:rPr>
      </w:pPr>
      <w:r>
        <w:rPr>
          <w:rFonts w:hint="eastAsia" w:cs="仿宋_GB2312"/>
          <w:kern w:val="2"/>
          <w:sz w:val="32"/>
          <w:szCs w:val="32"/>
        </w:rPr>
        <w:t>人员经费2</w:t>
      </w:r>
      <w:r>
        <w:rPr>
          <w:rFonts w:hint="eastAsia" w:cs="仿宋_GB2312"/>
          <w:kern w:val="2"/>
          <w:sz w:val="32"/>
          <w:szCs w:val="32"/>
          <w:lang w:val="en-US" w:eastAsia="zh-CN"/>
        </w:rPr>
        <w:t>,</w:t>
      </w:r>
      <w:r>
        <w:rPr>
          <w:rFonts w:hint="eastAsia" w:cs="仿宋_GB2312"/>
          <w:kern w:val="2"/>
          <w:sz w:val="32"/>
          <w:szCs w:val="32"/>
        </w:rPr>
        <w:t>192.19万元，主要包括：基本工资</w:t>
      </w:r>
      <w:r>
        <w:rPr>
          <w:rFonts w:hint="eastAsia" w:cs="仿宋_GB2312"/>
          <w:kern w:val="2"/>
          <w:sz w:val="32"/>
          <w:szCs w:val="32"/>
          <w:lang w:val="en-US" w:eastAsia="zh-CN"/>
        </w:rPr>
        <w:t>435.78</w:t>
      </w:r>
      <w:r>
        <w:rPr>
          <w:rFonts w:hint="eastAsia" w:cs="仿宋_GB2312"/>
          <w:kern w:val="2"/>
          <w:sz w:val="32"/>
          <w:szCs w:val="32"/>
        </w:rPr>
        <w:t>万元、津贴补贴</w:t>
      </w:r>
      <w:r>
        <w:rPr>
          <w:rFonts w:hint="eastAsia" w:cs="仿宋_GB2312"/>
          <w:kern w:val="2"/>
          <w:sz w:val="32"/>
          <w:szCs w:val="32"/>
          <w:lang w:val="en-US" w:eastAsia="zh-CN"/>
        </w:rPr>
        <w:t>470.94</w:t>
      </w:r>
      <w:r>
        <w:rPr>
          <w:rFonts w:hint="eastAsia" w:cs="仿宋_GB2312"/>
          <w:kern w:val="2"/>
          <w:sz w:val="32"/>
          <w:szCs w:val="32"/>
        </w:rPr>
        <w:t>万元、奖金</w:t>
      </w:r>
      <w:r>
        <w:rPr>
          <w:rFonts w:hint="eastAsia" w:cs="仿宋_GB2312"/>
          <w:kern w:val="2"/>
          <w:sz w:val="32"/>
          <w:szCs w:val="32"/>
          <w:lang w:val="en-US" w:eastAsia="zh-CN"/>
        </w:rPr>
        <w:t>407.17</w:t>
      </w:r>
      <w:r>
        <w:rPr>
          <w:rFonts w:hint="eastAsia" w:cs="仿宋_GB2312"/>
          <w:kern w:val="2"/>
          <w:sz w:val="32"/>
          <w:szCs w:val="32"/>
        </w:rPr>
        <w:t>万元、其他社会保障缴费</w:t>
      </w:r>
      <w:r>
        <w:rPr>
          <w:rFonts w:hint="eastAsia" w:cs="仿宋_GB2312"/>
          <w:kern w:val="2"/>
          <w:sz w:val="32"/>
          <w:szCs w:val="32"/>
          <w:lang w:val="en-US" w:eastAsia="zh-CN"/>
        </w:rPr>
        <w:t>10.38</w:t>
      </w:r>
      <w:r>
        <w:rPr>
          <w:rFonts w:hint="eastAsia" w:cs="仿宋_GB2312"/>
          <w:kern w:val="2"/>
          <w:sz w:val="32"/>
          <w:szCs w:val="32"/>
        </w:rPr>
        <w:t>万元、机关事业单位基本养老保险缴费</w:t>
      </w:r>
      <w:r>
        <w:rPr>
          <w:rFonts w:hint="eastAsia" w:cs="仿宋_GB2312"/>
          <w:kern w:val="2"/>
          <w:sz w:val="32"/>
          <w:szCs w:val="32"/>
          <w:lang w:val="en-US" w:eastAsia="zh-CN"/>
        </w:rPr>
        <w:t>207.68</w:t>
      </w:r>
      <w:r>
        <w:rPr>
          <w:rFonts w:hint="eastAsia" w:cs="仿宋_GB2312"/>
          <w:kern w:val="2"/>
          <w:sz w:val="32"/>
          <w:szCs w:val="32"/>
        </w:rPr>
        <w:t>万元、职业年金缴费</w:t>
      </w:r>
      <w:r>
        <w:rPr>
          <w:rFonts w:hint="eastAsia" w:cs="仿宋_GB2312"/>
          <w:kern w:val="2"/>
          <w:sz w:val="32"/>
          <w:szCs w:val="32"/>
          <w:lang w:val="en-US" w:eastAsia="zh-CN"/>
        </w:rPr>
        <w:t>103.84</w:t>
      </w:r>
      <w:r>
        <w:rPr>
          <w:rFonts w:hint="eastAsia" w:cs="仿宋_GB2312"/>
          <w:kern w:val="2"/>
          <w:sz w:val="32"/>
          <w:szCs w:val="32"/>
        </w:rPr>
        <w:t>万元、</w:t>
      </w:r>
      <w:r>
        <w:rPr>
          <w:rFonts w:hint="eastAsia" w:cs="仿宋_GB2312"/>
          <w:kern w:val="2"/>
          <w:sz w:val="32"/>
          <w:szCs w:val="32"/>
          <w:lang w:val="en-US" w:eastAsia="zh-CN"/>
        </w:rPr>
        <w:t>职工基本医疗保险90.86</w:t>
      </w:r>
      <w:r>
        <w:rPr>
          <w:rFonts w:hint="eastAsia" w:cs="仿宋_GB2312"/>
          <w:kern w:val="2"/>
          <w:sz w:val="32"/>
          <w:szCs w:val="32"/>
        </w:rPr>
        <w:t>万元</w:t>
      </w:r>
      <w:r>
        <w:rPr>
          <w:rFonts w:hint="eastAsia" w:cs="仿宋_GB2312"/>
          <w:kern w:val="2"/>
          <w:sz w:val="32"/>
          <w:szCs w:val="32"/>
          <w:lang w:val="en-US" w:eastAsia="zh-CN"/>
        </w:rPr>
        <w:t>、公务员医疗补助27.7</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其他工资福利支出</w:t>
      </w:r>
      <w:r>
        <w:rPr>
          <w:rFonts w:hint="eastAsia" w:cs="仿宋_GB2312"/>
          <w:kern w:val="2"/>
          <w:sz w:val="32"/>
          <w:szCs w:val="32"/>
          <w:lang w:val="en-US" w:eastAsia="zh-CN"/>
        </w:rPr>
        <w:t>131.98</w:t>
      </w:r>
      <w:r>
        <w:rPr>
          <w:rFonts w:hint="eastAsia" w:cs="仿宋_GB2312"/>
          <w:kern w:val="2"/>
          <w:sz w:val="32"/>
          <w:szCs w:val="32"/>
        </w:rPr>
        <w:t>万元、</w:t>
      </w:r>
      <w:r>
        <w:rPr>
          <w:rFonts w:hint="eastAsia" w:cs="仿宋_GB2312"/>
          <w:kern w:val="2"/>
          <w:sz w:val="32"/>
          <w:szCs w:val="32"/>
          <w:lang w:val="en-US" w:eastAsia="zh-CN"/>
        </w:rPr>
        <w:t>退休人员定额生活补助147.6</w:t>
      </w:r>
      <w:r>
        <w:rPr>
          <w:rFonts w:hint="eastAsia" w:cs="仿宋_GB2312"/>
          <w:kern w:val="2"/>
          <w:sz w:val="32"/>
          <w:szCs w:val="32"/>
        </w:rPr>
        <w:t>万元、</w:t>
      </w:r>
      <w:r>
        <w:rPr>
          <w:rFonts w:hint="eastAsia" w:cs="仿宋_GB2312"/>
          <w:kern w:val="2"/>
          <w:sz w:val="32"/>
          <w:szCs w:val="32"/>
          <w:lang w:val="en-US" w:eastAsia="zh-CN"/>
        </w:rPr>
        <w:t>遗属生活补助2.96</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奖励金</w:t>
      </w:r>
      <w:r>
        <w:rPr>
          <w:rFonts w:hint="eastAsia" w:cs="仿宋_GB2312"/>
          <w:kern w:val="2"/>
          <w:sz w:val="32"/>
          <w:szCs w:val="32"/>
          <w:lang w:val="en-US" w:eastAsia="zh-CN"/>
        </w:rPr>
        <w:t>0.03</w:t>
      </w:r>
      <w:r>
        <w:rPr>
          <w:rFonts w:hint="eastAsia" w:cs="仿宋_GB2312"/>
          <w:kern w:val="2"/>
          <w:sz w:val="32"/>
          <w:szCs w:val="32"/>
        </w:rPr>
        <w:t>万元、住房公积金</w:t>
      </w:r>
      <w:r>
        <w:rPr>
          <w:rFonts w:hint="eastAsia" w:cs="仿宋_GB2312"/>
          <w:kern w:val="2"/>
          <w:sz w:val="32"/>
          <w:szCs w:val="32"/>
          <w:lang w:val="en-US" w:eastAsia="zh-CN"/>
        </w:rPr>
        <w:t>152.79</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退休人员公用经费2.48万元</w:t>
      </w:r>
      <w:r>
        <w:rPr>
          <w:rFonts w:hint="eastAsia" w:cs="仿宋_GB2312"/>
          <w:kern w:val="2"/>
          <w:sz w:val="32"/>
          <w:szCs w:val="32"/>
        </w:rPr>
        <w:t>。</w:t>
      </w:r>
    </w:p>
    <w:p>
      <w:pPr>
        <w:pStyle w:val="18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公用经费829.36万元，主要包括：办公费</w:t>
      </w:r>
      <w:r>
        <w:rPr>
          <w:rFonts w:hint="eastAsia" w:cs="仿宋_GB2312"/>
          <w:kern w:val="2"/>
          <w:sz w:val="32"/>
          <w:szCs w:val="32"/>
          <w:lang w:val="en-US" w:eastAsia="zh-CN"/>
        </w:rPr>
        <w:t>17.93</w:t>
      </w:r>
      <w:r>
        <w:rPr>
          <w:rFonts w:hint="eastAsia" w:cs="仿宋_GB2312"/>
          <w:kern w:val="2"/>
          <w:sz w:val="32"/>
          <w:szCs w:val="32"/>
        </w:rPr>
        <w:t>万元、水费</w:t>
      </w:r>
      <w:r>
        <w:rPr>
          <w:rFonts w:hint="eastAsia" w:cs="仿宋_GB2312"/>
          <w:kern w:val="2"/>
          <w:sz w:val="32"/>
          <w:szCs w:val="32"/>
          <w:lang w:val="en-US" w:eastAsia="zh-CN"/>
        </w:rPr>
        <w:t>2.69</w:t>
      </w:r>
      <w:r>
        <w:rPr>
          <w:rFonts w:hint="eastAsia" w:cs="仿宋_GB2312"/>
          <w:kern w:val="2"/>
          <w:sz w:val="32"/>
          <w:szCs w:val="32"/>
        </w:rPr>
        <w:t>万元、邮电费</w:t>
      </w:r>
      <w:r>
        <w:rPr>
          <w:rFonts w:hint="eastAsia" w:cs="仿宋_GB2312"/>
          <w:kern w:val="2"/>
          <w:sz w:val="32"/>
          <w:szCs w:val="32"/>
          <w:lang w:val="en-US" w:eastAsia="zh-CN"/>
        </w:rPr>
        <w:t>30.24</w:t>
      </w:r>
      <w:r>
        <w:rPr>
          <w:rFonts w:hint="eastAsia" w:cs="仿宋_GB2312"/>
          <w:kern w:val="2"/>
          <w:sz w:val="32"/>
          <w:szCs w:val="32"/>
        </w:rPr>
        <w:t>万元、</w:t>
      </w:r>
      <w:r>
        <w:rPr>
          <w:rFonts w:hint="eastAsia" w:cs="仿宋_GB2312"/>
          <w:kern w:val="2"/>
          <w:sz w:val="32"/>
          <w:szCs w:val="32"/>
          <w:lang w:val="en-US" w:eastAsia="zh-CN"/>
        </w:rPr>
        <w:t>取暖费3.59</w:t>
      </w:r>
      <w:r>
        <w:rPr>
          <w:rFonts w:hint="eastAsia" w:cs="仿宋_GB2312"/>
          <w:kern w:val="2"/>
          <w:sz w:val="32"/>
          <w:szCs w:val="32"/>
        </w:rPr>
        <w:t>万元</w:t>
      </w:r>
      <w:r>
        <w:rPr>
          <w:rFonts w:hint="eastAsia" w:cs="仿宋_GB2312"/>
          <w:kern w:val="2"/>
          <w:sz w:val="32"/>
          <w:szCs w:val="32"/>
          <w:lang w:val="en-US" w:eastAsia="zh-CN"/>
        </w:rPr>
        <w:t>、</w:t>
      </w:r>
      <w:r>
        <w:rPr>
          <w:rFonts w:hint="eastAsia" w:cs="仿宋_GB2312"/>
          <w:kern w:val="2"/>
          <w:sz w:val="32"/>
          <w:szCs w:val="32"/>
        </w:rPr>
        <w:t>差旅费</w:t>
      </w:r>
      <w:r>
        <w:rPr>
          <w:rFonts w:hint="eastAsia" w:cs="仿宋_GB2312"/>
          <w:kern w:val="2"/>
          <w:sz w:val="32"/>
          <w:szCs w:val="32"/>
          <w:lang w:val="en-US" w:eastAsia="zh-CN"/>
        </w:rPr>
        <w:t>151.39</w:t>
      </w:r>
      <w:r>
        <w:rPr>
          <w:rFonts w:hint="eastAsia" w:cs="仿宋_GB2312"/>
          <w:kern w:val="2"/>
          <w:sz w:val="32"/>
          <w:szCs w:val="32"/>
        </w:rPr>
        <w:t>万元、维修（护）费</w:t>
      </w:r>
      <w:r>
        <w:rPr>
          <w:rFonts w:hint="eastAsia" w:cs="仿宋_GB2312"/>
          <w:kern w:val="2"/>
          <w:sz w:val="32"/>
          <w:szCs w:val="32"/>
          <w:lang w:val="en-US" w:eastAsia="zh-CN"/>
        </w:rPr>
        <w:t>4.33</w:t>
      </w:r>
      <w:r>
        <w:rPr>
          <w:rFonts w:hint="eastAsia" w:cs="仿宋_GB2312"/>
          <w:kern w:val="2"/>
          <w:sz w:val="32"/>
          <w:szCs w:val="32"/>
        </w:rPr>
        <w:t>万元、培训费</w:t>
      </w:r>
      <w:r>
        <w:rPr>
          <w:rFonts w:hint="eastAsia" w:cs="仿宋_GB2312"/>
          <w:kern w:val="2"/>
          <w:sz w:val="32"/>
          <w:szCs w:val="32"/>
          <w:lang w:val="en-US" w:eastAsia="zh-CN"/>
        </w:rPr>
        <w:t>16.03</w:t>
      </w:r>
      <w:r>
        <w:rPr>
          <w:rFonts w:hint="eastAsia" w:cs="仿宋_GB2312"/>
          <w:kern w:val="2"/>
          <w:sz w:val="32"/>
          <w:szCs w:val="32"/>
        </w:rPr>
        <w:t>万元、</w:t>
      </w:r>
      <w:r>
        <w:rPr>
          <w:rFonts w:hint="eastAsia" w:cs="仿宋_GB2312"/>
          <w:kern w:val="2"/>
          <w:sz w:val="32"/>
          <w:szCs w:val="32"/>
          <w:lang w:val="en-US" w:eastAsia="zh-CN"/>
        </w:rPr>
        <w:t>公务接待17.03</w:t>
      </w:r>
      <w:r>
        <w:rPr>
          <w:rFonts w:hint="eastAsia" w:cs="仿宋_GB2312"/>
          <w:kern w:val="2"/>
          <w:sz w:val="32"/>
          <w:szCs w:val="32"/>
        </w:rPr>
        <w:t>万元</w:t>
      </w:r>
      <w:r>
        <w:rPr>
          <w:rFonts w:hint="eastAsia" w:cs="仿宋_GB2312"/>
          <w:kern w:val="2"/>
          <w:sz w:val="32"/>
          <w:szCs w:val="32"/>
          <w:lang w:val="en-US" w:eastAsia="zh-CN"/>
        </w:rPr>
        <w:t>、公务用车运行费478.8</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其他商品和服务支出</w:t>
      </w:r>
      <w:r>
        <w:rPr>
          <w:rFonts w:hint="eastAsia" w:cs="仿宋_GB2312"/>
          <w:kern w:val="2"/>
          <w:sz w:val="32"/>
          <w:szCs w:val="32"/>
          <w:lang w:val="en-US" w:eastAsia="zh-CN"/>
        </w:rPr>
        <w:t>107.33</w:t>
      </w:r>
      <w:r>
        <w:rPr>
          <w:rFonts w:hint="eastAsia" w:cs="仿宋_GB2312"/>
          <w:kern w:val="2"/>
          <w:sz w:val="32"/>
          <w:szCs w:val="32"/>
        </w:rPr>
        <w:t>万元。</w:t>
      </w:r>
    </w:p>
    <w:p>
      <w:pPr>
        <w:pStyle w:val="183"/>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83"/>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州政府办公室2026年“三公”经费财政拨款预算数511.83</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17.03</w:t>
      </w:r>
      <w:r>
        <w:rPr>
          <w:rFonts w:hint="eastAsia" w:cs="仿宋_GB2312"/>
          <w:kern w:val="2"/>
          <w:sz w:val="32"/>
          <w:szCs w:val="32"/>
        </w:rPr>
        <w:t>万元，</w:t>
      </w:r>
      <w:r>
        <w:rPr>
          <w:rFonts w:hint="eastAsia" w:cs="仿宋_GB2312"/>
          <w:color w:val="auto"/>
          <w:kern w:val="2"/>
          <w:sz w:val="32"/>
          <w:szCs w:val="32"/>
          <w:shd w:val="clear" w:color="auto" w:fill="auto"/>
          <w:lang w:bidi="ar-SA"/>
        </w:rPr>
        <w:t>公务用车购置</w:t>
      </w:r>
      <w:r>
        <w:rPr>
          <w:rFonts w:hint="eastAsia" w:cs="仿宋_GB2312"/>
          <w:color w:val="auto"/>
          <w:kern w:val="2"/>
          <w:sz w:val="32"/>
          <w:szCs w:val="32"/>
          <w:shd w:val="clear" w:color="auto" w:fill="auto"/>
          <w:lang w:val="en-US" w:eastAsia="zh-CN" w:bidi="ar-SA"/>
        </w:rPr>
        <w:t>费0万元，</w:t>
      </w:r>
      <w:r>
        <w:rPr>
          <w:rFonts w:hint="eastAsia" w:cs="仿宋_GB2312"/>
          <w:kern w:val="2"/>
          <w:sz w:val="32"/>
          <w:szCs w:val="32"/>
        </w:rPr>
        <w:t>公务用车购置及运行维护费494.8万元</w:t>
      </w:r>
      <w:r>
        <w:rPr>
          <w:rFonts w:hint="eastAsia" w:cs="仿宋_GB2312"/>
          <w:kern w:val="2"/>
          <w:sz w:val="32"/>
          <w:szCs w:val="32"/>
          <w:lang w:eastAsia="zh-CN"/>
        </w:rPr>
        <w:t>（</w:t>
      </w:r>
      <w:r>
        <w:rPr>
          <w:rFonts w:hint="eastAsia" w:cs="仿宋_GB2312"/>
          <w:kern w:val="2"/>
          <w:sz w:val="32"/>
          <w:szCs w:val="32"/>
          <w:lang w:val="en-US" w:eastAsia="zh-CN"/>
        </w:rPr>
        <w:t>含车辆大修16万元</w:t>
      </w:r>
      <w:r>
        <w:rPr>
          <w:rFonts w:hint="eastAsia" w:cs="仿宋_GB2312"/>
          <w:kern w:val="2"/>
          <w:sz w:val="32"/>
          <w:szCs w:val="32"/>
          <w:lang w:eastAsia="zh-CN"/>
        </w:rPr>
        <w:t>）</w:t>
      </w:r>
      <w:r>
        <w:rPr>
          <w:rFonts w:hint="eastAsia" w:cs="仿宋_GB2312"/>
          <w:kern w:val="2"/>
          <w:sz w:val="32"/>
          <w:szCs w:val="32"/>
        </w:rPr>
        <w:t>。</w:t>
      </w:r>
    </w:p>
    <w:p>
      <w:pPr>
        <w:pStyle w:val="183"/>
        <w:spacing w:before="0" w:line="360" w:lineRule="auto"/>
        <w:ind w:firstLine="640" w:firstLineChars="200"/>
        <w:rPr>
          <w:rFonts w:cs="仿宋_GB2312"/>
          <w:kern w:val="2"/>
          <w:sz w:val="32"/>
          <w:szCs w:val="32"/>
          <w:lang w:bidi="ar-SA"/>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bidi="ar-SA"/>
        </w:rPr>
        <w:t>较2025年预算经费无变化。</w:t>
      </w:r>
    </w:p>
    <w:p>
      <w:pPr>
        <w:pStyle w:val="183"/>
        <w:spacing w:before="0" w:line="360" w:lineRule="auto"/>
        <w:ind w:firstLine="640" w:firstLineChars="200"/>
        <w:rPr>
          <w:rFonts w:hint="default" w:cs="仿宋_GB2312"/>
          <w:color w:val="auto"/>
          <w:kern w:val="2"/>
          <w:sz w:val="32"/>
          <w:szCs w:val="32"/>
          <w:lang w:val="en-US" w:eastAsia="zh-CN" w:bidi="ar-SA"/>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17.03</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年预算经费减少</w:t>
      </w:r>
      <w:r>
        <w:rPr>
          <w:rFonts w:hint="eastAsia" w:cs="仿宋_GB2312"/>
          <w:color w:val="000000"/>
          <w:kern w:val="2"/>
          <w:sz w:val="32"/>
          <w:szCs w:val="32"/>
          <w:lang w:val="en-US" w:eastAsia="zh-CN"/>
        </w:rPr>
        <w:t>1.05</w:t>
      </w:r>
      <w:r>
        <w:rPr>
          <w:rFonts w:hint="eastAsia" w:cs="仿宋_GB2312"/>
          <w:color w:val="000000"/>
          <w:kern w:val="2"/>
          <w:sz w:val="32"/>
          <w:szCs w:val="32"/>
        </w:rPr>
        <w:t>万元，</w:t>
      </w:r>
      <w:r>
        <w:rPr>
          <w:rFonts w:hint="eastAsia" w:cs="宋体"/>
          <w:sz w:val="32"/>
          <w:szCs w:val="32"/>
          <w:lang w:val="en-US" w:eastAsia="zh-CN"/>
        </w:rPr>
        <w:t>下降5.8</w:t>
      </w:r>
      <w:r>
        <w:rPr>
          <w:rFonts w:hint="eastAsia" w:cs="仿宋_GB2312"/>
          <w:color w:val="000000"/>
          <w:kern w:val="2"/>
          <w:sz w:val="32"/>
          <w:szCs w:val="32"/>
        </w:rPr>
        <w:t>%，</w:t>
      </w:r>
      <w:r>
        <w:rPr>
          <w:rFonts w:hint="eastAsia" w:cs="仿宋_GB2312"/>
          <w:color w:val="auto"/>
          <w:kern w:val="2"/>
          <w:sz w:val="32"/>
          <w:szCs w:val="32"/>
          <w:lang w:val="en-US" w:eastAsia="zh-CN" w:bidi="ar-SA"/>
        </w:rPr>
        <w:t>原因为人员减少接待费预算减少。</w:t>
      </w:r>
    </w:p>
    <w:p>
      <w:pPr>
        <w:pStyle w:val="183"/>
        <w:spacing w:before="0" w:line="360" w:lineRule="auto"/>
        <w:ind w:firstLine="640" w:firstLineChars="200"/>
        <w:rPr>
          <w:rFonts w:hint="eastAsia" w:cs="宋体"/>
          <w:color w:val="auto"/>
          <w:sz w:val="32"/>
          <w:szCs w:val="32"/>
          <w:lang w:val="en-US" w:eastAsia="zh-CN" w:bidi="ar-SA"/>
        </w:rPr>
      </w:pPr>
      <w:r>
        <w:rPr>
          <w:rFonts w:hint="eastAsia" w:cs="仿宋_GB2312"/>
          <w:color w:val="000000"/>
          <w:kern w:val="2"/>
          <w:sz w:val="32"/>
          <w:szCs w:val="32"/>
        </w:rPr>
        <w:t>（三）</w:t>
      </w:r>
      <w:r>
        <w:rPr>
          <w:rFonts w:hint="eastAsia" w:cs="仿宋_GB2312"/>
          <w:color w:val="000000"/>
          <w:kern w:val="2"/>
          <w:sz w:val="32"/>
          <w:szCs w:val="32"/>
          <w:lang w:bidi="ar-SA"/>
        </w:rPr>
        <w:t>202</w:t>
      </w:r>
      <w:r>
        <w:rPr>
          <w:rFonts w:hint="eastAsia" w:cs="仿宋_GB2312"/>
          <w:color w:val="000000"/>
          <w:kern w:val="2"/>
          <w:sz w:val="32"/>
          <w:szCs w:val="32"/>
          <w:lang w:val="en-US" w:eastAsia="zh-CN" w:bidi="ar-SA"/>
        </w:rPr>
        <w:t>6</w:t>
      </w:r>
      <w:r>
        <w:rPr>
          <w:rFonts w:hint="eastAsia" w:cs="仿宋_GB2312"/>
          <w:color w:val="000000"/>
          <w:kern w:val="2"/>
          <w:sz w:val="32"/>
          <w:szCs w:val="32"/>
          <w:lang w:bidi="ar-SA"/>
        </w:rPr>
        <w:t>年</w:t>
      </w:r>
      <w:r>
        <w:rPr>
          <w:rFonts w:hint="eastAsia" w:cs="仿宋_GB2312"/>
          <w:color w:val="auto"/>
          <w:kern w:val="2"/>
          <w:sz w:val="32"/>
          <w:szCs w:val="32"/>
          <w:lang w:bidi="ar-SA"/>
        </w:rPr>
        <w:t>公务用车购置</w:t>
      </w:r>
      <w:r>
        <w:rPr>
          <w:rFonts w:hint="eastAsia" w:cs="仿宋_GB2312"/>
          <w:color w:val="auto"/>
          <w:kern w:val="2"/>
          <w:sz w:val="32"/>
          <w:szCs w:val="32"/>
          <w:lang w:val="en-US" w:eastAsia="zh-CN" w:bidi="ar-SA"/>
        </w:rPr>
        <w:t>费0万元，公务用车</w:t>
      </w:r>
      <w:r>
        <w:rPr>
          <w:rFonts w:hint="eastAsia" w:cs="仿宋_GB2312"/>
          <w:color w:val="auto"/>
          <w:kern w:val="2"/>
          <w:sz w:val="32"/>
          <w:szCs w:val="32"/>
          <w:lang w:bidi="ar-SA"/>
        </w:rPr>
        <w:t>运行维护费494.8万元。较202</w:t>
      </w:r>
      <w:r>
        <w:rPr>
          <w:rFonts w:hint="eastAsia" w:cs="仿宋_GB2312"/>
          <w:color w:val="auto"/>
          <w:kern w:val="2"/>
          <w:sz w:val="32"/>
          <w:szCs w:val="32"/>
          <w:lang w:val="en-US" w:eastAsia="zh-CN" w:bidi="ar-SA"/>
        </w:rPr>
        <w:t>5</w:t>
      </w:r>
      <w:r>
        <w:rPr>
          <w:rFonts w:hint="eastAsia" w:cs="仿宋_GB2312"/>
          <w:color w:val="auto"/>
          <w:kern w:val="2"/>
          <w:sz w:val="32"/>
          <w:szCs w:val="32"/>
          <w:lang w:bidi="ar-SA"/>
        </w:rPr>
        <w:t>年预算经费</w:t>
      </w:r>
      <w:r>
        <w:rPr>
          <w:rFonts w:hint="eastAsia" w:cs="宋体"/>
          <w:color w:val="auto"/>
          <w:sz w:val="32"/>
          <w:szCs w:val="32"/>
          <w:lang w:val="en-US" w:eastAsia="zh-CN" w:bidi="ar-SA"/>
        </w:rPr>
        <w:t>无变化。</w:t>
      </w:r>
    </w:p>
    <w:p>
      <w:pPr>
        <w:pStyle w:val="18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cs="仿宋_GB2312"/>
          <w:kern w:val="2"/>
          <w:sz w:val="32"/>
          <w:szCs w:val="32"/>
          <w:lang w:bidi="ar-SA"/>
        </w:rPr>
      </w:pPr>
      <w:r>
        <w:rPr>
          <w:rFonts w:hint="eastAsia" w:cs="仿宋_GB2312"/>
          <w:kern w:val="2"/>
          <w:sz w:val="32"/>
          <w:szCs w:val="32"/>
          <w:lang w:bidi="ar-SA"/>
        </w:rPr>
        <w:t>州政府办</w:t>
      </w:r>
      <w:r>
        <w:rPr>
          <w:rFonts w:hint="eastAsia" w:cs="仿宋_GB2312"/>
          <w:kern w:val="2"/>
          <w:sz w:val="32"/>
          <w:szCs w:val="32"/>
          <w:lang w:eastAsia="zh-CN" w:bidi="ar-SA"/>
        </w:rPr>
        <w:t>公室</w:t>
      </w:r>
      <w:r>
        <w:rPr>
          <w:rFonts w:cs="仿宋_GB2312"/>
          <w:kern w:val="2"/>
          <w:sz w:val="32"/>
          <w:szCs w:val="32"/>
          <w:lang w:bidi="ar-SA"/>
        </w:rPr>
        <w:t>无</w:t>
      </w:r>
      <w:r>
        <w:rPr>
          <w:rFonts w:hint="eastAsia" w:cs="仿宋_GB2312"/>
          <w:kern w:val="2"/>
          <w:sz w:val="32"/>
          <w:szCs w:val="32"/>
          <w:lang w:bidi="ar-SA"/>
        </w:rPr>
        <w:t>政府性基金预算拨款安排的支出</w:t>
      </w:r>
      <w:r>
        <w:rPr>
          <w:rFonts w:cs="仿宋_GB2312"/>
          <w:kern w:val="2"/>
          <w:sz w:val="32"/>
          <w:szCs w:val="32"/>
          <w:lang w:bidi="ar-SA"/>
        </w:rPr>
        <w:t>。</w:t>
      </w:r>
    </w:p>
    <w:p>
      <w:pPr>
        <w:pStyle w:val="18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83"/>
        <w:spacing w:before="0" w:line="360" w:lineRule="auto"/>
        <w:ind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rPr>
        <w:t>（一）机关运行经费</w:t>
      </w:r>
    </w:p>
    <w:p>
      <w:pPr>
        <w:pStyle w:val="183"/>
        <w:spacing w:before="0" w:line="360" w:lineRule="auto"/>
        <w:ind w:firstLine="640" w:firstLineChars="200"/>
        <w:rPr>
          <w:rFonts w:hint="eastAsia" w:ascii="楷体" w:eastAsia="楷体" w:cs="仿宋_GB2312"/>
          <w:kern w:val="2"/>
          <w:sz w:val="32"/>
          <w:szCs w:val="32"/>
          <w:lang w:bidi="ar-SA"/>
        </w:rPr>
      </w:pPr>
      <w:r>
        <w:rPr>
          <w:rFonts w:hint="eastAsia" w:cs="仿宋_GB2312"/>
          <w:kern w:val="2"/>
          <w:sz w:val="32"/>
          <w:szCs w:val="32"/>
          <w:lang w:bidi="ar-SA"/>
        </w:rPr>
        <w:t>州政府办</w:t>
      </w:r>
      <w:r>
        <w:rPr>
          <w:rFonts w:hint="eastAsia" w:cs="仿宋_GB2312"/>
          <w:kern w:val="2"/>
          <w:sz w:val="32"/>
          <w:szCs w:val="32"/>
          <w:lang w:eastAsia="zh-CN" w:bidi="ar-SA"/>
        </w:rPr>
        <w:t>公室</w:t>
      </w:r>
      <w:r>
        <w:rPr>
          <w:rFonts w:hint="eastAsia" w:cs="仿宋_GB2312"/>
          <w:kern w:val="2"/>
          <w:sz w:val="32"/>
          <w:szCs w:val="32"/>
          <w:lang w:bidi="ar-SA"/>
        </w:rPr>
        <w:t>202</w:t>
      </w:r>
      <w:r>
        <w:rPr>
          <w:rFonts w:hint="eastAsia" w:cs="仿宋_GB2312"/>
          <w:kern w:val="2"/>
          <w:sz w:val="32"/>
          <w:szCs w:val="32"/>
          <w:lang w:val="en-US" w:eastAsia="zh-CN" w:bidi="ar-SA"/>
        </w:rPr>
        <w:t>6</w:t>
      </w:r>
      <w:r>
        <w:rPr>
          <w:rFonts w:hint="eastAsia" w:cs="仿宋_GB2312"/>
          <w:kern w:val="2"/>
          <w:sz w:val="32"/>
          <w:szCs w:val="32"/>
          <w:lang w:bidi="ar-SA"/>
        </w:rPr>
        <w:t>年机关运行经费财政拨款预算为1</w:t>
      </w:r>
      <w:r>
        <w:rPr>
          <w:rFonts w:hint="eastAsia" w:cs="仿宋_GB2312"/>
          <w:kern w:val="2"/>
          <w:sz w:val="32"/>
          <w:szCs w:val="32"/>
          <w:lang w:val="en-US" w:eastAsia="zh-CN" w:bidi="ar-SA"/>
        </w:rPr>
        <w:t>,238.84</w:t>
      </w:r>
      <w:r>
        <w:rPr>
          <w:rFonts w:hint="eastAsia" w:cs="仿宋_GB2312"/>
          <w:kern w:val="2"/>
          <w:sz w:val="32"/>
          <w:szCs w:val="32"/>
          <w:lang w:bidi="ar-SA"/>
        </w:rPr>
        <w:t>万元，比202</w:t>
      </w:r>
      <w:r>
        <w:rPr>
          <w:rFonts w:hint="eastAsia" w:cs="仿宋_GB2312"/>
          <w:kern w:val="2"/>
          <w:sz w:val="32"/>
          <w:szCs w:val="32"/>
          <w:lang w:val="en-US" w:eastAsia="zh-CN" w:bidi="ar-SA"/>
        </w:rPr>
        <w:t>5</w:t>
      </w:r>
      <w:r>
        <w:rPr>
          <w:rFonts w:hint="eastAsia" w:cs="仿宋_GB2312"/>
          <w:kern w:val="2"/>
          <w:sz w:val="32"/>
          <w:szCs w:val="32"/>
          <w:lang w:bidi="ar-SA"/>
        </w:rPr>
        <w:t>年预算</w:t>
      </w:r>
      <w:r>
        <w:rPr>
          <w:rFonts w:hint="eastAsia" w:cs="宋体"/>
          <w:sz w:val="32"/>
          <w:szCs w:val="32"/>
          <w:lang w:val="en-US" w:eastAsia="zh-CN" w:bidi="ar-SA"/>
        </w:rPr>
        <w:t>减少</w:t>
      </w:r>
      <w:r>
        <w:rPr>
          <w:rFonts w:hint="eastAsia" w:cs="仿宋_GB2312"/>
          <w:color w:val="000000"/>
          <w:kern w:val="2"/>
          <w:sz w:val="32"/>
          <w:szCs w:val="32"/>
          <w:lang w:val="en-US" w:eastAsia="zh-CN" w:bidi="ar-SA"/>
        </w:rPr>
        <w:t>88.63</w:t>
      </w:r>
      <w:r>
        <w:rPr>
          <w:rFonts w:hint="eastAsia" w:cs="仿宋_GB2312"/>
          <w:color w:val="000000"/>
          <w:kern w:val="2"/>
          <w:sz w:val="32"/>
          <w:szCs w:val="32"/>
          <w:lang w:bidi="ar-SA"/>
        </w:rPr>
        <w:t>万元，</w:t>
      </w:r>
      <w:r>
        <w:rPr>
          <w:rFonts w:hint="eastAsia" w:cs="仿宋_GB2312"/>
          <w:color w:val="000000"/>
          <w:kern w:val="2"/>
          <w:sz w:val="32"/>
          <w:szCs w:val="32"/>
          <w:lang w:val="en-US" w:eastAsia="zh-CN" w:bidi="ar-SA"/>
        </w:rPr>
        <w:t>下降6.68</w:t>
      </w:r>
      <w:r>
        <w:rPr>
          <w:rFonts w:hint="eastAsia" w:cs="仿宋_GB2312"/>
          <w:color w:val="000000"/>
          <w:kern w:val="2"/>
          <w:sz w:val="32"/>
          <w:szCs w:val="32"/>
          <w:lang w:bidi="ar-SA"/>
        </w:rPr>
        <w:t xml:space="preserve">%。 </w:t>
      </w:r>
    </w:p>
    <w:p>
      <w:pPr>
        <w:pStyle w:val="183"/>
        <w:spacing w:before="0" w:line="360" w:lineRule="auto"/>
        <w:ind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rPr>
        <w:t>（二）政府采购情况</w:t>
      </w:r>
    </w:p>
    <w:p>
      <w:pPr>
        <w:pStyle w:val="183"/>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州政府办</w:t>
      </w:r>
      <w:r>
        <w:rPr>
          <w:rFonts w:hint="eastAsia" w:cs="仿宋_GB2312"/>
          <w:kern w:val="2"/>
          <w:sz w:val="32"/>
          <w:szCs w:val="32"/>
          <w:lang w:eastAsia="zh-CN"/>
        </w:rPr>
        <w:t>公室</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117</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color w:val="000000" w:themeColor="text1"/>
          <w:kern w:val="2"/>
          <w:sz w:val="32"/>
          <w:szCs w:val="32"/>
          <w14:textFill>
            <w14:solidFill>
              <w14:schemeClr w14:val="tx1"/>
            </w14:solidFill>
          </w14:textFill>
        </w:rPr>
        <w:t>车辆大修16万元；劳务派遣</w:t>
      </w:r>
      <w:r>
        <w:rPr>
          <w:rFonts w:hint="eastAsia" w:cs="仿宋_GB2312"/>
          <w:color w:val="000000" w:themeColor="text1"/>
          <w:kern w:val="2"/>
          <w:sz w:val="32"/>
          <w:szCs w:val="32"/>
          <w:lang w:val="en-US" w:eastAsia="zh-CN"/>
          <w14:textFill>
            <w14:solidFill>
              <w14:schemeClr w14:val="tx1"/>
            </w14:solidFill>
          </w14:textFill>
        </w:rPr>
        <w:t>90万元；办公设备购置11万元</w:t>
      </w:r>
      <w:r>
        <w:rPr>
          <w:rFonts w:hint="eastAsia" w:cs="仿宋_GB2312"/>
          <w:color w:val="000000" w:themeColor="text1"/>
          <w:kern w:val="2"/>
          <w:sz w:val="32"/>
          <w:szCs w:val="32"/>
          <w14:textFill>
            <w14:solidFill>
              <w14:schemeClr w14:val="tx1"/>
            </w14:solidFill>
          </w14:textFill>
        </w:rPr>
        <w:t>。</w:t>
      </w:r>
    </w:p>
    <w:p>
      <w:pPr>
        <w:pStyle w:val="183"/>
        <w:spacing w:before="0" w:line="360" w:lineRule="auto"/>
        <w:ind w:firstLine="640" w:firstLineChars="200"/>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（三）国有资产占有使用情况</w:t>
      </w:r>
    </w:p>
    <w:p>
      <w:pPr>
        <w:pStyle w:val="183"/>
        <w:spacing w:before="0" w:line="360" w:lineRule="auto"/>
        <w:ind w:firstLine="0" w:firstLineChars="0"/>
        <w:rPr>
          <w:rFonts w:hint="eastAsia" w:ascii="仿宋_GB2312" w:eastAsia="仿宋_GB2312"/>
          <w:b w:val="0"/>
          <w:bCs w:val="0"/>
          <w:color w:val="auto"/>
          <w:sz w:val="32"/>
          <w:szCs w:val="32"/>
          <w:lang w:eastAsia="zh-CN"/>
        </w:rPr>
      </w:pPr>
      <w:r>
        <w:rPr>
          <w:rFonts w:hint="eastAsia" w:cs="仿宋_GB2312"/>
          <w:kern w:val="2"/>
          <w:sz w:val="32"/>
          <w:szCs w:val="32"/>
        </w:rPr>
        <w:t xml:space="preserve">    截至202</w:t>
      </w:r>
      <w:r>
        <w:rPr>
          <w:rFonts w:hint="eastAsia" w:cs="仿宋_GB2312"/>
          <w:kern w:val="2"/>
          <w:sz w:val="32"/>
          <w:szCs w:val="32"/>
          <w:lang w:val="en-US" w:eastAsia="zh-CN"/>
        </w:rPr>
        <w:t>5</w:t>
      </w:r>
      <w:r>
        <w:rPr>
          <w:rFonts w:hint="eastAsia" w:cs="仿宋_GB2312"/>
          <w:kern w:val="2"/>
          <w:sz w:val="32"/>
          <w:szCs w:val="32"/>
        </w:rPr>
        <w:t>年12月31日，</w:t>
      </w:r>
      <w:r>
        <w:rPr>
          <w:rFonts w:hint="eastAsia" w:ascii="仿宋_GB2312" w:eastAsia="仿宋_GB2312"/>
          <w:b w:val="0"/>
          <w:bCs w:val="0"/>
          <w:color w:val="auto"/>
          <w:sz w:val="32"/>
          <w:szCs w:val="32"/>
        </w:rPr>
        <w:t>固定资产净值</w:t>
      </w:r>
      <w:r>
        <w:rPr>
          <w:rFonts w:hint="eastAsia" w:ascii="仿宋_GB2312" w:eastAsia="仿宋_GB2312"/>
          <w:color w:val="auto"/>
          <w:sz w:val="32"/>
          <w:szCs w:val="32"/>
          <w:lang w:val="en-US" w:eastAsia="zh-CN"/>
        </w:rPr>
        <w:t>704.64</w:t>
      </w:r>
      <w:r>
        <w:rPr>
          <w:rFonts w:hint="eastAsia" w:ascii="仿宋_GB2312" w:eastAsia="仿宋_GB2312"/>
          <w:b w:val="0"/>
          <w:bCs w:val="0"/>
          <w:color w:val="auto"/>
          <w:sz w:val="32"/>
          <w:szCs w:val="32"/>
        </w:rPr>
        <w:t>万元（固定资产原值为</w:t>
      </w:r>
      <w:r>
        <w:rPr>
          <w:rFonts w:hint="eastAsia" w:ascii="仿宋_GB2312" w:eastAsia="仿宋_GB2312"/>
          <w:color w:val="auto"/>
          <w:sz w:val="32"/>
          <w:szCs w:val="32"/>
          <w:lang w:val="en-US" w:eastAsia="zh-CN"/>
        </w:rPr>
        <w:t>5,359.64</w:t>
      </w:r>
      <w:r>
        <w:rPr>
          <w:rFonts w:hint="eastAsia" w:ascii="仿宋_GB2312" w:eastAsia="仿宋_GB2312"/>
          <w:b w:val="0"/>
          <w:bCs w:val="0"/>
          <w:color w:val="auto"/>
          <w:sz w:val="32"/>
          <w:szCs w:val="32"/>
        </w:rPr>
        <w:t>万元）。无形资产净</w:t>
      </w:r>
      <w:r>
        <w:rPr>
          <w:rFonts w:hint="eastAsia" w:ascii="仿宋_GB2312" w:eastAsia="仿宋_GB2312"/>
          <w:color w:val="000000"/>
          <w:sz w:val="32"/>
          <w:szCs w:val="32"/>
          <w:lang w:val="en-US" w:eastAsia="zh-CN"/>
        </w:rPr>
        <w:t>1.38</w:t>
      </w:r>
      <w:r>
        <w:rPr>
          <w:rFonts w:hint="eastAsia" w:ascii="仿宋_GB2312" w:eastAsia="仿宋_GB2312"/>
          <w:b w:val="0"/>
          <w:bCs w:val="0"/>
          <w:color w:val="auto"/>
          <w:sz w:val="32"/>
          <w:szCs w:val="32"/>
        </w:rPr>
        <w:t>万元（无形资产原值为</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b w:val="0"/>
          <w:bCs w:val="0"/>
          <w:color w:val="auto"/>
          <w:sz w:val="32"/>
          <w:szCs w:val="32"/>
        </w:rPr>
        <w:t>万元）</w:t>
      </w:r>
      <w:r>
        <w:rPr>
          <w:rFonts w:hint="eastAsia"/>
          <w:b w:val="0"/>
          <w:bCs w:val="0"/>
          <w:color w:val="auto"/>
          <w:sz w:val="32"/>
          <w:szCs w:val="32"/>
          <w:lang w:eastAsia="zh-CN"/>
        </w:rPr>
        <w:t>。</w:t>
      </w:r>
    </w:p>
    <w:p>
      <w:pPr>
        <w:pStyle w:val="183"/>
        <w:spacing w:before="0" w:line="360" w:lineRule="auto"/>
        <w:ind w:firstLine="640" w:firstLineChars="200"/>
        <w:rPr>
          <w:rFonts w:hint="eastAsia" w:ascii="楷体_GB2312" w:hAnsi="楷体_GB2312" w:eastAsia="楷体_GB2312" w:cs="楷体_GB2312"/>
          <w:kern w:val="2"/>
          <w:sz w:val="32"/>
          <w:szCs w:val="32"/>
          <w:lang w:eastAsia="zh-CN"/>
        </w:rPr>
      </w:pPr>
      <w:r>
        <w:rPr>
          <w:rFonts w:hint="eastAsia" w:ascii="楷体_GB2312" w:hAnsi="楷体_GB2312" w:eastAsia="楷体_GB2312" w:cs="楷体_GB2312"/>
          <w:kern w:val="2"/>
          <w:sz w:val="32"/>
          <w:szCs w:val="32"/>
        </w:rPr>
        <w:t>（四）绩效目标设置情况</w:t>
      </w:r>
    </w:p>
    <w:p>
      <w:pPr>
        <w:pStyle w:val="183"/>
        <w:spacing w:before="0" w:line="360" w:lineRule="auto"/>
        <w:ind w:firstLine="640" w:firstLineChars="200"/>
        <w:rPr>
          <w:rFonts w:hint="eastAsia" w:cs="仿宋_GB2312"/>
          <w:color w:val="auto"/>
          <w:kern w:val="2"/>
          <w:sz w:val="32"/>
          <w:szCs w:val="32"/>
          <w:lang w:val="en-US" w:eastAsia="zh-CN" w:bidi="ar-SA"/>
        </w:rPr>
      </w:pPr>
      <w:r>
        <w:rPr>
          <w:rFonts w:hint="eastAsia" w:cs="仿宋_GB2312"/>
          <w:color w:val="auto"/>
          <w:kern w:val="2"/>
          <w:sz w:val="32"/>
          <w:szCs w:val="32"/>
          <w:lang w:bidi="ar-SA"/>
        </w:rPr>
        <w:t>202</w:t>
      </w:r>
      <w:r>
        <w:rPr>
          <w:rFonts w:hint="eastAsia" w:cs="仿宋_GB2312"/>
          <w:color w:val="auto"/>
          <w:kern w:val="2"/>
          <w:sz w:val="32"/>
          <w:szCs w:val="32"/>
          <w:lang w:val="en-US" w:eastAsia="zh-CN" w:bidi="ar-SA"/>
        </w:rPr>
        <w:t>6</w:t>
      </w:r>
      <w:r>
        <w:rPr>
          <w:rFonts w:hint="eastAsia" w:cs="仿宋_GB2312"/>
          <w:color w:val="auto"/>
          <w:kern w:val="2"/>
          <w:sz w:val="32"/>
          <w:szCs w:val="32"/>
          <w:lang w:bidi="ar-SA"/>
        </w:rPr>
        <w:t>年州政府办</w:t>
      </w:r>
      <w:r>
        <w:rPr>
          <w:rFonts w:hint="eastAsia" w:cs="仿宋_GB2312"/>
          <w:color w:val="auto"/>
          <w:kern w:val="2"/>
          <w:sz w:val="32"/>
          <w:szCs w:val="32"/>
          <w:lang w:eastAsia="zh-CN" w:bidi="ar-SA"/>
        </w:rPr>
        <w:t>公室</w:t>
      </w:r>
      <w:r>
        <w:rPr>
          <w:rFonts w:hint="eastAsia" w:cs="仿宋_GB2312"/>
          <w:color w:val="auto"/>
          <w:kern w:val="2"/>
          <w:sz w:val="32"/>
          <w:szCs w:val="32"/>
          <w:lang w:bidi="ar-SA"/>
        </w:rPr>
        <w:t>通用项目和专用项目均按要求实行绩效目标管理，涉及一般公共预算当年拨款</w:t>
      </w:r>
      <w:r>
        <w:rPr>
          <w:rFonts w:hint="eastAsia" w:ascii="仿宋_GB2312" w:eastAsia="仿宋_GB2312" w:cs="仿宋_GB2312"/>
          <w:b w:val="0"/>
          <w:bCs w:val="0"/>
          <w:color w:val="auto"/>
          <w:sz w:val="32"/>
          <w:szCs w:val="32"/>
          <w:lang w:val="en-US" w:eastAsia="zh-CN"/>
        </w:rPr>
        <w:t>3,589.56</w:t>
      </w:r>
      <w:r>
        <w:rPr>
          <w:rFonts w:hint="eastAsia" w:cs="仿宋_GB2312"/>
          <w:color w:val="auto"/>
          <w:kern w:val="2"/>
          <w:sz w:val="32"/>
          <w:szCs w:val="32"/>
          <w:lang w:bidi="ar-SA"/>
        </w:rPr>
        <w:t>万元</w:t>
      </w:r>
      <w:r>
        <w:rPr>
          <w:rFonts w:hint="eastAsia" w:cs="仿宋_GB2312"/>
          <w:color w:val="auto"/>
          <w:kern w:val="2"/>
          <w:sz w:val="32"/>
          <w:szCs w:val="32"/>
          <w:lang w:val="en-US" w:eastAsia="zh-CN" w:bidi="ar-SA"/>
        </w:rPr>
        <w:t>。</w:t>
      </w:r>
    </w:p>
    <w:p>
      <w:pPr>
        <w:pStyle w:val="183"/>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83"/>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w:t>
      </w:r>
      <w:r>
        <w:rPr>
          <w:rFonts w:hint="eastAsia" w:ascii="??" w:hAnsi="??" w:eastAsia="宋体" w:cs="宋体"/>
          <w:sz w:val="16"/>
          <w:lang w:val="en-US" w:eastAsia="zh-CN"/>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83"/>
        <w:spacing w:before="0" w:line="360" w:lineRule="auto"/>
        <w:ind w:firstLine="0" w:firstLineChars="0"/>
        <w:rPr>
          <w:rFonts w:hint="eastAsia" w:eastAsia="仿宋_GB2312" w:cs="仿宋_GB2312"/>
          <w:kern w:val="2"/>
          <w:sz w:val="32"/>
          <w:szCs w:val="32"/>
          <w:lang w:eastAsia="zh-CN"/>
        </w:rPr>
      </w:pPr>
      <w:r>
        <w:rPr>
          <w:rFonts w:hint="eastAsia" w:cs="仿宋_GB2312"/>
          <w:kern w:val="2"/>
          <w:sz w:val="32"/>
          <w:szCs w:val="32"/>
        </w:rPr>
        <w:t xml:space="preserve">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83"/>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83"/>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83"/>
        <w:spacing w:before="0" w:line="360" w:lineRule="auto"/>
        <w:ind w:firstLine="0" w:firstLineChars="0"/>
        <w:rPr>
          <w:rFonts w:hint="eastAsia" w:eastAsia="仿宋_GB2312" w:cs="仿宋_GB2312"/>
          <w:kern w:val="2"/>
          <w:sz w:val="32"/>
          <w:szCs w:val="32"/>
          <w:lang w:eastAsia="zh-CN"/>
        </w:rPr>
      </w:pPr>
      <w:r>
        <w:rPr>
          <w:rFonts w:hint="eastAsia" w:cs="仿宋_GB2312"/>
          <w:kern w:val="2"/>
          <w:sz w:val="32"/>
          <w:szCs w:val="32"/>
        </w:rPr>
        <w:t xml:space="preserve">    </w:t>
      </w: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83"/>
        <w:spacing w:before="0" w:line="360" w:lineRule="auto"/>
        <w:ind w:firstLine="640" w:firstLineChars="200"/>
        <w:rPr>
          <w:rFonts w:cs="仿宋_GB2312"/>
          <w:kern w:val="2"/>
          <w:sz w:val="32"/>
          <w:szCs w:val="32"/>
        </w:rPr>
      </w:pPr>
      <w:r>
        <w:rPr>
          <w:rFonts w:hint="eastAsia" w:asci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LGC Sans"/>
    <w:panose1 w:val="020B0603030804020204"/>
    <w:charset w:val="00"/>
    <w:family w:val="auto"/>
    <w:pitch w:val="default"/>
    <w:sig w:usb0="00000000" w:usb1="00000000" w:usb2="00000000" w:usb3="00000000" w:csb0="00000000" w:csb1="00000000"/>
  </w:font>
  <w:font w:name="DejaVu LGC Sans">
    <w:panose1 w:val="020B0603030804020204"/>
    <w:charset w:val="00"/>
    <w:family w:val="auto"/>
    <w:pitch w:val="default"/>
    <w:sig w:usb0="E00002FF" w:usb1="5200FDFF" w:usb2="02040021" w:usb3="04000000" w:csb0="600001FF" w:csb1="DFFF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CC154A"/>
    <w:multiLevelType w:val="multilevel"/>
    <w:tmpl w:val="AECC154A"/>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F7CF83BC"/>
    <w:multiLevelType w:val="multilevel"/>
    <w:tmpl w:val="F7CF83BC"/>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drawingGridHorizontalSpacing w:val="0"/>
  <w:drawingGridVerticalSpacing w:val="312"/>
  <w:displayHorizontalDrawingGridEvery w:val="0"/>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B521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qFormat="1"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hint="default"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paragraph" w:styleId="6">
    <w:name w:val="heading 4"/>
    <w:basedOn w:val="1"/>
    <w:next w:val="1"/>
    <w:link w:val="38"/>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39"/>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0"/>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1"/>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2"/>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3"/>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pPr>
      <w:widowControl w:val="0"/>
      <w:ind w:left="2100"/>
      <w:jc w:val="center"/>
    </w:pPr>
    <w:rPr>
      <w:rFonts w:ascii="方正小标宋简体" w:eastAsia="方正小标宋简体" w:cs="Times New Roman"/>
      <w:kern w:val="2"/>
      <w:sz w:val="21"/>
      <w:szCs w:val="24"/>
      <w:lang w:val="en-US" w:eastAsia="zh-CN" w:bidi="ar-SA"/>
    </w:rPr>
  </w:style>
  <w:style w:type="paragraph" w:styleId="12">
    <w:name w:val="toc 7"/>
    <w:basedOn w:val="1"/>
    <w:next w:val="1"/>
    <w:unhideWhenUsed/>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toc 5"/>
    <w:basedOn w:val="1"/>
    <w:next w:val="1"/>
    <w:unhideWhenUsed/>
    <w:uiPriority w:val="39"/>
    <w:pPr>
      <w:spacing w:after="57"/>
      <w:ind w:left="1134" w:right="0" w:firstLine="0"/>
    </w:pPr>
  </w:style>
  <w:style w:type="paragraph" w:styleId="15">
    <w:name w:val="toc 3"/>
    <w:basedOn w:val="1"/>
    <w:next w:val="1"/>
    <w:unhideWhenUsed/>
    <w:uiPriority w:val="39"/>
    <w:pPr>
      <w:spacing w:after="57"/>
      <w:ind w:left="567" w:right="0" w:firstLine="0"/>
    </w:pPr>
  </w:style>
  <w:style w:type="paragraph" w:styleId="16">
    <w:name w:val="toc 8"/>
    <w:basedOn w:val="1"/>
    <w:next w:val="1"/>
    <w:unhideWhenUsed/>
    <w:uiPriority w:val="39"/>
    <w:pPr>
      <w:spacing w:after="57"/>
      <w:ind w:left="1984" w:right="0" w:firstLine="0"/>
    </w:pPr>
  </w:style>
  <w:style w:type="paragraph" w:styleId="17">
    <w:name w:val="endnote text"/>
    <w:basedOn w:val="1"/>
    <w:link w:val="180"/>
    <w:semiHidden/>
    <w:unhideWhenUsed/>
    <w:uiPriority w:val="99"/>
    <w:pPr>
      <w:spacing w:after="0" w:line="240" w:lineRule="auto"/>
    </w:pPr>
    <w:rPr>
      <w:sz w:val="20"/>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6"/>
    <w:qFormat/>
    <w:uiPriority w:val="11"/>
    <w:pPr>
      <w:spacing w:before="200" w:after="200"/>
    </w:pPr>
    <w:rPr>
      <w:sz w:val="24"/>
      <w:szCs w:val="24"/>
    </w:rPr>
  </w:style>
  <w:style w:type="paragraph" w:styleId="23">
    <w:name w:val="footnote text"/>
    <w:basedOn w:val="1"/>
    <w:link w:val="179"/>
    <w:semiHidden/>
    <w:unhideWhenUsed/>
    <w:uiPriority w:val="99"/>
    <w:pPr>
      <w:spacing w:after="40" w:line="240" w:lineRule="auto"/>
    </w:pPr>
    <w:rPr>
      <w:sz w:val="18"/>
    </w:rPr>
  </w:style>
  <w:style w:type="paragraph" w:styleId="24">
    <w:name w:val="toc 6"/>
    <w:basedOn w:val="1"/>
    <w:next w:val="1"/>
    <w:unhideWhenUsed/>
    <w:uiPriority w:val="39"/>
    <w:pPr>
      <w:spacing w:after="57"/>
      <w:ind w:left="1417" w:right="0" w:firstLine="0"/>
    </w:pPr>
  </w:style>
  <w:style w:type="paragraph" w:styleId="25">
    <w:name w:val="table of figures"/>
    <w:basedOn w:val="1"/>
    <w:next w:val="1"/>
    <w:unhideWhenUsed/>
    <w:uiPriority w:val="99"/>
    <w:pPr>
      <w:spacing w:after="0" w:afterAutospacing="0"/>
    </w:pPr>
  </w:style>
  <w:style w:type="paragraph" w:styleId="26">
    <w:name w:val="toc 2"/>
    <w:basedOn w:val="1"/>
    <w:next w:val="1"/>
    <w:unhideWhenUsed/>
    <w:uiPriority w:val="39"/>
    <w:pPr>
      <w:spacing w:after="57"/>
      <w:ind w:left="283" w:right="0" w:firstLine="0"/>
    </w:pPr>
  </w:style>
  <w:style w:type="paragraph" w:styleId="27">
    <w:name w:val="toc 9"/>
    <w:basedOn w:val="1"/>
    <w:next w:val="1"/>
    <w:unhideWhenUsed/>
    <w:uiPriority w:val="39"/>
    <w:pPr>
      <w:spacing w:after="57"/>
      <w:ind w:left="2268" w:right="0" w:firstLine="0"/>
    </w:pPr>
  </w:style>
  <w:style w:type="paragraph" w:styleId="28">
    <w:name w:val="Title"/>
    <w:basedOn w:val="1"/>
    <w:next w:val="1"/>
    <w:link w:val="45"/>
    <w:qFormat/>
    <w:uiPriority w:val="10"/>
    <w:pPr>
      <w:spacing w:before="300" w:after="200"/>
      <w:contextualSpacing/>
    </w:pPr>
    <w:rPr>
      <w:sz w:val="48"/>
      <w:szCs w:val="48"/>
    </w:rPr>
  </w:style>
  <w:style w:type="table" w:styleId="30">
    <w:name w:val="Table Grid"/>
    <w:basedOn w:val="2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basedOn w:val="31"/>
    <w:semiHidden/>
    <w:unhideWhenUsed/>
    <w:uiPriority w:val="99"/>
    <w:rPr>
      <w:vertAlign w:val="superscript"/>
    </w:rPr>
  </w:style>
  <w:style w:type="character" w:styleId="33">
    <w:name w:val="Hyperlink"/>
    <w:unhideWhenUsed/>
    <w:uiPriority w:val="99"/>
    <w:rPr>
      <w:color w:val="0000FF" w:themeColor="hyperlink"/>
      <w:u w:val="single"/>
      <w14:textFill>
        <w14:solidFill>
          <w14:schemeClr w14:val="hlink"/>
        </w14:solidFill>
      </w14:textFill>
    </w:rPr>
  </w:style>
  <w:style w:type="character" w:styleId="34">
    <w:name w:val="footnote reference"/>
    <w:basedOn w:val="31"/>
    <w:unhideWhenUsed/>
    <w:uiPriority w:val="99"/>
    <w:rPr>
      <w:vertAlign w:val="superscript"/>
    </w:rPr>
  </w:style>
  <w:style w:type="character" w:customStyle="1" w:styleId="35">
    <w:name w:val="Heading 1 Char"/>
    <w:basedOn w:val="31"/>
    <w:qFormat/>
    <w:uiPriority w:val="9"/>
    <w:rPr>
      <w:rFonts w:ascii="Arial" w:hAnsi="Arial" w:eastAsia="Arial" w:cs="Arial"/>
      <w:sz w:val="40"/>
      <w:szCs w:val="40"/>
    </w:rPr>
  </w:style>
  <w:style w:type="character" w:customStyle="1" w:styleId="36">
    <w:name w:val="Heading 2 Char"/>
    <w:basedOn w:val="31"/>
    <w:qFormat/>
    <w:uiPriority w:val="9"/>
    <w:rPr>
      <w:rFonts w:ascii="Arial" w:hAnsi="Arial" w:eastAsia="Arial" w:cs="Arial"/>
      <w:sz w:val="34"/>
    </w:rPr>
  </w:style>
  <w:style w:type="character" w:customStyle="1" w:styleId="37">
    <w:name w:val="Heading 3 Char"/>
    <w:basedOn w:val="31"/>
    <w:uiPriority w:val="9"/>
    <w:rPr>
      <w:rFonts w:ascii="Arial" w:hAnsi="Arial" w:eastAsia="Arial" w:cs="Arial"/>
      <w:sz w:val="30"/>
      <w:szCs w:val="30"/>
    </w:rPr>
  </w:style>
  <w:style w:type="character" w:customStyle="1" w:styleId="38">
    <w:name w:val="Heading 4 Char"/>
    <w:basedOn w:val="31"/>
    <w:link w:val="6"/>
    <w:uiPriority w:val="9"/>
    <w:rPr>
      <w:rFonts w:ascii="Arial" w:hAnsi="Arial" w:eastAsia="Arial" w:cs="Arial"/>
      <w:b/>
      <w:bCs/>
      <w:sz w:val="26"/>
      <w:szCs w:val="26"/>
    </w:rPr>
  </w:style>
  <w:style w:type="character" w:customStyle="1" w:styleId="39">
    <w:name w:val="Heading 5 Char"/>
    <w:basedOn w:val="31"/>
    <w:link w:val="7"/>
    <w:qFormat/>
    <w:uiPriority w:val="9"/>
    <w:rPr>
      <w:rFonts w:ascii="Arial" w:hAnsi="Arial" w:eastAsia="Arial" w:cs="Arial"/>
      <w:b/>
      <w:bCs/>
      <w:sz w:val="24"/>
      <w:szCs w:val="24"/>
    </w:rPr>
  </w:style>
  <w:style w:type="character" w:customStyle="1" w:styleId="40">
    <w:name w:val="Heading 6 Char"/>
    <w:basedOn w:val="31"/>
    <w:link w:val="8"/>
    <w:qFormat/>
    <w:uiPriority w:val="9"/>
    <w:rPr>
      <w:rFonts w:ascii="Arial" w:hAnsi="Arial" w:eastAsia="Arial" w:cs="Arial"/>
      <w:b/>
      <w:bCs/>
      <w:sz w:val="22"/>
      <w:szCs w:val="22"/>
    </w:rPr>
  </w:style>
  <w:style w:type="character" w:customStyle="1" w:styleId="41">
    <w:name w:val="Heading 7 Char"/>
    <w:basedOn w:val="31"/>
    <w:link w:val="9"/>
    <w:qFormat/>
    <w:uiPriority w:val="9"/>
    <w:rPr>
      <w:rFonts w:ascii="Arial" w:hAnsi="Arial" w:eastAsia="Arial" w:cs="Arial"/>
      <w:b/>
      <w:bCs/>
      <w:i/>
      <w:iCs/>
      <w:sz w:val="22"/>
      <w:szCs w:val="22"/>
    </w:rPr>
  </w:style>
  <w:style w:type="character" w:customStyle="1" w:styleId="42">
    <w:name w:val="Heading 8 Char"/>
    <w:basedOn w:val="31"/>
    <w:link w:val="10"/>
    <w:uiPriority w:val="9"/>
    <w:rPr>
      <w:rFonts w:ascii="Arial" w:hAnsi="Arial" w:eastAsia="Arial" w:cs="Arial"/>
      <w:i/>
      <w:iCs/>
      <w:sz w:val="22"/>
      <w:szCs w:val="22"/>
    </w:rPr>
  </w:style>
  <w:style w:type="character" w:customStyle="1" w:styleId="43">
    <w:name w:val="Heading 9 Char"/>
    <w:basedOn w:val="31"/>
    <w:link w:val="11"/>
    <w:uiPriority w:val="9"/>
    <w:rPr>
      <w:rFonts w:ascii="Arial" w:hAnsi="Arial" w:eastAsia="Arial" w:cs="Arial"/>
      <w:i/>
      <w:iCs/>
      <w:sz w:val="21"/>
      <w:szCs w:val="21"/>
    </w:r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basedOn w:val="31"/>
    <w:link w:val="28"/>
    <w:qFormat/>
    <w:uiPriority w:val="10"/>
    <w:rPr>
      <w:sz w:val="48"/>
      <w:szCs w:val="48"/>
    </w:rPr>
  </w:style>
  <w:style w:type="character" w:customStyle="1" w:styleId="46">
    <w:name w:val="Subtitle Char"/>
    <w:basedOn w:val="31"/>
    <w:link w:val="22"/>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31"/>
    <w:uiPriority w:val="99"/>
  </w:style>
  <w:style w:type="character" w:customStyle="1" w:styleId="52">
    <w:name w:val="Footer Char"/>
    <w:basedOn w:val="31"/>
    <w:uiPriority w:val="99"/>
  </w:style>
  <w:style w:type="character" w:customStyle="1" w:styleId="53">
    <w:name w:val="Caption Char"/>
    <w:qFormat/>
    <w:uiPriority w:val="99"/>
  </w:style>
  <w:style w:type="table" w:customStyle="1" w:styleId="54">
    <w:name w:val="Table Grid Light"/>
    <w:basedOn w:val="29"/>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basedOn w:val="29"/>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basedOn w:val="2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basedOn w:val="29"/>
    <w:uiPriority w:val="99"/>
    <w:pPr>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basedOn w:val="29"/>
    <w:qFormat/>
    <w:uiPriority w:val="99"/>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basedOn w:val="29"/>
    <w:uiPriority w:val="99"/>
    <w:pPr>
      <w:spacing w:after="0" w:line="240" w:lineRule="auto"/>
    </w:pP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basedOn w:val="29"/>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9"/>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2">
    <w:name w:val="Grid Table 1 Light - Accent 2"/>
    <w:basedOn w:val="29"/>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3">
    <w:name w:val="Grid Table 1 Light - Accent 3"/>
    <w:basedOn w:val="29"/>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4">
    <w:name w:val="Grid Table 1 Light - Accent 4"/>
    <w:basedOn w:val="2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5">
    <w:name w:val="Grid Table 1 Light - Accent 5"/>
    <w:basedOn w:val="29"/>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6">
    <w:name w:val="Grid Table 1 Light - Accent 6"/>
    <w:basedOn w:val="29"/>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7">
    <w:name w:val="Grid Table 2"/>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basedOn w:val="29"/>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2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2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2 - Accent 4"/>
    <w:basedOn w:val="2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2 - Accent 5"/>
    <w:basedOn w:val="29"/>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2 - Accent 6"/>
    <w:basedOn w:val="29"/>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basedOn w:val="29"/>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3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3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3 - Accent 4"/>
    <w:basedOn w:val="29"/>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3 - Accent 5"/>
    <w:basedOn w:val="29"/>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3 - Accent 6"/>
    <w:basedOn w:val="29"/>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4"/>
    <w:basedOn w:val="29"/>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basedOn w:val="29"/>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3">
    <w:name w:val="Grid Table 4 - Accent 2"/>
    <w:basedOn w:val="29"/>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4 - Accent 3"/>
    <w:basedOn w:val="29"/>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4 - Accent 4"/>
    <w:basedOn w:val="29"/>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4 - Accent 5"/>
    <w:basedOn w:val="29"/>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4 - Accent 6"/>
    <w:basedOn w:val="29"/>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5 Dark"/>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0">
    <w:name w:val="Grid Table 5 Dark - Accent 2"/>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1">
    <w:name w:val="Grid Table 5 Dark - Accent 3"/>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2">
    <w:name w:val="Grid Table 5 Dark- Accent 4"/>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3">
    <w:name w:val="Grid Table 5 Dark - Accent 5"/>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4">
    <w:name w:val="Grid Table 5 Dark - Accent 6"/>
    <w:basedOn w:val="29"/>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5">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9"/>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9"/>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basedOn w:val="29"/>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9"/>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1">
    <w:name w:val="Grid Table 6 Colorful - Accent 6"/>
    <w:basedOn w:val="29"/>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2">
    <w:name w:val="Grid Table 7 Colorful"/>
    <w:basedOn w:val="29"/>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9"/>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9"/>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9"/>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basedOn w:val="29"/>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9"/>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7 Colorful - Accent 6"/>
    <w:basedOn w:val="29"/>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9">
    <w:name w:val="List Table 1 Light"/>
    <w:basedOn w:val="29"/>
    <w:uiPriority w:val="99"/>
    <w:pPr>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basedOn w:val="29"/>
    <w:uiPriority w:val="99"/>
    <w:pPr>
      <w:spacing w:after="0" w:line="240" w:lineRule="auto"/>
    </w:pP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1">
    <w:name w:val="List Table 1 Light - Accent 2"/>
    <w:basedOn w:val="29"/>
    <w:uiPriority w:val="99"/>
    <w:pPr>
      <w:spacing w:after="0" w:line="240" w:lineRule="auto"/>
    </w:pP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2">
    <w:name w:val="List Table 1 Light - Accent 3"/>
    <w:basedOn w:val="29"/>
    <w:qFormat/>
    <w:uiPriority w:val="99"/>
    <w:pPr>
      <w:spacing w:after="0" w:line="240" w:lineRule="auto"/>
    </w:pP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3">
    <w:name w:val="List Table 1 Light - Accent 4"/>
    <w:basedOn w:val="29"/>
    <w:uiPriority w:val="99"/>
    <w:pPr>
      <w:spacing w:after="0" w:line="240" w:lineRule="auto"/>
    </w:pP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4">
    <w:name w:val="List Table 1 Light - Accent 5"/>
    <w:basedOn w:val="29"/>
    <w:uiPriority w:val="99"/>
    <w:pPr>
      <w:spacing w:after="0" w:line="240" w:lineRule="auto"/>
    </w:pP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5">
    <w:name w:val="List Table 1 Light - Accent 6"/>
    <w:basedOn w:val="29"/>
    <w:uiPriority w:val="99"/>
    <w:pPr>
      <w:spacing w:after="0" w:line="240" w:lineRule="auto"/>
    </w:pP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6">
    <w:name w:val="List Table 2"/>
    <w:basedOn w:val="29"/>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basedOn w:val="29"/>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8">
    <w:name w:val="List Table 2 - Accent 2"/>
    <w:basedOn w:val="29"/>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9">
    <w:name w:val="List Table 2 - Accent 3"/>
    <w:basedOn w:val="29"/>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0">
    <w:name w:val="List Table 2 - Accent 4"/>
    <w:basedOn w:val="29"/>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1">
    <w:name w:val="List Table 2 - Accent 5"/>
    <w:basedOn w:val="29"/>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2">
    <w:name w:val="List Table 2 - Accent 6"/>
    <w:basedOn w:val="29"/>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3">
    <w:name w:val="List Table 3"/>
    <w:basedOn w:val="29"/>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9"/>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5">
    <w:name w:val="List Table 3 - Accent 2"/>
    <w:basedOn w:val="29"/>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6">
    <w:name w:val="List Table 3 - Accent 3"/>
    <w:basedOn w:val="29"/>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7">
    <w:name w:val="List Table 3 - Accent 4"/>
    <w:basedOn w:val="29"/>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8">
    <w:name w:val="List Table 3 - Accent 5"/>
    <w:basedOn w:val="29"/>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9">
    <w:name w:val="List Table 3 - Accent 6"/>
    <w:basedOn w:val="29"/>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0">
    <w:name w:val="List Table 4"/>
    <w:basedOn w:val="29"/>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basedOn w:val="29"/>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2">
    <w:name w:val="List Table 4 - Accent 2"/>
    <w:basedOn w:val="29"/>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3">
    <w:name w:val="List Table 4 - Accent 3"/>
    <w:basedOn w:val="29"/>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4">
    <w:name w:val="List Table 4 - Accent 4"/>
    <w:basedOn w:val="29"/>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5">
    <w:name w:val="List Table 4 - Accent 5"/>
    <w:basedOn w:val="29"/>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6">
    <w:name w:val="List Table 4 - Accent 6"/>
    <w:basedOn w:val="29"/>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7">
    <w:name w:val="List Table 5 Dark"/>
    <w:basedOn w:val="29"/>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basedOn w:val="29"/>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9">
    <w:name w:val="List Table 5 Dark - Accent 2"/>
    <w:basedOn w:val="29"/>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0">
    <w:name w:val="List Table 5 Dark - Accent 3"/>
    <w:basedOn w:val="29"/>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1">
    <w:name w:val="List Table 5 Dark - Accent 4"/>
    <w:basedOn w:val="29"/>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2">
    <w:name w:val="List Table 5 Dark - Accent 5"/>
    <w:basedOn w:val="29"/>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3">
    <w:name w:val="List Table 5 Dark - Accent 6"/>
    <w:basedOn w:val="29"/>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4">
    <w:name w:val="List Table 6 Colorful"/>
    <w:basedOn w:val="29"/>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9"/>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6">
    <w:name w:val="List Table 6 Colorful - Accent 2"/>
    <w:basedOn w:val="29"/>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9"/>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9"/>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9"/>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9"/>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1">
    <w:name w:val="List Table 7 Colorful"/>
    <w:basedOn w:val="29"/>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9"/>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7 Colorful - Accent 2"/>
    <w:basedOn w:val="29"/>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9"/>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9"/>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9"/>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9"/>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9"/>
    <w:uiPriority w:val="99"/>
    <w:pPr>
      <w:spacing w:after="0" w:line="240" w:lineRule="auto"/>
    </w:pPr>
    <w:rPr>
      <w:color w:val="404040"/>
    </w:rP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basedOn w:val="29"/>
    <w:uiPriority w:val="99"/>
    <w:pPr>
      <w:spacing w:after="0" w:line="240" w:lineRule="auto"/>
    </w:pPr>
    <w:rPr>
      <w:color w:val="404040"/>
    </w:rP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Lined - Accent 2"/>
    <w:basedOn w:val="29"/>
    <w:uiPriority w:val="99"/>
    <w:pPr>
      <w:spacing w:after="0" w:line="240" w:lineRule="auto"/>
    </w:pPr>
    <w:rPr>
      <w:color w:val="404040"/>
    </w:rP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Lined - Accent 3"/>
    <w:basedOn w:val="29"/>
    <w:uiPriority w:val="99"/>
    <w:pPr>
      <w:spacing w:after="0" w:line="240" w:lineRule="auto"/>
    </w:pPr>
    <w:rPr>
      <w:color w:val="404040"/>
    </w:rP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Lined - Accent 4"/>
    <w:basedOn w:val="29"/>
    <w:uiPriority w:val="99"/>
    <w:pPr>
      <w:spacing w:after="0" w:line="240" w:lineRule="auto"/>
    </w:pPr>
    <w:rPr>
      <w:color w:val="404040"/>
    </w:rP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Lined - Accent 5"/>
    <w:basedOn w:val="29"/>
    <w:uiPriority w:val="99"/>
    <w:pPr>
      <w:spacing w:after="0" w:line="240" w:lineRule="auto"/>
    </w:pPr>
    <w:rPr>
      <w:color w:val="404040"/>
    </w:rP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Lined - Accent 6"/>
    <w:basedOn w:val="29"/>
    <w:uiPriority w:val="99"/>
    <w:pPr>
      <w:spacing w:after="0" w:line="240" w:lineRule="auto"/>
    </w:pPr>
    <w:rPr>
      <w:color w:val="404040"/>
    </w:rP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amp; Lined - Accent"/>
    <w:basedOn w:val="29"/>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basedOn w:val="29"/>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Bordered &amp; Lined - Accent 2"/>
    <w:basedOn w:val="29"/>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Bordered &amp; Lined - Accent 3"/>
    <w:basedOn w:val="29"/>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Bordered &amp; Lined - Accent 4"/>
    <w:basedOn w:val="29"/>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Bordered &amp; Lined - Accent 5"/>
    <w:basedOn w:val="29"/>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Bordered &amp; Lined - Accent 6"/>
    <w:basedOn w:val="29"/>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w:basedOn w:val="29"/>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4">
    <w:name w:val="Bordered - Accent 2"/>
    <w:basedOn w:val="29"/>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5">
    <w:name w:val="Bordered - Accent 3"/>
    <w:basedOn w:val="29"/>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6">
    <w:name w:val="Bordered - Accent 4"/>
    <w:basedOn w:val="29"/>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7">
    <w:name w:val="Bordered - Accent 5"/>
    <w:basedOn w:val="29"/>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8">
    <w:name w:val="Bordered - Accent 6"/>
    <w:basedOn w:val="29"/>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9">
    <w:name w:val="Footnote Text Char"/>
    <w:link w:val="23"/>
    <w:uiPriority w:val="99"/>
    <w:rPr>
      <w:sz w:val="18"/>
    </w:rPr>
  </w:style>
  <w:style w:type="character" w:customStyle="1" w:styleId="180">
    <w:name w:val="Endnote Text Char"/>
    <w:link w:val="17"/>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paragraph" w:styleId="182">
    <w:name w:val="List Paragraph"/>
    <w:basedOn w:val="1"/>
    <w:qFormat/>
    <w:uiPriority w:val="0"/>
    <w:pPr>
      <w:ind w:firstLine="200" w:firstLineChars="200"/>
    </w:pPr>
  </w:style>
  <w:style w:type="paragraph" w:customStyle="1" w:styleId="18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TotalTime>0</TotalTime>
  <ScaleCrop>false</ScaleCrop>
  <LinksUpToDate>false</LinksUpToDate>
  <Application>WPS Office_11.8.2.12320_F1E327BC-269C-435d-A152-05C5408002CA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覃旭</cp:lastModifiedBy>
  <dcterms:modified xsi:type="dcterms:W3CDTF">2026-01-28T11:46:22Z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ADCBD97C20F8AAE58E86796906F4C877</vt:lpwstr>
  </property>
</Properties>
</file>