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40" w:lineRule="exact"/>
        <w:ind w:left="0" w:leftChars="0" w:firstLine="420" w:firstLineChars="200"/>
        <w:jc w:val="both"/>
        <w:textAlignment w:val="auto"/>
      </w:pPr>
      <w:bookmarkStart w:id="0" w:name="_GoBack"/>
      <w:bookmarkEnd w:id="0"/>
    </w:p>
    <w:p>
      <w:pPr>
        <w:keepNext w:val="0"/>
        <w:keepLines w:val="0"/>
        <w:pageBreakBefore w:val="0"/>
        <w:kinsoku/>
        <w:wordWrap/>
        <w:overflowPunct/>
        <w:topLinePunct w:val="0"/>
        <w:autoSpaceDE/>
        <w:autoSpaceDN/>
        <w:bidi w:val="0"/>
        <w:adjustRightInd/>
        <w:snapToGrid/>
        <w:spacing w:line="540" w:lineRule="exact"/>
        <w:ind w:left="0" w:leftChars="0" w:firstLine="420" w:firstLineChars="200"/>
        <w:jc w:val="both"/>
        <w:textAlignment w:val="auto"/>
      </w:pPr>
    </w:p>
    <w:p>
      <w:pPr>
        <w:keepNext w:val="0"/>
        <w:keepLines w:val="0"/>
        <w:pageBreakBefore w:val="0"/>
        <w:kinsoku/>
        <w:wordWrap/>
        <w:overflowPunct/>
        <w:topLinePunct w:val="0"/>
        <w:autoSpaceDE/>
        <w:autoSpaceDN/>
        <w:bidi w:val="0"/>
        <w:adjustRightInd/>
        <w:snapToGrid/>
        <w:spacing w:line="540" w:lineRule="exact"/>
        <w:ind w:left="0" w:leftChars="0" w:firstLine="420" w:firstLineChars="200"/>
        <w:jc w:val="both"/>
        <w:textAlignment w:val="auto"/>
      </w:pPr>
    </w:p>
    <w:p>
      <w:pPr>
        <w:keepNext w:val="0"/>
        <w:keepLines w:val="0"/>
        <w:pageBreakBefore w:val="0"/>
        <w:kinsoku/>
        <w:wordWrap/>
        <w:overflowPunct/>
        <w:topLinePunct w:val="0"/>
        <w:autoSpaceDE/>
        <w:autoSpaceDN/>
        <w:bidi w:val="0"/>
        <w:adjustRightInd/>
        <w:snapToGrid/>
        <w:spacing w:line="540" w:lineRule="exact"/>
        <w:ind w:left="0" w:leftChars="0" w:firstLine="420" w:firstLineChars="200"/>
        <w:jc w:val="both"/>
        <w:textAlignment w:val="auto"/>
      </w:pPr>
    </w:p>
    <w:p>
      <w:pPr>
        <w:keepNext w:val="0"/>
        <w:keepLines w:val="0"/>
        <w:pageBreakBefore w:val="0"/>
        <w:kinsoku/>
        <w:wordWrap/>
        <w:overflowPunct/>
        <w:topLinePunct w:val="0"/>
        <w:autoSpaceDE/>
        <w:autoSpaceDN/>
        <w:bidi w:val="0"/>
        <w:adjustRightInd/>
        <w:snapToGrid/>
        <w:spacing w:line="540" w:lineRule="exact"/>
        <w:ind w:left="0" w:leftChars="0" w:firstLine="420" w:firstLineChars="200"/>
        <w:jc w:val="both"/>
        <w:textAlignment w:val="auto"/>
      </w:pPr>
    </w:p>
    <w:p>
      <w:pPr>
        <w:keepNext w:val="0"/>
        <w:keepLines w:val="0"/>
        <w:pageBreakBefore w:val="0"/>
        <w:kinsoku/>
        <w:wordWrap/>
        <w:overflowPunct/>
        <w:topLinePunct w:val="0"/>
        <w:autoSpaceDE/>
        <w:autoSpaceDN/>
        <w:bidi w:val="0"/>
        <w:adjustRightInd/>
        <w:snapToGrid/>
        <w:spacing w:line="540" w:lineRule="exact"/>
        <w:ind w:left="0" w:leftChars="0" w:firstLine="880" w:firstLineChars="200"/>
        <w:jc w:val="both"/>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40" w:lineRule="exact"/>
        <w:ind w:left="0" w:leftChars="0" w:firstLine="880" w:firstLineChars="200"/>
        <w:jc w:val="both"/>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40" w:lineRule="exact"/>
        <w:ind w:left="0" w:leftChars="0" w:firstLine="880" w:firstLineChars="200"/>
        <w:jc w:val="both"/>
        <w:textAlignment w:val="auto"/>
        <w:rPr>
          <w:rFonts w:hint="eastAsia" w:ascii="黑体" w:eastAsia="黑体"/>
          <w:sz w:val="44"/>
          <w:szCs w:val="44"/>
        </w:rPr>
      </w:pPr>
    </w:p>
    <w:p>
      <w:pPr>
        <w:keepNext w:val="0"/>
        <w:keepLines w:val="0"/>
        <w:pageBreakBefore w:val="0"/>
        <w:kinsoku/>
        <w:wordWrap/>
        <w:overflowPunct/>
        <w:topLinePunct w:val="0"/>
        <w:autoSpaceDE/>
        <w:autoSpaceDN/>
        <w:bidi w:val="0"/>
        <w:adjustRightInd/>
        <w:snapToGrid/>
        <w:spacing w:line="540" w:lineRule="exact"/>
        <w:ind w:left="0" w:leftChars="0" w:firstLine="880" w:firstLineChars="200"/>
        <w:jc w:val="both"/>
        <w:textAlignment w:val="auto"/>
        <w:rPr>
          <w:rFonts w:hint="eastAsia" w:ascii="黑体" w:eastAsia="黑体"/>
          <w:sz w:val="44"/>
          <w:szCs w:val="44"/>
        </w:rPr>
      </w:pPr>
    </w:p>
    <w:p>
      <w:pPr>
        <w:keepNext w:val="0"/>
        <w:keepLines w:val="0"/>
        <w:pageBreakBefore w:val="0"/>
        <w:kinsoku/>
        <w:wordWrap/>
        <w:overflowPunct/>
        <w:topLinePunct w:val="0"/>
        <w:autoSpaceDE/>
        <w:autoSpaceDN/>
        <w:bidi w:val="0"/>
        <w:adjustRightInd/>
        <w:snapToGrid/>
        <w:spacing w:line="540" w:lineRule="exact"/>
        <w:ind w:left="0" w:leftChars="0" w:firstLine="880" w:firstLineChars="200"/>
        <w:jc w:val="both"/>
        <w:textAlignment w:val="auto"/>
        <w:rPr>
          <w:rFonts w:hint="eastAsia" w:ascii="黑体" w:eastAsia="黑体"/>
          <w:sz w:val="44"/>
          <w:szCs w:val="44"/>
        </w:rPr>
      </w:pPr>
    </w:p>
    <w:p>
      <w:pPr>
        <w:keepNext w:val="0"/>
        <w:keepLines w:val="0"/>
        <w:pageBreakBefore w:val="0"/>
        <w:kinsoku/>
        <w:wordWrap/>
        <w:overflowPunct/>
        <w:topLinePunct w:val="0"/>
        <w:autoSpaceDE/>
        <w:autoSpaceDN/>
        <w:bidi w:val="0"/>
        <w:adjustRightInd/>
        <w:snapToGrid/>
        <w:spacing w:line="540" w:lineRule="exact"/>
        <w:ind w:left="0" w:leftChars="0" w:firstLine="880" w:firstLineChars="200"/>
        <w:jc w:val="both"/>
        <w:textAlignment w:val="auto"/>
        <w:rPr>
          <w:rFonts w:hint="eastAsia" w:ascii="黑体" w:eastAsia="黑体"/>
          <w:sz w:val="44"/>
          <w:szCs w:val="44"/>
        </w:rPr>
      </w:pPr>
    </w:p>
    <w:p>
      <w:pPr>
        <w:keepNext w:val="0"/>
        <w:keepLines w:val="0"/>
        <w:pageBreakBefore w:val="0"/>
        <w:kinsoku/>
        <w:wordWrap/>
        <w:overflowPunct/>
        <w:topLinePunct w:val="0"/>
        <w:autoSpaceDE/>
        <w:autoSpaceDN/>
        <w:bidi w:val="0"/>
        <w:adjustRightInd/>
        <w:snapToGrid/>
        <w:spacing w:line="540" w:lineRule="exact"/>
        <w:ind w:left="0" w:leftChars="0" w:firstLine="880" w:firstLineChars="200"/>
        <w:jc w:val="center"/>
        <w:textAlignment w:val="auto"/>
        <w:rPr>
          <w:rFonts w:hint="eastAsia" w:ascii="黑体" w:eastAsia="黑体"/>
          <w:sz w:val="44"/>
          <w:szCs w:val="44"/>
        </w:rPr>
      </w:pPr>
    </w:p>
    <w:p>
      <w:pPr>
        <w:keepNext w:val="0"/>
        <w:keepLines w:val="0"/>
        <w:pageBreakBefore w:val="0"/>
        <w:kinsoku/>
        <w:wordWrap/>
        <w:overflowPunct/>
        <w:topLinePunct w:val="0"/>
        <w:autoSpaceDE/>
        <w:autoSpaceDN/>
        <w:bidi w:val="0"/>
        <w:adjustRightInd/>
        <w:snapToGrid/>
        <w:spacing w:line="540" w:lineRule="exact"/>
        <w:ind w:left="0" w:leftChars="0" w:firstLine="880" w:firstLineChars="200"/>
        <w:jc w:val="center"/>
        <w:textAlignment w:val="auto"/>
        <w:rPr>
          <w:rFonts w:hint="eastAsia" w:ascii="黑体" w:eastAsia="黑体"/>
          <w:sz w:val="44"/>
          <w:szCs w:val="44"/>
        </w:rPr>
      </w:pPr>
      <w:r>
        <w:rPr>
          <w:rFonts w:hint="eastAsia" w:ascii="黑体" w:eastAsia="黑体"/>
          <w:sz w:val="44"/>
          <w:szCs w:val="44"/>
        </w:rPr>
        <w:t>阿坝州政府信息公开和电子政务服务中心</w:t>
      </w:r>
    </w:p>
    <w:p>
      <w:pPr>
        <w:keepNext w:val="0"/>
        <w:keepLines w:val="0"/>
        <w:pageBreakBefore w:val="0"/>
        <w:kinsoku/>
        <w:wordWrap/>
        <w:overflowPunct/>
        <w:topLinePunct w:val="0"/>
        <w:autoSpaceDE/>
        <w:autoSpaceDN/>
        <w:bidi w:val="0"/>
        <w:adjustRightInd/>
        <w:snapToGrid/>
        <w:spacing w:line="540" w:lineRule="exact"/>
        <w:ind w:left="0" w:leftChars="0" w:firstLine="880" w:firstLineChars="200"/>
        <w:jc w:val="center"/>
        <w:textAlignment w:val="auto"/>
        <w:rPr>
          <w:rFonts w:ascii="黑体" w:eastAsia="黑体"/>
          <w:sz w:val="44"/>
          <w:szCs w:val="44"/>
        </w:rPr>
      </w:pPr>
      <w:r>
        <w:rPr>
          <w:rFonts w:ascii="黑体" w:eastAsia="黑体"/>
          <w:sz w:val="44"/>
          <w:szCs w:val="44"/>
        </w:rPr>
        <w:t>2026</w:t>
      </w:r>
      <w:r>
        <w:rPr>
          <w:rFonts w:hint="eastAsia" w:ascii="黑体" w:eastAsia="黑体"/>
          <w:sz w:val="44"/>
          <w:szCs w:val="44"/>
        </w:rPr>
        <w:t>年部门预算</w:t>
      </w:r>
    </w:p>
    <w:p>
      <w:pPr>
        <w:keepNext w:val="0"/>
        <w:keepLines w:val="0"/>
        <w:pageBreakBefore w:val="0"/>
        <w:kinsoku/>
        <w:wordWrap/>
        <w:overflowPunct/>
        <w:topLinePunct w:val="0"/>
        <w:autoSpaceDE/>
        <w:autoSpaceDN/>
        <w:bidi w:val="0"/>
        <w:adjustRightInd/>
        <w:snapToGrid/>
        <w:spacing w:line="540" w:lineRule="exact"/>
        <w:ind w:left="0" w:leftChars="0" w:firstLine="880" w:firstLineChars="200"/>
        <w:jc w:val="both"/>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40" w:lineRule="exact"/>
        <w:ind w:left="0" w:leftChars="0" w:firstLine="880" w:firstLineChars="200"/>
        <w:jc w:val="both"/>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40" w:lineRule="exact"/>
        <w:ind w:left="0" w:leftChars="0" w:firstLine="880" w:firstLineChars="200"/>
        <w:jc w:val="both"/>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40" w:lineRule="exact"/>
        <w:ind w:left="0" w:leftChars="0" w:firstLine="880" w:firstLineChars="200"/>
        <w:jc w:val="both"/>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40" w:lineRule="exact"/>
        <w:ind w:left="0" w:leftChars="0" w:firstLine="880" w:firstLineChars="200"/>
        <w:jc w:val="both"/>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40" w:lineRule="exact"/>
        <w:ind w:left="0" w:leftChars="0" w:firstLine="880" w:firstLineChars="200"/>
        <w:jc w:val="both"/>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40" w:lineRule="exact"/>
        <w:ind w:left="0" w:leftChars="0" w:firstLine="880" w:firstLineChars="200"/>
        <w:jc w:val="both"/>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40" w:lineRule="exact"/>
        <w:ind w:left="0" w:leftChars="0" w:firstLine="640" w:firstLineChars="200"/>
        <w:jc w:val="both"/>
        <w:textAlignment w:val="auto"/>
        <w:rPr>
          <w:rFonts w:ascii="黑体" w:eastAsia="黑体"/>
          <w:sz w:val="32"/>
          <w:szCs w:val="32"/>
        </w:rPr>
      </w:pPr>
      <w:r>
        <w:rPr>
          <w:rFonts w:ascii="黑体" w:eastAsia="黑体"/>
          <w:sz w:val="32"/>
          <w:szCs w:val="32"/>
        </w:rPr>
        <w:t xml:space="preserve">      已经保密审查、内容审定，同意对外公开。</w:t>
      </w:r>
    </w:p>
    <w:p>
      <w:pPr>
        <w:keepNext w:val="0"/>
        <w:keepLines w:val="0"/>
        <w:pageBreakBefore w:val="0"/>
        <w:kinsoku/>
        <w:wordWrap/>
        <w:overflowPunct/>
        <w:topLinePunct w:val="0"/>
        <w:autoSpaceDE/>
        <w:autoSpaceDN/>
        <w:bidi w:val="0"/>
        <w:adjustRightInd/>
        <w:snapToGrid/>
        <w:spacing w:line="540" w:lineRule="exact"/>
        <w:ind w:left="0" w:leftChars="0" w:firstLine="880" w:firstLineChars="200"/>
        <w:jc w:val="both"/>
        <w:textAlignment w:val="auto"/>
        <w:rPr>
          <w:rFonts w:ascii="黑体" w:eastAsia="黑体"/>
          <w:sz w:val="44"/>
          <w:szCs w:val="44"/>
        </w:rPr>
      </w:pPr>
    </w:p>
    <w:p>
      <w:pPr>
        <w:keepNext w:val="0"/>
        <w:keepLines w:val="0"/>
        <w:pageBreakBefore w:val="0"/>
        <w:kinsoku/>
        <w:wordWrap/>
        <w:overflowPunct/>
        <w:topLinePunct w:val="0"/>
        <w:autoSpaceDE/>
        <w:autoSpaceDN/>
        <w:bidi w:val="0"/>
        <w:adjustRightInd/>
        <w:snapToGrid/>
        <w:spacing w:line="540" w:lineRule="exact"/>
        <w:ind w:left="0" w:leftChars="0" w:firstLine="1040" w:firstLineChars="200"/>
        <w:jc w:val="center"/>
        <w:textAlignment w:val="auto"/>
        <w:rPr>
          <w:rFonts w:ascii="黑体" w:eastAsia="黑体"/>
          <w:sz w:val="52"/>
          <w:szCs w:val="52"/>
        </w:rPr>
      </w:pPr>
      <w:r>
        <w:rPr>
          <w:rFonts w:hint="eastAsia" w:ascii="黑体" w:eastAsia="黑体"/>
          <w:sz w:val="52"/>
          <w:szCs w:val="52"/>
        </w:rPr>
        <w:t>目录</w:t>
      </w:r>
    </w:p>
    <w:p>
      <w:pPr>
        <w:keepNext w:val="0"/>
        <w:keepLines w:val="0"/>
        <w:pageBreakBefore w:val="0"/>
        <w:kinsoku/>
        <w:wordWrap/>
        <w:overflowPunct/>
        <w:topLinePunct w:val="0"/>
        <w:autoSpaceDE/>
        <w:autoSpaceDN/>
        <w:bidi w:val="0"/>
        <w:adjustRightInd/>
        <w:snapToGrid/>
        <w:spacing w:line="540" w:lineRule="exact"/>
        <w:ind w:left="0" w:leftChars="0" w:firstLine="880" w:firstLineChars="200"/>
        <w:jc w:val="both"/>
        <w:textAlignment w:val="auto"/>
        <w:rPr>
          <w:rFonts w:ascii="黑体" w:eastAsia="黑体"/>
          <w:sz w:val="44"/>
          <w:szCs w:val="44"/>
        </w:rPr>
      </w:pPr>
    </w:p>
    <w:p>
      <w:pPr>
        <w:pStyle w:val="182"/>
        <w:keepNext w:val="0"/>
        <w:keepLines w:val="0"/>
        <w:pageBreakBefore w:val="0"/>
        <w:numPr>
          <w:ilvl w:val="0"/>
          <w:numId w:val="1"/>
        </w:numPr>
        <w:kinsoku/>
        <w:wordWrap/>
        <w:overflowPunct/>
        <w:topLinePunct w:val="0"/>
        <w:autoSpaceDE/>
        <w:autoSpaceDN/>
        <w:bidi w:val="0"/>
        <w:adjustRightInd/>
        <w:snapToGrid/>
        <w:spacing w:line="540" w:lineRule="exact"/>
        <w:ind w:left="0" w:leftChars="0" w:firstLine="0" w:firstLineChars="0"/>
        <w:jc w:val="both"/>
        <w:textAlignment w:val="auto"/>
        <w:rPr>
          <w:rFonts w:hint="eastAsia" w:ascii="黑体" w:eastAsia="黑体"/>
          <w:sz w:val="32"/>
          <w:szCs w:val="32"/>
        </w:rPr>
      </w:pPr>
      <w:r>
        <w:rPr>
          <w:rFonts w:hint="eastAsia" w:ascii="黑体" w:eastAsia="黑体"/>
          <w:sz w:val="32"/>
          <w:szCs w:val="32"/>
        </w:rPr>
        <w:t>基本职能及主要工作</w:t>
      </w:r>
    </w:p>
    <w:p>
      <w:pPr>
        <w:pStyle w:val="182"/>
        <w:keepNext w:val="0"/>
        <w:keepLines w:val="0"/>
        <w:pageBreakBefore w:val="0"/>
        <w:numPr>
          <w:ilvl w:val="0"/>
          <w:numId w:val="0"/>
        </w:numPr>
        <w:kinsoku/>
        <w:wordWrap/>
        <w:overflowPunct/>
        <w:topLinePunct w:val="0"/>
        <w:autoSpaceDE/>
        <w:autoSpaceDN/>
        <w:bidi w:val="0"/>
        <w:adjustRightInd/>
        <w:snapToGrid/>
        <w:spacing w:line="540" w:lineRule="exact"/>
        <w:ind w:leftChars="0" w:firstLine="640" w:firstLineChars="200"/>
        <w:jc w:val="both"/>
        <w:textAlignment w:val="auto"/>
        <w:rPr>
          <w:rFonts w:ascii="楷体" w:eastAsia="楷体"/>
          <w:sz w:val="32"/>
          <w:szCs w:val="32"/>
        </w:rPr>
      </w:pPr>
      <w:r>
        <w:rPr>
          <w:rFonts w:hint="eastAsia" w:ascii="楷体" w:eastAsia="楷体"/>
          <w:sz w:val="32"/>
          <w:szCs w:val="32"/>
        </w:rPr>
        <w:t>（一）部门职能简介</w:t>
      </w:r>
    </w:p>
    <w:p>
      <w:pPr>
        <w:keepNext w:val="0"/>
        <w:keepLines w:val="0"/>
        <w:pageBreakBefore w:val="0"/>
        <w:kinsoku/>
        <w:wordWrap/>
        <w:overflowPunct/>
        <w:topLinePunct w:val="0"/>
        <w:autoSpaceDE/>
        <w:autoSpaceDN/>
        <w:bidi w:val="0"/>
        <w:adjustRightInd/>
        <w:snapToGrid/>
        <w:spacing w:line="540" w:lineRule="exact"/>
        <w:ind w:left="0" w:leftChars="0" w:firstLine="640" w:firstLineChars="200"/>
        <w:jc w:val="both"/>
        <w:textAlignment w:val="auto"/>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pPr>
        <w:keepNext w:val="0"/>
        <w:keepLines w:val="0"/>
        <w:pageBreakBefore w:val="0"/>
        <w:kinsoku/>
        <w:wordWrap/>
        <w:overflowPunct/>
        <w:topLinePunct w:val="0"/>
        <w:autoSpaceDE/>
        <w:autoSpaceDN/>
        <w:bidi w:val="0"/>
        <w:adjustRightInd/>
        <w:snapToGrid/>
        <w:spacing w:line="540" w:lineRule="exact"/>
        <w:jc w:val="both"/>
        <w:textAlignment w:val="auto"/>
        <w:rPr>
          <w:rFonts w:ascii="黑体" w:eastAsia="黑体"/>
          <w:sz w:val="32"/>
          <w:szCs w:val="32"/>
        </w:rPr>
      </w:pPr>
      <w:r>
        <w:rPr>
          <w:rFonts w:hint="eastAsia" w:ascii="黑体" w:eastAsia="黑体"/>
          <w:sz w:val="32"/>
          <w:szCs w:val="32"/>
        </w:rPr>
        <w:t>二、部门预算单位构成</w:t>
      </w:r>
    </w:p>
    <w:p>
      <w:pPr>
        <w:keepNext w:val="0"/>
        <w:keepLines w:val="0"/>
        <w:pageBreakBefore w:val="0"/>
        <w:kinsoku/>
        <w:wordWrap/>
        <w:overflowPunct/>
        <w:topLinePunct w:val="0"/>
        <w:autoSpaceDE/>
        <w:autoSpaceDN/>
        <w:bidi w:val="0"/>
        <w:adjustRightInd/>
        <w:snapToGrid/>
        <w:spacing w:line="540" w:lineRule="exact"/>
        <w:jc w:val="both"/>
        <w:textAlignment w:val="auto"/>
        <w:rPr>
          <w:rFonts w:ascii="黑体" w:eastAsia="黑体"/>
          <w:sz w:val="32"/>
          <w:szCs w:val="32"/>
        </w:rPr>
      </w:pPr>
      <w:r>
        <w:rPr>
          <w:rFonts w:hint="eastAsia" w:ascii="黑体" w:eastAsia="黑体"/>
          <w:sz w:val="32"/>
          <w:szCs w:val="32"/>
        </w:rPr>
        <w:t>三、收支预算情况说明</w:t>
      </w:r>
    </w:p>
    <w:p>
      <w:pPr>
        <w:keepNext w:val="0"/>
        <w:keepLines w:val="0"/>
        <w:pageBreakBefore w:val="0"/>
        <w:kinsoku/>
        <w:wordWrap/>
        <w:overflowPunct/>
        <w:topLinePunct w:val="0"/>
        <w:autoSpaceDE/>
        <w:autoSpaceDN/>
        <w:bidi w:val="0"/>
        <w:adjustRightInd/>
        <w:snapToGrid/>
        <w:spacing w:line="540" w:lineRule="exact"/>
        <w:ind w:left="0" w:leftChars="0" w:firstLine="640" w:firstLineChars="200"/>
        <w:jc w:val="both"/>
        <w:textAlignment w:val="auto"/>
        <w:rPr>
          <w:rFonts w:ascii="楷体" w:eastAsia="楷体"/>
          <w:sz w:val="32"/>
          <w:szCs w:val="32"/>
        </w:rPr>
      </w:pPr>
      <w:r>
        <w:rPr>
          <w:rFonts w:hint="eastAsia" w:ascii="楷体" w:eastAsia="楷体"/>
          <w:sz w:val="32"/>
          <w:szCs w:val="32"/>
        </w:rPr>
        <w:t>（一）收入预算情况</w:t>
      </w:r>
    </w:p>
    <w:p>
      <w:pPr>
        <w:keepNext w:val="0"/>
        <w:keepLines w:val="0"/>
        <w:pageBreakBefore w:val="0"/>
        <w:kinsoku/>
        <w:wordWrap/>
        <w:overflowPunct/>
        <w:topLinePunct w:val="0"/>
        <w:autoSpaceDE/>
        <w:autoSpaceDN/>
        <w:bidi w:val="0"/>
        <w:adjustRightInd/>
        <w:snapToGrid/>
        <w:spacing w:line="540" w:lineRule="exact"/>
        <w:ind w:left="0" w:leftChars="0" w:firstLine="640" w:firstLineChars="200"/>
        <w:jc w:val="both"/>
        <w:textAlignment w:val="auto"/>
        <w:rPr>
          <w:rFonts w:ascii="楷体" w:eastAsia="楷体"/>
          <w:sz w:val="32"/>
          <w:szCs w:val="32"/>
        </w:rPr>
      </w:pPr>
      <w:r>
        <w:rPr>
          <w:rFonts w:hint="eastAsia" w:ascii="楷体" w:eastAsia="楷体"/>
          <w:sz w:val="32"/>
          <w:szCs w:val="32"/>
        </w:rPr>
        <w:t>（二）支出预算情况</w:t>
      </w:r>
    </w:p>
    <w:p>
      <w:pPr>
        <w:keepNext w:val="0"/>
        <w:keepLines w:val="0"/>
        <w:pageBreakBefore w:val="0"/>
        <w:kinsoku/>
        <w:wordWrap/>
        <w:overflowPunct/>
        <w:topLinePunct w:val="0"/>
        <w:autoSpaceDE/>
        <w:autoSpaceDN/>
        <w:bidi w:val="0"/>
        <w:adjustRightInd/>
        <w:snapToGrid/>
        <w:spacing w:line="540" w:lineRule="exact"/>
        <w:jc w:val="both"/>
        <w:textAlignment w:val="auto"/>
        <w:rPr>
          <w:rFonts w:ascii="黑体" w:eastAsia="黑体"/>
          <w:sz w:val="32"/>
          <w:szCs w:val="32"/>
        </w:rPr>
      </w:pPr>
      <w:r>
        <w:rPr>
          <w:rFonts w:hint="eastAsia" w:ascii="黑体" w:eastAsia="黑体"/>
          <w:sz w:val="32"/>
          <w:szCs w:val="32"/>
        </w:rPr>
        <w:t>四、财政拨款收支预算情况说明</w:t>
      </w:r>
    </w:p>
    <w:p>
      <w:pPr>
        <w:keepNext w:val="0"/>
        <w:keepLines w:val="0"/>
        <w:pageBreakBefore w:val="0"/>
        <w:kinsoku/>
        <w:wordWrap/>
        <w:overflowPunct/>
        <w:topLinePunct w:val="0"/>
        <w:autoSpaceDE/>
        <w:autoSpaceDN/>
        <w:bidi w:val="0"/>
        <w:adjustRightInd/>
        <w:snapToGrid/>
        <w:spacing w:line="540" w:lineRule="exact"/>
        <w:jc w:val="both"/>
        <w:textAlignment w:val="auto"/>
        <w:rPr>
          <w:rFonts w:ascii="黑体" w:eastAsia="黑体"/>
          <w:sz w:val="32"/>
          <w:szCs w:val="32"/>
        </w:rPr>
      </w:pPr>
      <w:r>
        <w:rPr>
          <w:rFonts w:hint="eastAsia" w:ascii="黑体" w:eastAsia="黑体"/>
          <w:sz w:val="32"/>
          <w:szCs w:val="32"/>
        </w:rPr>
        <w:t>五、一般公共预算当年拨款情况说明</w:t>
      </w:r>
    </w:p>
    <w:p>
      <w:pPr>
        <w:keepNext w:val="0"/>
        <w:keepLines w:val="0"/>
        <w:pageBreakBefore w:val="0"/>
        <w:kinsoku/>
        <w:wordWrap/>
        <w:overflowPunct/>
        <w:topLinePunct w:val="0"/>
        <w:autoSpaceDE/>
        <w:autoSpaceDN/>
        <w:bidi w:val="0"/>
        <w:adjustRightInd/>
        <w:snapToGrid/>
        <w:spacing w:line="540" w:lineRule="exact"/>
        <w:ind w:left="638" w:leftChars="304" w:firstLine="0" w:firstLineChars="0"/>
        <w:jc w:val="both"/>
        <w:textAlignment w:val="auto"/>
        <w:rPr>
          <w:rFonts w:hint="eastAsia" w:ascii="楷体" w:eastAsia="楷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p>
    <w:p>
      <w:pPr>
        <w:keepNext w:val="0"/>
        <w:keepLines w:val="0"/>
        <w:pageBreakBefore w:val="0"/>
        <w:kinsoku/>
        <w:wordWrap/>
        <w:overflowPunct/>
        <w:topLinePunct w:val="0"/>
        <w:autoSpaceDE/>
        <w:autoSpaceDN/>
        <w:bidi w:val="0"/>
        <w:adjustRightInd/>
        <w:snapToGrid/>
        <w:spacing w:line="540" w:lineRule="exact"/>
        <w:jc w:val="both"/>
        <w:textAlignment w:val="auto"/>
        <w:rPr>
          <w:rFonts w:ascii="??" w:hAnsi="??" w:cs="宋体"/>
          <w:kern w:val="0"/>
          <w:sz w:val="12"/>
          <w:szCs w:val="12"/>
        </w:rPr>
      </w:pP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pStyle w:val="182"/>
        <w:keepNext w:val="0"/>
        <w:keepLines w:val="0"/>
        <w:pageBreakBefore w:val="0"/>
        <w:kinsoku/>
        <w:wordWrap/>
        <w:overflowPunct/>
        <w:topLinePunct w:val="0"/>
        <w:autoSpaceDE/>
        <w:autoSpaceDN/>
        <w:bidi w:val="0"/>
        <w:adjustRightInd/>
        <w:snapToGrid/>
        <w:spacing w:line="540" w:lineRule="exact"/>
        <w:ind w:left="0" w:leftChars="0" w:firstLine="640" w:firstLineChars="200"/>
        <w:jc w:val="both"/>
        <w:textAlignment w:val="auto"/>
        <w:rPr>
          <w:rFonts w:hint="eastAsia" w:ascii="黑体" w:eastAsia="黑体"/>
          <w:sz w:val="32"/>
          <w:szCs w:val="32"/>
        </w:rPr>
      </w:pPr>
    </w:p>
    <w:p>
      <w:pPr>
        <w:pStyle w:val="182"/>
        <w:keepNext w:val="0"/>
        <w:keepLines w:val="0"/>
        <w:pageBreakBefore w:val="0"/>
        <w:kinsoku/>
        <w:wordWrap/>
        <w:overflowPunct/>
        <w:topLinePunct w:val="0"/>
        <w:autoSpaceDE/>
        <w:autoSpaceDN/>
        <w:bidi w:val="0"/>
        <w:adjustRightInd/>
        <w:snapToGrid/>
        <w:spacing w:line="540" w:lineRule="exact"/>
        <w:ind w:left="0" w:leftChars="0" w:firstLine="640" w:firstLineChars="200"/>
        <w:jc w:val="both"/>
        <w:textAlignment w:val="auto"/>
        <w:rPr>
          <w:rFonts w:hint="eastAsia" w:ascii="黑体" w:eastAsia="黑体"/>
          <w:sz w:val="32"/>
          <w:szCs w:val="32"/>
        </w:rPr>
      </w:pPr>
    </w:p>
    <w:p>
      <w:pPr>
        <w:pStyle w:val="182"/>
        <w:keepNext w:val="0"/>
        <w:keepLines w:val="0"/>
        <w:pageBreakBefore w:val="0"/>
        <w:kinsoku/>
        <w:wordWrap/>
        <w:overflowPunct/>
        <w:topLinePunct w:val="0"/>
        <w:autoSpaceDE/>
        <w:autoSpaceDN/>
        <w:bidi w:val="0"/>
        <w:adjustRightInd/>
        <w:snapToGrid/>
        <w:spacing w:line="540" w:lineRule="exact"/>
        <w:ind w:left="0" w:leftChars="0" w:firstLine="640" w:firstLineChars="200"/>
        <w:jc w:val="both"/>
        <w:textAlignment w:val="auto"/>
        <w:rPr>
          <w:rFonts w:hint="eastAsia" w:ascii="黑体" w:eastAsia="黑体"/>
          <w:sz w:val="32"/>
          <w:szCs w:val="32"/>
        </w:rPr>
      </w:pPr>
    </w:p>
    <w:p>
      <w:pPr>
        <w:pStyle w:val="182"/>
        <w:keepNext w:val="0"/>
        <w:keepLines w:val="0"/>
        <w:pageBreakBefore w:val="0"/>
        <w:kinsoku/>
        <w:wordWrap/>
        <w:overflowPunct/>
        <w:topLinePunct w:val="0"/>
        <w:autoSpaceDE/>
        <w:autoSpaceDN/>
        <w:bidi w:val="0"/>
        <w:adjustRightInd/>
        <w:snapToGrid/>
        <w:spacing w:line="540" w:lineRule="exact"/>
        <w:ind w:left="0" w:leftChars="0" w:firstLine="640" w:firstLineChars="200"/>
        <w:jc w:val="both"/>
        <w:textAlignment w:val="auto"/>
        <w:rPr>
          <w:rFonts w:hint="eastAsia" w:ascii="黑体" w:eastAsia="黑体"/>
          <w:sz w:val="32"/>
          <w:szCs w:val="32"/>
        </w:rPr>
      </w:pPr>
    </w:p>
    <w:p>
      <w:pPr>
        <w:pStyle w:val="182"/>
        <w:keepNext w:val="0"/>
        <w:keepLines w:val="0"/>
        <w:pageBreakBefore w:val="0"/>
        <w:kinsoku/>
        <w:wordWrap/>
        <w:overflowPunct/>
        <w:topLinePunct w:val="0"/>
        <w:autoSpaceDE/>
        <w:autoSpaceDN/>
        <w:bidi w:val="0"/>
        <w:adjustRightInd/>
        <w:snapToGrid/>
        <w:spacing w:line="540" w:lineRule="exact"/>
        <w:ind w:left="0" w:leftChars="0" w:firstLine="640" w:firstLineChars="200"/>
        <w:jc w:val="both"/>
        <w:textAlignment w:val="auto"/>
        <w:rPr>
          <w:rFonts w:ascii="黑体" w:eastAsia="黑体"/>
          <w:sz w:val="32"/>
          <w:szCs w:val="32"/>
        </w:rPr>
      </w:pPr>
      <w:r>
        <w:rPr>
          <w:rFonts w:hint="eastAsia" w:ascii="黑体" w:eastAsia="黑体"/>
          <w:sz w:val="32"/>
          <w:szCs w:val="32"/>
          <w:lang w:eastAsia="zh-CN"/>
        </w:rPr>
        <w:t>一、</w:t>
      </w:r>
      <w:r>
        <w:rPr>
          <w:rFonts w:hint="eastAsia" w:ascii="黑体" w:eastAsia="黑体"/>
          <w:sz w:val="32"/>
          <w:szCs w:val="32"/>
        </w:rPr>
        <w:t>基本职能及主要工作</w:t>
      </w:r>
    </w:p>
    <w:p>
      <w:pPr>
        <w:keepNext w:val="0"/>
        <w:keepLines w:val="0"/>
        <w:pageBreakBefore w:val="0"/>
        <w:kinsoku/>
        <w:wordWrap/>
        <w:overflowPunct/>
        <w:topLinePunct w:val="0"/>
        <w:autoSpaceDE/>
        <w:autoSpaceDN/>
        <w:bidi w:val="0"/>
        <w:adjustRightInd/>
        <w:snapToGrid/>
        <w:spacing w:line="540" w:lineRule="exact"/>
        <w:ind w:left="0" w:leftChars="0" w:firstLine="640" w:firstLineChars="200"/>
        <w:jc w:val="both"/>
        <w:textAlignment w:val="auto"/>
        <w:rPr>
          <w:rFonts w:ascii="楷体" w:eastAsia="楷体"/>
          <w:sz w:val="32"/>
          <w:szCs w:val="32"/>
        </w:rPr>
      </w:pPr>
      <w:r>
        <w:rPr>
          <w:rFonts w:hint="eastAsia" w:ascii="楷体" w:eastAsia="楷体"/>
          <w:sz w:val="32"/>
          <w:szCs w:val="32"/>
        </w:rPr>
        <w:t>（一）部门职能简介</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firstLine="640" w:firstLineChars="200"/>
        <w:jc w:val="both"/>
        <w:textAlignment w:val="auto"/>
        <w:rPr>
          <w:rFonts w:ascii="仿宋_GB2312" w:eastAsia="仿宋_GB2312" w:cs="仿宋_GB2312"/>
          <w:sz w:val="32"/>
          <w:szCs w:val="32"/>
        </w:rPr>
      </w:pPr>
      <w:r>
        <w:rPr>
          <w:rFonts w:ascii="仿宋_GB2312" w:eastAsia="仿宋_GB2312" w:cs="仿宋_GB2312"/>
          <w:b w:val="0"/>
          <w:bCs w:val="0"/>
          <w:caps w:val="0"/>
          <w:smallCaps w:val="0"/>
          <w:color w:val="auto"/>
          <w:kern w:val="2"/>
          <w:sz w:val="32"/>
          <w:szCs w:val="32"/>
          <w:vertAlign w:val="baseline"/>
          <w:lang w:val="en-US" w:eastAsia="zh-CN"/>
        </w:rPr>
        <w:t>预算单位</w:t>
      </w:r>
      <w:r>
        <w:rPr>
          <w:rFonts w:hint="eastAsia" w:ascii="仿宋_GB2312" w:eastAsia="仿宋_GB2312" w:cs="仿宋_GB2312"/>
          <w:b w:val="0"/>
          <w:bCs w:val="0"/>
          <w:caps w:val="0"/>
          <w:smallCaps w:val="0"/>
          <w:color w:val="auto"/>
          <w:kern w:val="2"/>
          <w:sz w:val="32"/>
          <w:szCs w:val="32"/>
          <w:vertAlign w:val="baseline"/>
          <w:lang w:val="en-US" w:eastAsia="zh-CN"/>
        </w:rPr>
        <w:t>“</w:t>
      </w:r>
      <w:r>
        <w:rPr>
          <w:rFonts w:ascii="仿宋_GB2312" w:eastAsia="仿宋_GB2312" w:cs="仿宋_GB2312"/>
          <w:b w:val="0"/>
          <w:bCs w:val="0"/>
          <w:caps w:val="0"/>
          <w:smallCaps w:val="0"/>
          <w:color w:val="auto"/>
          <w:kern w:val="2"/>
          <w:sz w:val="32"/>
          <w:szCs w:val="32"/>
          <w:vertAlign w:val="baseline"/>
          <w:lang w:val="en-US" w:eastAsia="zh-CN"/>
        </w:rPr>
        <w:t>阿坝州政府信息公开和电子政务服务中心</w:t>
      </w:r>
      <w:r>
        <w:rPr>
          <w:rFonts w:hint="eastAsia" w:ascii="仿宋_GB2312" w:eastAsia="仿宋_GB2312" w:cs="仿宋_GB2312"/>
          <w:b w:val="0"/>
          <w:bCs w:val="0"/>
          <w:caps w:val="0"/>
          <w:smallCaps w:val="0"/>
          <w:color w:val="auto"/>
          <w:kern w:val="2"/>
          <w:sz w:val="32"/>
          <w:szCs w:val="32"/>
          <w:vertAlign w:val="baseline"/>
          <w:lang w:val="en-US" w:eastAsia="zh-CN"/>
        </w:rPr>
        <w:t>”</w:t>
      </w:r>
      <w:r>
        <w:rPr>
          <w:rFonts w:ascii="仿宋_GB2312" w:eastAsia="仿宋_GB2312" w:cs="仿宋_GB2312"/>
          <w:b w:val="0"/>
          <w:bCs w:val="0"/>
          <w:caps w:val="0"/>
          <w:smallCaps w:val="0"/>
          <w:color w:val="auto"/>
          <w:kern w:val="2"/>
          <w:sz w:val="32"/>
          <w:szCs w:val="32"/>
          <w:vertAlign w:val="baseline"/>
          <w:lang w:val="en-US" w:eastAsia="zh-CN"/>
        </w:rPr>
        <w:t>为州政府办公室所属正科级公益一类事业单位。由</w:t>
      </w:r>
      <w:r>
        <w:rPr>
          <w:rFonts w:hint="eastAsia" w:ascii="仿宋_GB2312" w:eastAsia="仿宋_GB2312" w:cs="仿宋_GB2312"/>
          <w:b w:val="0"/>
          <w:bCs w:val="0"/>
          <w:caps w:val="0"/>
          <w:smallCaps w:val="0"/>
          <w:color w:val="auto"/>
          <w:kern w:val="2"/>
          <w:sz w:val="32"/>
          <w:szCs w:val="32"/>
          <w:vertAlign w:val="baseline"/>
          <w:lang w:val="en-US" w:eastAsia="zh-CN"/>
        </w:rPr>
        <w:t>“</w:t>
      </w:r>
      <w:r>
        <w:rPr>
          <w:rFonts w:ascii="仿宋_GB2312" w:eastAsia="仿宋_GB2312" w:cs="仿宋_GB2312"/>
          <w:b w:val="0"/>
          <w:bCs w:val="0"/>
          <w:caps w:val="0"/>
          <w:smallCaps w:val="0"/>
          <w:color w:val="auto"/>
          <w:kern w:val="2"/>
          <w:sz w:val="32"/>
          <w:szCs w:val="32"/>
          <w:vertAlign w:val="baseline"/>
          <w:lang w:val="en-US" w:eastAsia="zh-CN"/>
        </w:rPr>
        <w:t>州政府信息公开和电子政务服务中心</w:t>
      </w:r>
      <w:r>
        <w:rPr>
          <w:rFonts w:hint="eastAsia" w:ascii="仿宋_GB2312" w:eastAsia="仿宋_GB2312" w:cs="仿宋_GB2312"/>
          <w:b w:val="0"/>
          <w:bCs w:val="0"/>
          <w:caps w:val="0"/>
          <w:smallCaps w:val="0"/>
          <w:color w:val="auto"/>
          <w:kern w:val="2"/>
          <w:sz w:val="32"/>
          <w:szCs w:val="32"/>
          <w:vertAlign w:val="baseline"/>
          <w:lang w:val="en-US" w:eastAsia="zh-CN"/>
        </w:rPr>
        <w:t>”</w:t>
      </w:r>
      <w:r>
        <w:rPr>
          <w:rFonts w:ascii="仿宋_GB2312" w:eastAsia="仿宋_GB2312" w:cs="仿宋_GB2312"/>
          <w:b w:val="0"/>
          <w:bCs w:val="0"/>
          <w:caps w:val="0"/>
          <w:smallCaps w:val="0"/>
          <w:color w:val="auto"/>
          <w:kern w:val="2"/>
          <w:sz w:val="32"/>
          <w:szCs w:val="32"/>
          <w:vertAlign w:val="baseline"/>
          <w:lang w:val="en-US" w:eastAsia="zh-CN"/>
        </w:rPr>
        <w:t>、</w:t>
      </w:r>
      <w:r>
        <w:rPr>
          <w:rFonts w:hint="eastAsia" w:ascii="仿宋_GB2312" w:eastAsia="仿宋_GB2312" w:cs="仿宋_GB2312"/>
          <w:b w:val="0"/>
          <w:bCs w:val="0"/>
          <w:caps w:val="0"/>
          <w:smallCaps w:val="0"/>
          <w:color w:val="auto"/>
          <w:kern w:val="2"/>
          <w:sz w:val="32"/>
          <w:szCs w:val="32"/>
          <w:vertAlign w:val="baseline"/>
          <w:lang w:val="en-US" w:eastAsia="zh-CN"/>
        </w:rPr>
        <w:t>“州GFDY事务中心”、“州发展研究中心”</w:t>
      </w:r>
      <w:r>
        <w:rPr>
          <w:rFonts w:ascii="仿宋_GB2312" w:eastAsia="仿宋_GB2312" w:cs="仿宋_GB2312"/>
          <w:b w:val="0"/>
          <w:bCs w:val="0"/>
          <w:caps w:val="0"/>
          <w:smallCaps w:val="0"/>
          <w:color w:val="auto"/>
          <w:kern w:val="2"/>
          <w:sz w:val="32"/>
          <w:szCs w:val="32"/>
          <w:vertAlign w:val="baseline"/>
          <w:lang w:val="en-US" w:eastAsia="zh-CN"/>
        </w:rPr>
        <w:t>组成。主要职责是：州政府信息公开和电子政务服务中心承担推进、指导、协调全州政府信息公开和政府系统电子政务工作等职责；</w:t>
      </w:r>
      <w:r>
        <w:rPr>
          <w:rFonts w:ascii="仿宋_GB2312" w:eastAsia="仿宋_GB2312" w:cs="仿宋_GB2312"/>
          <w:sz w:val="32"/>
          <w:szCs w:val="32"/>
        </w:rPr>
        <w:t>州GFDY事务中心开展GFDY事务性工作和行政辅助性工作；州政府发展研究中心主要负责组织和参与对全州经济社会文化发展和改革开放中具有全局性、综合性、战略性、长期性问题开展跟踪研究和决策咨询，为州委、州政府决策提供参考建议</w:t>
      </w:r>
      <w:r>
        <w:rPr>
          <w:rFonts w:hint="eastAsia" w:ascii="仿宋_GB2312" w:eastAsia="仿宋_GB2312" w:cs="仿宋_GB2312"/>
          <w:sz w:val="32"/>
          <w:szCs w:val="32"/>
          <w:lang w:eastAsia="zh-CN"/>
        </w:rPr>
        <w:t>，</w:t>
      </w:r>
      <w:r>
        <w:rPr>
          <w:rFonts w:ascii="仿宋_GB2312" w:eastAsia="仿宋_GB2312" w:cs="仿宋_GB2312"/>
          <w:sz w:val="32"/>
          <w:szCs w:val="32"/>
        </w:rPr>
        <w:t xml:space="preserve">接受委托组织或参与对有关部门、地方拟定的发展规划进行研究和论证。 </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both"/>
        <w:textAlignment w:val="auto"/>
        <w:rPr>
          <w:rFonts w:ascii="楷体" w:eastAsia="楷体"/>
          <w:sz w:val="32"/>
          <w:szCs w:val="32"/>
        </w:rPr>
      </w:pPr>
      <w:r>
        <w:rPr>
          <w:rFonts w:hint="eastAsia" w:ascii="楷体" w:eastAsia="楷体"/>
          <w:sz w:val="32"/>
          <w:szCs w:val="32"/>
          <w:lang w:eastAsia="zh-CN"/>
        </w:rPr>
        <w:t>（二）</w:t>
      </w:r>
      <w:r>
        <w:rPr>
          <w:rFonts w:ascii="楷体" w:eastAsia="楷体"/>
          <w:sz w:val="32"/>
          <w:szCs w:val="32"/>
        </w:rPr>
        <w:t>2026</w:t>
      </w:r>
      <w:r>
        <w:rPr>
          <w:rFonts w:hint="eastAsia" w:ascii="楷体" w:eastAsia="楷体"/>
          <w:sz w:val="32"/>
          <w:szCs w:val="32"/>
        </w:rPr>
        <w:t>年重点工作</w:t>
      </w:r>
    </w:p>
    <w:p>
      <w:pPr>
        <w:pStyle w:val="182"/>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_GB2312" w:eastAsia="仿宋_GB2312"/>
          <w:sz w:val="32"/>
          <w:szCs w:val="32"/>
        </w:rPr>
      </w:pPr>
      <w:r>
        <w:rPr>
          <w:rFonts w:hint="eastAsia" w:ascii="仿宋_GB2312" w:eastAsia="仿宋_GB2312"/>
          <w:sz w:val="32"/>
          <w:szCs w:val="32"/>
        </w:rPr>
        <w:t>一是持续推动政务公开提质增效。严格落实标准，加强重点领域公开督导。优化平台矩阵功能，提升政策解读针对性与政民互动水平。推进政府网站改造升级。二是持续夯实数字政府基础底座。 统筹政务云服务延续与信创云适配迁移。优化电子政务外网，升级OA系统，推进政务应用整合与流程再造。三是持续筑牢网络安全防护体系。 贯彻网络安全法律法规，完善技术防护体系，加强监测预警与应急演练，确保网络与数据安全。</w:t>
      </w:r>
    </w:p>
    <w:p>
      <w:pPr>
        <w:pStyle w:val="182"/>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ascii="黑体" w:eastAsia="黑体"/>
          <w:sz w:val="32"/>
          <w:szCs w:val="32"/>
        </w:rPr>
      </w:pPr>
      <w:r>
        <w:rPr>
          <w:rFonts w:hint="eastAsia" w:ascii="黑体" w:eastAsia="黑体"/>
          <w:sz w:val="32"/>
          <w:szCs w:val="32"/>
          <w:lang w:eastAsia="zh-CN"/>
        </w:rPr>
        <w:t>二、</w:t>
      </w:r>
      <w:r>
        <w:rPr>
          <w:rFonts w:hint="eastAsia" w:ascii="黑体" w:eastAsia="黑体"/>
          <w:sz w:val="32"/>
          <w:szCs w:val="32"/>
        </w:rPr>
        <w:t>部门预算单位构成</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both"/>
        <w:textAlignment w:val="auto"/>
        <w:rPr>
          <w:rFonts w:hint="eastAsia" w:ascii="仿宋_GB2312" w:eastAsia="仿宋_GB2312"/>
          <w:sz w:val="32"/>
          <w:szCs w:val="32"/>
        </w:rPr>
      </w:pPr>
      <w:r>
        <w:rPr>
          <w:rFonts w:ascii="仿宋_GB2312" w:eastAsia="仿宋_GB2312" w:cs="仿宋_GB2312"/>
          <w:b w:val="0"/>
          <w:bCs w:val="0"/>
          <w:caps w:val="0"/>
          <w:smallCaps w:val="0"/>
          <w:color w:val="auto"/>
          <w:kern w:val="2"/>
          <w:sz w:val="32"/>
          <w:szCs w:val="32"/>
          <w:vertAlign w:val="baseline"/>
          <w:lang w:val="en-US" w:eastAsia="zh-CN"/>
        </w:rPr>
        <w:t>预算单位</w:t>
      </w:r>
      <w:r>
        <w:rPr>
          <w:rFonts w:hint="eastAsia" w:ascii="仿宋_GB2312" w:eastAsia="仿宋_GB2312" w:cs="仿宋_GB2312"/>
          <w:b w:val="0"/>
          <w:bCs w:val="0"/>
          <w:caps w:val="0"/>
          <w:smallCaps w:val="0"/>
          <w:color w:val="auto"/>
          <w:kern w:val="2"/>
          <w:sz w:val="32"/>
          <w:szCs w:val="32"/>
          <w:vertAlign w:val="baseline"/>
          <w:lang w:val="en-US" w:eastAsia="zh-CN"/>
        </w:rPr>
        <w:t>“</w:t>
      </w:r>
      <w:r>
        <w:rPr>
          <w:rFonts w:ascii="仿宋_GB2312" w:eastAsia="仿宋_GB2312" w:cs="仿宋_GB2312"/>
          <w:b w:val="0"/>
          <w:bCs w:val="0"/>
          <w:caps w:val="0"/>
          <w:smallCaps w:val="0"/>
          <w:color w:val="auto"/>
          <w:kern w:val="2"/>
          <w:sz w:val="32"/>
          <w:szCs w:val="32"/>
          <w:vertAlign w:val="baseline"/>
          <w:lang w:val="en-US" w:eastAsia="zh-CN"/>
        </w:rPr>
        <w:t>阿坝州政府信息公开和电子政务服务中心</w:t>
      </w:r>
      <w:r>
        <w:rPr>
          <w:rFonts w:hint="eastAsia" w:ascii="仿宋_GB2312" w:eastAsia="仿宋_GB2312" w:cs="仿宋_GB2312"/>
          <w:b w:val="0"/>
          <w:bCs w:val="0"/>
          <w:caps w:val="0"/>
          <w:smallCaps w:val="0"/>
          <w:color w:val="auto"/>
          <w:kern w:val="2"/>
          <w:sz w:val="32"/>
          <w:szCs w:val="32"/>
          <w:vertAlign w:val="baseline"/>
          <w:lang w:val="en-US" w:eastAsia="zh-CN"/>
        </w:rPr>
        <w:t>”</w:t>
      </w:r>
      <w:r>
        <w:rPr>
          <w:rFonts w:ascii="仿宋_GB2312" w:eastAsia="仿宋_GB2312" w:cs="仿宋_GB2312"/>
          <w:b w:val="0"/>
          <w:bCs w:val="0"/>
          <w:caps w:val="0"/>
          <w:smallCaps w:val="0"/>
          <w:color w:val="auto"/>
          <w:kern w:val="2"/>
          <w:sz w:val="32"/>
          <w:szCs w:val="32"/>
          <w:vertAlign w:val="baseline"/>
          <w:lang w:val="en-US" w:eastAsia="zh-CN"/>
        </w:rPr>
        <w:t>由</w:t>
      </w:r>
      <w:r>
        <w:rPr>
          <w:rFonts w:hint="eastAsia" w:ascii="仿宋_GB2312" w:eastAsia="仿宋_GB2312" w:cs="仿宋_GB2312"/>
          <w:b w:val="0"/>
          <w:bCs w:val="0"/>
          <w:caps w:val="0"/>
          <w:smallCaps w:val="0"/>
          <w:color w:val="auto"/>
          <w:kern w:val="2"/>
          <w:sz w:val="32"/>
          <w:szCs w:val="32"/>
          <w:vertAlign w:val="baseline"/>
          <w:lang w:val="en-US" w:eastAsia="zh-CN"/>
        </w:rPr>
        <w:t>“</w:t>
      </w:r>
      <w:r>
        <w:rPr>
          <w:rFonts w:ascii="仿宋_GB2312" w:eastAsia="仿宋_GB2312" w:cs="仿宋_GB2312"/>
          <w:b w:val="0"/>
          <w:bCs w:val="0"/>
          <w:caps w:val="0"/>
          <w:smallCaps w:val="0"/>
          <w:color w:val="auto"/>
          <w:kern w:val="2"/>
          <w:sz w:val="32"/>
          <w:szCs w:val="32"/>
          <w:vertAlign w:val="baseline"/>
          <w:lang w:val="en-US" w:eastAsia="zh-CN"/>
        </w:rPr>
        <w:t>州政府信息公开和电子政务服务中心</w:t>
      </w:r>
      <w:r>
        <w:rPr>
          <w:rFonts w:hint="eastAsia" w:ascii="仿宋_GB2312" w:eastAsia="仿宋_GB2312" w:cs="仿宋_GB2312"/>
          <w:b w:val="0"/>
          <w:bCs w:val="0"/>
          <w:caps w:val="0"/>
          <w:smallCaps w:val="0"/>
          <w:color w:val="auto"/>
          <w:kern w:val="2"/>
          <w:sz w:val="32"/>
          <w:szCs w:val="32"/>
          <w:vertAlign w:val="baseline"/>
          <w:lang w:val="en-US" w:eastAsia="zh-CN"/>
        </w:rPr>
        <w:t>”</w:t>
      </w:r>
      <w:r>
        <w:rPr>
          <w:rFonts w:ascii="仿宋_GB2312" w:eastAsia="仿宋_GB2312" w:cs="仿宋_GB2312"/>
          <w:b w:val="0"/>
          <w:bCs w:val="0"/>
          <w:caps w:val="0"/>
          <w:smallCaps w:val="0"/>
          <w:color w:val="auto"/>
          <w:kern w:val="2"/>
          <w:sz w:val="32"/>
          <w:szCs w:val="32"/>
          <w:vertAlign w:val="baseline"/>
          <w:lang w:val="en-US" w:eastAsia="zh-CN"/>
        </w:rPr>
        <w:t>、</w:t>
      </w:r>
      <w:r>
        <w:rPr>
          <w:rFonts w:hint="eastAsia" w:ascii="仿宋_GB2312" w:eastAsia="仿宋_GB2312" w:cs="仿宋_GB2312"/>
          <w:b w:val="0"/>
          <w:bCs w:val="0"/>
          <w:caps w:val="0"/>
          <w:smallCaps w:val="0"/>
          <w:color w:val="auto"/>
          <w:kern w:val="2"/>
          <w:sz w:val="32"/>
          <w:szCs w:val="32"/>
          <w:vertAlign w:val="baseline"/>
          <w:lang w:val="en-US" w:eastAsia="zh-CN"/>
        </w:rPr>
        <w:t>“州GFDY事务中心”、“州发展研究中心”3个独立编制机构</w:t>
      </w:r>
      <w:r>
        <w:rPr>
          <w:rFonts w:ascii="仿宋_GB2312" w:eastAsia="仿宋_GB2312" w:cs="仿宋_GB2312"/>
          <w:b w:val="0"/>
          <w:bCs w:val="0"/>
          <w:caps w:val="0"/>
          <w:smallCaps w:val="0"/>
          <w:color w:val="auto"/>
          <w:kern w:val="2"/>
          <w:sz w:val="32"/>
          <w:szCs w:val="32"/>
          <w:vertAlign w:val="baseline"/>
          <w:lang w:val="en-US" w:eastAsia="zh-CN"/>
        </w:rPr>
        <w:t>组成</w:t>
      </w:r>
      <w:r>
        <w:rPr>
          <w:rFonts w:hint="eastAsia" w:ascii="仿宋_GB2312" w:eastAsia="仿宋_GB2312" w:cs="仿宋_GB2312"/>
          <w:b w:val="0"/>
          <w:bCs w:val="0"/>
          <w:caps w:val="0"/>
          <w:smallCaps w:val="0"/>
          <w:color w:val="auto"/>
          <w:kern w:val="2"/>
          <w:sz w:val="32"/>
          <w:szCs w:val="32"/>
          <w:vertAlign w:val="baseline"/>
          <w:lang w:val="en-US" w:eastAsia="zh-CN"/>
        </w:rPr>
        <w:t>，</w:t>
      </w:r>
      <w:r>
        <w:rPr>
          <w:rFonts w:hint="eastAsia" w:ascii="仿宋_GB2312" w:eastAsia="仿宋_GB2312" w:cs="仿宋_GB2312"/>
          <w:sz w:val="32"/>
          <w:szCs w:val="32"/>
          <w:lang w:eastAsia="zh-CN" w:bidi="ar-SA"/>
        </w:rPr>
        <w:t>独立核算机构</w:t>
      </w:r>
      <w:r>
        <w:rPr>
          <w:rFonts w:hint="eastAsia" w:ascii="仿宋_GB2312" w:eastAsia="仿宋_GB2312" w:cs="仿宋_GB2312"/>
          <w:sz w:val="32"/>
          <w:szCs w:val="32"/>
          <w:lang w:val="en-US" w:eastAsia="en-US" w:bidi="ar-SA"/>
        </w:rPr>
        <w:t>1</w:t>
      </w:r>
      <w:r>
        <w:rPr>
          <w:rFonts w:hint="eastAsia" w:ascii="仿宋_GB2312" w:eastAsia="仿宋_GB2312" w:cs="仿宋_GB2312"/>
          <w:sz w:val="32"/>
          <w:szCs w:val="32"/>
          <w:lang w:eastAsia="zh-CN" w:bidi="ar-SA"/>
        </w:rPr>
        <w:t>个，</w:t>
      </w:r>
      <w:r>
        <w:rPr>
          <w:rFonts w:hint="eastAsia" w:ascii="仿宋_GB2312" w:eastAsia="仿宋_GB2312" w:cs="仿宋_GB2312"/>
          <w:sz w:val="32"/>
          <w:szCs w:val="32"/>
          <w:lang w:bidi="ar-SA"/>
        </w:rPr>
        <w:t>实行统一部门预算。</w:t>
      </w:r>
    </w:p>
    <w:p>
      <w:pPr>
        <w:pStyle w:val="182"/>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黑体" w:eastAsia="黑体"/>
          <w:sz w:val="32"/>
          <w:szCs w:val="32"/>
        </w:rPr>
      </w:pPr>
      <w:r>
        <w:rPr>
          <w:rFonts w:hint="eastAsia" w:ascii="黑体" w:eastAsia="黑体"/>
          <w:sz w:val="32"/>
          <w:szCs w:val="32"/>
          <w:lang w:eastAsia="zh-CN"/>
        </w:rPr>
        <w:t>三、</w:t>
      </w:r>
      <w:r>
        <w:rPr>
          <w:rFonts w:hint="eastAsia" w:ascii="黑体" w:eastAsia="黑体"/>
          <w:sz w:val="32"/>
          <w:szCs w:val="32"/>
        </w:rPr>
        <w:t>收支预算情况说明</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both"/>
        <w:textAlignment w:val="auto"/>
        <w:rPr>
          <w:rFonts w:hint="eastAsia" w:ascii="仿宋_GB2312" w:eastAsia="仿宋_GB2312" w:cs="仿宋_GB2312"/>
          <w:sz w:val="32"/>
          <w:szCs w:val="32"/>
          <w:lang w:bidi="ar-SA"/>
        </w:rPr>
      </w:pPr>
      <w:r>
        <w:rPr>
          <w:rFonts w:hint="eastAsia" w:ascii="仿宋_GB2312" w:eastAsia="仿宋_GB2312" w:cs="仿宋_GB2312"/>
          <w:sz w:val="32"/>
          <w:szCs w:val="32"/>
          <w:lang w:bidi="ar-SA"/>
        </w:rPr>
        <w:t>按照综合预算的原则，</w:t>
      </w:r>
      <w:r>
        <w:rPr>
          <w:rFonts w:hint="eastAsia" w:ascii="仿宋_GB2312" w:eastAsia="仿宋_GB2312" w:cs="仿宋_GB2312"/>
          <w:sz w:val="32"/>
          <w:szCs w:val="32"/>
          <w:lang w:eastAsia="zh-CN" w:bidi="ar-SA"/>
        </w:rPr>
        <w:t>本</w:t>
      </w:r>
      <w:r>
        <w:rPr>
          <w:rFonts w:hint="eastAsia" w:ascii="仿宋_GB2312" w:eastAsia="仿宋_GB2312" w:cs="仿宋_GB2312"/>
          <w:sz w:val="32"/>
          <w:szCs w:val="32"/>
          <w:lang w:bidi="ar-SA"/>
        </w:rPr>
        <w:t>单位所有收入和支出均纳入部门预算管理。202</w:t>
      </w:r>
      <w:r>
        <w:rPr>
          <w:rFonts w:hint="eastAsia" w:ascii="仿宋_GB2312" w:eastAsia="仿宋_GB2312" w:cs="仿宋_GB2312"/>
          <w:sz w:val="32"/>
          <w:szCs w:val="32"/>
          <w:lang w:val="en-US" w:eastAsia="zh-CN" w:bidi="ar-SA"/>
        </w:rPr>
        <w:t>6</w:t>
      </w:r>
      <w:r>
        <w:rPr>
          <w:rFonts w:hint="eastAsia" w:ascii="仿宋_GB2312" w:eastAsia="仿宋_GB2312" w:cs="仿宋_GB2312"/>
          <w:sz w:val="32"/>
          <w:szCs w:val="32"/>
          <w:lang w:bidi="ar-SA"/>
        </w:rPr>
        <w:t>年收</w:t>
      </w:r>
      <w:r>
        <w:rPr>
          <w:rFonts w:hint="eastAsia" w:ascii="仿宋_GB2312" w:eastAsia="仿宋_GB2312" w:cs="仿宋_GB2312"/>
          <w:sz w:val="32"/>
          <w:szCs w:val="32"/>
          <w:lang w:eastAsia="zh-CN" w:bidi="ar-SA"/>
        </w:rPr>
        <w:t>支总</w:t>
      </w:r>
      <w:r>
        <w:rPr>
          <w:rFonts w:hint="eastAsia" w:ascii="仿宋_GB2312" w:eastAsia="仿宋_GB2312" w:cs="仿宋_GB2312"/>
          <w:sz w:val="32"/>
          <w:szCs w:val="32"/>
          <w:lang w:bidi="ar-SA"/>
        </w:rPr>
        <w:t>预算</w:t>
      </w:r>
      <w:r>
        <w:rPr>
          <w:rFonts w:hint="eastAsia" w:ascii="仿宋_GB2312" w:eastAsia="仿宋_GB2312" w:cs="仿宋_GB2312"/>
          <w:sz w:val="32"/>
          <w:szCs w:val="32"/>
          <w:lang w:val="en-US" w:eastAsia="zh-CN" w:bidi="ar-SA"/>
        </w:rPr>
        <w:t>686.75万元，较上年增加247.12万元</w:t>
      </w:r>
      <w:r>
        <w:rPr>
          <w:rFonts w:hint="eastAsia" w:ascii="仿宋_GB2312" w:eastAsia="仿宋_GB2312" w:cs="仿宋_GB2312"/>
          <w:sz w:val="32"/>
          <w:szCs w:val="32"/>
          <w:lang w:bidi="ar-SA"/>
        </w:rPr>
        <w:t>,</w:t>
      </w:r>
      <w:r>
        <w:rPr>
          <w:rFonts w:hint="eastAsia" w:ascii="仿宋_GB2312" w:eastAsia="仿宋_GB2312" w:cs="仿宋_GB2312"/>
          <w:sz w:val="32"/>
          <w:szCs w:val="32"/>
          <w:lang w:eastAsia="zh-CN" w:bidi="ar-SA"/>
        </w:rPr>
        <w:t>增长</w:t>
      </w:r>
      <w:r>
        <w:rPr>
          <w:rFonts w:hint="eastAsia" w:ascii="仿宋_GB2312" w:eastAsia="仿宋_GB2312" w:cs="仿宋_GB2312"/>
          <w:sz w:val="32"/>
          <w:szCs w:val="32"/>
          <w:lang w:val="en-US" w:eastAsia="zh-CN" w:bidi="ar-SA"/>
        </w:rPr>
        <w:t>56.21%，</w:t>
      </w:r>
      <w:r>
        <w:rPr>
          <w:rFonts w:hint="eastAsia" w:ascii="仿宋_GB2312" w:eastAsia="仿宋_GB2312" w:cs="仿宋_GB2312"/>
          <w:sz w:val="32"/>
          <w:szCs w:val="32"/>
          <w:lang w:bidi="ar-SA"/>
        </w:rPr>
        <w:t>主要原因</w:t>
      </w:r>
      <w:r>
        <w:rPr>
          <w:rFonts w:hint="eastAsia" w:ascii="仿宋_GB2312" w:eastAsia="仿宋_GB2312" w:cs="仿宋_GB2312"/>
          <w:sz w:val="32"/>
          <w:szCs w:val="32"/>
          <w:lang w:eastAsia="zh-CN" w:bidi="ar-SA"/>
        </w:rPr>
        <w:t>为</w:t>
      </w:r>
      <w:r>
        <w:rPr>
          <w:rFonts w:hint="eastAsia" w:ascii="仿宋_GB2312" w:eastAsia="仿宋_GB2312" w:cs="仿宋_GB2312"/>
          <w:sz w:val="32"/>
          <w:szCs w:val="32"/>
          <w:lang w:val="en-US" w:eastAsia="zh-CN" w:bidi="ar-SA"/>
        </w:rPr>
        <w:t>2026年新增11人使</w:t>
      </w:r>
      <w:r>
        <w:rPr>
          <w:rFonts w:hint="eastAsia" w:ascii="仿宋_GB2312" w:eastAsia="仿宋_GB2312" w:cs="仿宋_GB2312"/>
          <w:sz w:val="32"/>
          <w:szCs w:val="32"/>
          <w:lang w:eastAsia="zh-CN" w:bidi="ar-SA"/>
        </w:rPr>
        <w:t>人员经费增加</w:t>
      </w:r>
      <w:r>
        <w:rPr>
          <w:rFonts w:hint="eastAsia" w:ascii="仿宋_GB2312" w:eastAsia="仿宋_GB2312" w:cs="仿宋_GB2312"/>
          <w:sz w:val="32"/>
          <w:szCs w:val="32"/>
          <w:lang w:val="en-US" w:eastAsia="zh-CN" w:bidi="ar-SA"/>
        </w:rPr>
        <w:t xml:space="preserve">。         </w:t>
      </w:r>
    </w:p>
    <w:p>
      <w:pPr>
        <w:keepNext w:val="0"/>
        <w:keepLines w:val="0"/>
        <w:pageBreakBefore w:val="0"/>
        <w:widowControl w:val="0"/>
        <w:tabs>
          <w:tab w:val="left" w:pos="0"/>
        </w:tabs>
        <w:kinsoku/>
        <w:wordWrap/>
        <w:overflowPunct/>
        <w:topLinePunct w:val="0"/>
        <w:autoSpaceDE/>
        <w:autoSpaceDN/>
        <w:bidi w:val="0"/>
        <w:adjustRightInd/>
        <w:snapToGrid/>
        <w:spacing w:line="540" w:lineRule="exact"/>
        <w:ind w:left="0" w:leftChars="0" w:firstLine="642" w:firstLineChars="200"/>
        <w:jc w:val="both"/>
        <w:textAlignment w:val="auto"/>
        <w:rPr>
          <w:rFonts w:hint="eastAsia" w:ascii="楷体" w:eastAsia="楷体" w:cs="楷体"/>
          <w:b/>
          <w:bCs/>
          <w:sz w:val="32"/>
          <w:szCs w:val="32"/>
          <w:lang w:bidi="ar-SA"/>
        </w:rPr>
      </w:pPr>
      <w:r>
        <w:rPr>
          <w:rFonts w:hint="eastAsia" w:ascii="楷体" w:eastAsia="楷体" w:cs="楷体"/>
          <w:b/>
          <w:bCs/>
          <w:sz w:val="32"/>
          <w:szCs w:val="32"/>
          <w:lang w:bidi="ar-SA"/>
        </w:rPr>
        <w:t>（一）收入预算情况。</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both"/>
        <w:textAlignment w:val="auto"/>
        <w:rPr>
          <w:rFonts w:hint="eastAsia" w:ascii="仿宋_GB2312" w:eastAsia="仿宋_GB2312" w:cs="仿宋_GB2312"/>
          <w:sz w:val="32"/>
          <w:szCs w:val="32"/>
          <w:lang w:bidi="ar-SA"/>
        </w:rPr>
      </w:pPr>
      <w:r>
        <w:rPr>
          <w:rFonts w:hint="eastAsia" w:ascii="仿宋_GB2312" w:eastAsia="仿宋_GB2312" w:cs="仿宋_GB2312"/>
          <w:sz w:val="32"/>
          <w:szCs w:val="32"/>
          <w:lang w:eastAsia="zh-CN" w:bidi="ar-SA"/>
        </w:rPr>
        <w:t>本</w:t>
      </w:r>
      <w:r>
        <w:rPr>
          <w:rFonts w:hint="eastAsia" w:ascii="仿宋_GB2312" w:eastAsia="仿宋_GB2312" w:cs="仿宋_GB2312"/>
          <w:sz w:val="32"/>
          <w:szCs w:val="32"/>
          <w:lang w:bidi="ar-SA"/>
        </w:rPr>
        <w:t>单位202</w:t>
      </w:r>
      <w:r>
        <w:rPr>
          <w:rFonts w:hint="eastAsia" w:ascii="仿宋_GB2312" w:eastAsia="仿宋_GB2312" w:cs="仿宋_GB2312"/>
          <w:sz w:val="32"/>
          <w:szCs w:val="32"/>
          <w:lang w:val="en-US" w:eastAsia="zh-CN" w:bidi="ar-SA"/>
        </w:rPr>
        <w:t>6</w:t>
      </w:r>
      <w:r>
        <w:rPr>
          <w:rFonts w:hint="eastAsia" w:ascii="仿宋_GB2312" w:eastAsia="仿宋_GB2312" w:cs="仿宋_GB2312"/>
          <w:sz w:val="32"/>
          <w:szCs w:val="32"/>
          <w:lang w:bidi="ar-SA"/>
        </w:rPr>
        <w:t>年收入预算</w:t>
      </w:r>
      <w:r>
        <w:rPr>
          <w:rFonts w:hint="eastAsia" w:ascii="仿宋_GB2312" w:eastAsia="仿宋_GB2312" w:cs="仿宋_GB2312"/>
          <w:sz w:val="32"/>
          <w:szCs w:val="32"/>
          <w:lang w:val="en-US" w:eastAsia="zh-CN" w:bidi="ar-SA"/>
        </w:rPr>
        <w:t>686.75</w:t>
      </w:r>
      <w:r>
        <w:rPr>
          <w:rFonts w:hint="eastAsia" w:ascii="仿宋_GB2312" w:eastAsia="仿宋_GB2312" w:cs="仿宋_GB2312"/>
          <w:sz w:val="32"/>
          <w:szCs w:val="32"/>
          <w:lang w:bidi="ar-SA"/>
        </w:rPr>
        <w:t>万元，一般公共预算拨款收入</w:t>
      </w:r>
      <w:r>
        <w:rPr>
          <w:rFonts w:hint="eastAsia" w:ascii="仿宋_GB2312" w:eastAsia="仿宋_GB2312" w:cs="仿宋_GB2312"/>
          <w:sz w:val="32"/>
          <w:szCs w:val="32"/>
          <w:lang w:val="en-US" w:eastAsia="zh-CN" w:bidi="ar-SA"/>
        </w:rPr>
        <w:t>686.75</w:t>
      </w:r>
      <w:r>
        <w:rPr>
          <w:rFonts w:hint="eastAsia" w:ascii="仿宋_GB2312" w:eastAsia="仿宋_GB2312" w:cs="仿宋_GB2312"/>
          <w:sz w:val="32"/>
          <w:szCs w:val="32"/>
          <w:lang w:bidi="ar-SA"/>
        </w:rPr>
        <w:t>万元，占</w:t>
      </w:r>
      <w:r>
        <w:rPr>
          <w:rFonts w:hint="eastAsia" w:ascii="仿宋_GB2312" w:eastAsia="仿宋_GB2312" w:cs="仿宋_GB2312"/>
          <w:sz w:val="32"/>
          <w:szCs w:val="32"/>
          <w:lang w:eastAsia="zh-CN" w:bidi="ar-SA"/>
        </w:rPr>
        <w:t>收入的</w:t>
      </w:r>
      <w:r>
        <w:rPr>
          <w:rFonts w:hint="eastAsia" w:ascii="仿宋_GB2312" w:eastAsia="仿宋_GB2312" w:cs="仿宋_GB2312"/>
          <w:sz w:val="32"/>
          <w:szCs w:val="32"/>
          <w:lang w:val="en-US" w:eastAsia="zh-CN" w:bidi="ar-SA"/>
        </w:rPr>
        <w:t>100</w:t>
      </w:r>
      <w:r>
        <w:rPr>
          <w:rFonts w:hint="eastAsia" w:ascii="仿宋_GB2312" w:eastAsia="仿宋_GB2312" w:cs="仿宋_GB2312"/>
          <w:sz w:val="32"/>
          <w:szCs w:val="32"/>
          <w:lang w:bidi="ar-SA"/>
        </w:rPr>
        <w:t>%。</w:t>
      </w:r>
    </w:p>
    <w:p>
      <w:pPr>
        <w:keepNext w:val="0"/>
        <w:keepLines w:val="0"/>
        <w:pageBreakBefore w:val="0"/>
        <w:widowControl w:val="0"/>
        <w:tabs>
          <w:tab w:val="left" w:pos="0"/>
        </w:tabs>
        <w:kinsoku/>
        <w:wordWrap/>
        <w:overflowPunct/>
        <w:topLinePunct w:val="0"/>
        <w:autoSpaceDE/>
        <w:autoSpaceDN/>
        <w:bidi w:val="0"/>
        <w:adjustRightInd/>
        <w:snapToGrid/>
        <w:spacing w:line="540" w:lineRule="exact"/>
        <w:ind w:left="0" w:leftChars="0" w:firstLine="642" w:firstLineChars="200"/>
        <w:jc w:val="both"/>
        <w:textAlignment w:val="auto"/>
        <w:rPr>
          <w:rFonts w:hint="eastAsia" w:ascii="楷体" w:eastAsia="楷体" w:cs="楷体"/>
          <w:b/>
          <w:bCs/>
          <w:sz w:val="32"/>
          <w:szCs w:val="32"/>
          <w:lang w:bidi="ar-SA"/>
        </w:rPr>
      </w:pPr>
      <w:r>
        <w:rPr>
          <w:rFonts w:hint="eastAsia" w:ascii="楷体" w:eastAsia="楷体" w:cs="楷体"/>
          <w:b/>
          <w:bCs/>
          <w:sz w:val="32"/>
          <w:szCs w:val="32"/>
          <w:lang w:bidi="ar-SA"/>
        </w:rPr>
        <w:t>（二）支出预算情况。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eastAsia="仿宋_GB2312" w:cs="仿宋_GB2312"/>
          <w:sz w:val="32"/>
          <w:szCs w:val="32"/>
          <w:lang w:bidi="ar-SA"/>
        </w:rPr>
      </w:pPr>
      <w:r>
        <w:rPr>
          <w:rFonts w:hint="eastAsia" w:ascii="仿宋_GB2312" w:eastAsia="仿宋_GB2312" w:cs="仿宋_GB2312"/>
          <w:sz w:val="32"/>
          <w:szCs w:val="32"/>
          <w:lang w:eastAsia="zh-CN" w:bidi="ar-SA"/>
        </w:rPr>
        <w:t>本</w:t>
      </w:r>
      <w:r>
        <w:rPr>
          <w:rFonts w:hint="eastAsia" w:ascii="仿宋_GB2312" w:eastAsia="仿宋_GB2312" w:cs="仿宋_GB2312"/>
          <w:kern w:val="0"/>
          <w:sz w:val="32"/>
          <w:szCs w:val="32"/>
          <w:lang w:bidi="ar-SA"/>
        </w:rPr>
        <w:t>单位</w:t>
      </w:r>
      <w:r>
        <w:rPr>
          <w:rFonts w:hint="eastAsia" w:ascii="仿宋_GB2312" w:eastAsia="仿宋_GB2312" w:cs="仿宋_GB2312"/>
          <w:sz w:val="32"/>
          <w:szCs w:val="32"/>
          <w:lang w:bidi="ar-SA"/>
        </w:rPr>
        <w:t>202</w:t>
      </w:r>
      <w:r>
        <w:rPr>
          <w:rFonts w:hint="eastAsia" w:ascii="仿宋_GB2312" w:eastAsia="仿宋_GB2312" w:cs="仿宋_GB2312"/>
          <w:sz w:val="32"/>
          <w:szCs w:val="32"/>
          <w:lang w:val="en-US" w:eastAsia="zh-CN" w:bidi="ar-SA"/>
        </w:rPr>
        <w:t>6</w:t>
      </w:r>
      <w:r>
        <w:rPr>
          <w:rFonts w:hint="eastAsia" w:ascii="仿宋_GB2312" w:eastAsia="仿宋_GB2312" w:cs="仿宋_GB2312"/>
          <w:sz w:val="32"/>
          <w:szCs w:val="32"/>
          <w:lang w:bidi="ar-SA"/>
        </w:rPr>
        <w:t>年支出预算</w:t>
      </w:r>
      <w:r>
        <w:rPr>
          <w:rFonts w:hint="eastAsia" w:ascii="仿宋_GB2312" w:eastAsia="仿宋_GB2312" w:cs="仿宋_GB2312"/>
          <w:sz w:val="32"/>
          <w:szCs w:val="32"/>
          <w:lang w:val="en-US" w:eastAsia="zh-CN" w:bidi="ar-SA"/>
        </w:rPr>
        <w:t>686.75</w:t>
      </w:r>
      <w:r>
        <w:rPr>
          <w:rFonts w:hint="eastAsia" w:ascii="仿宋_GB2312" w:eastAsia="仿宋_GB2312" w:cs="仿宋_GB2312"/>
          <w:sz w:val="32"/>
          <w:szCs w:val="32"/>
          <w:lang w:bidi="ar-SA"/>
        </w:rPr>
        <w:t>万元，其中：一般公共服务支出</w:t>
      </w:r>
      <w:r>
        <w:rPr>
          <w:rFonts w:hint="eastAsia" w:ascii="仿宋_GB2312" w:eastAsia="仿宋_GB2312" w:cs="仿宋_GB2312"/>
          <w:sz w:val="32"/>
          <w:szCs w:val="32"/>
          <w:lang w:val="en-US" w:eastAsia="zh-CN" w:bidi="ar-SA"/>
        </w:rPr>
        <w:t>491.9</w:t>
      </w:r>
      <w:r>
        <w:rPr>
          <w:rFonts w:hint="eastAsia" w:ascii="仿宋_GB2312" w:eastAsia="仿宋_GB2312" w:cs="仿宋_GB2312"/>
          <w:sz w:val="32"/>
          <w:szCs w:val="32"/>
          <w:lang w:bidi="ar-SA"/>
        </w:rPr>
        <w:t>万元，占总支出的</w:t>
      </w:r>
      <w:r>
        <w:rPr>
          <w:rFonts w:hint="eastAsia" w:ascii="仿宋_GB2312" w:eastAsia="仿宋_GB2312" w:cs="仿宋_GB2312"/>
          <w:sz w:val="32"/>
          <w:szCs w:val="32"/>
          <w:lang w:val="en-US" w:eastAsia="zh-CN" w:bidi="ar-SA"/>
        </w:rPr>
        <w:t>71.63</w:t>
      </w:r>
      <w:r>
        <w:rPr>
          <w:rFonts w:hint="eastAsia" w:ascii="仿宋_GB2312" w:eastAsia="仿宋_GB2312" w:cs="仿宋_GB2312"/>
          <w:sz w:val="32"/>
          <w:szCs w:val="32"/>
          <w:lang w:bidi="ar-SA"/>
        </w:rPr>
        <w:t>%；社会保障和就业支出</w:t>
      </w:r>
      <w:r>
        <w:rPr>
          <w:rFonts w:hint="eastAsia" w:ascii="仿宋_GB2312" w:eastAsia="仿宋_GB2312" w:cs="仿宋_GB2312"/>
          <w:sz w:val="32"/>
          <w:szCs w:val="32"/>
          <w:lang w:val="en-US" w:eastAsia="zh-CN" w:bidi="ar-SA"/>
        </w:rPr>
        <w:t>95.27</w:t>
      </w:r>
      <w:r>
        <w:rPr>
          <w:rFonts w:hint="eastAsia" w:ascii="仿宋_GB2312" w:eastAsia="仿宋_GB2312" w:cs="仿宋_GB2312"/>
          <w:sz w:val="32"/>
          <w:szCs w:val="32"/>
          <w:lang w:bidi="ar-SA"/>
        </w:rPr>
        <w:t>万元，占总支出的</w:t>
      </w:r>
      <w:r>
        <w:rPr>
          <w:rFonts w:hint="eastAsia" w:ascii="仿宋_GB2312" w:eastAsia="仿宋_GB2312" w:cs="仿宋_GB2312"/>
          <w:sz w:val="32"/>
          <w:szCs w:val="32"/>
          <w:lang w:val="en-US" w:eastAsia="zh-CN" w:bidi="ar-SA"/>
        </w:rPr>
        <w:t>13.87</w:t>
      </w:r>
      <w:r>
        <w:rPr>
          <w:rFonts w:hint="eastAsia" w:ascii="仿宋_GB2312" w:eastAsia="仿宋_GB2312" w:cs="仿宋_GB2312"/>
          <w:sz w:val="32"/>
          <w:szCs w:val="32"/>
          <w:lang w:bidi="ar-SA"/>
        </w:rPr>
        <w:t>%；卫生健康支出</w:t>
      </w:r>
      <w:r>
        <w:rPr>
          <w:rFonts w:hint="eastAsia" w:ascii="仿宋_GB2312" w:eastAsia="仿宋_GB2312" w:cs="仿宋_GB2312"/>
          <w:sz w:val="32"/>
          <w:szCs w:val="32"/>
          <w:lang w:val="en-US" w:eastAsia="zh-CN" w:bidi="ar-SA"/>
        </w:rPr>
        <w:t>41.66</w:t>
      </w:r>
      <w:r>
        <w:rPr>
          <w:rFonts w:hint="eastAsia" w:ascii="仿宋_GB2312" w:eastAsia="仿宋_GB2312" w:cs="仿宋_GB2312"/>
          <w:sz w:val="32"/>
          <w:szCs w:val="32"/>
          <w:lang w:bidi="ar-SA"/>
        </w:rPr>
        <w:t>万元，占总支出的</w:t>
      </w:r>
      <w:r>
        <w:rPr>
          <w:rFonts w:hint="eastAsia" w:ascii="仿宋_GB2312" w:eastAsia="仿宋_GB2312" w:cs="仿宋_GB2312"/>
          <w:sz w:val="32"/>
          <w:szCs w:val="32"/>
          <w:lang w:val="en-US" w:eastAsia="zh-CN" w:bidi="ar-SA"/>
        </w:rPr>
        <w:t>6.07</w:t>
      </w:r>
      <w:r>
        <w:rPr>
          <w:rFonts w:hint="eastAsia" w:ascii="仿宋_GB2312" w:eastAsia="仿宋_GB2312" w:cs="仿宋_GB2312"/>
          <w:sz w:val="32"/>
          <w:szCs w:val="32"/>
          <w:lang w:bidi="ar-SA"/>
        </w:rPr>
        <w:t>%；住房保障支出</w:t>
      </w:r>
      <w:r>
        <w:rPr>
          <w:rFonts w:hint="eastAsia" w:ascii="仿宋_GB2312" w:eastAsia="仿宋_GB2312" w:cs="仿宋_GB2312"/>
          <w:sz w:val="32"/>
          <w:szCs w:val="32"/>
          <w:lang w:val="en-US" w:eastAsia="zh-CN" w:bidi="ar-SA"/>
        </w:rPr>
        <w:t>57.92</w:t>
      </w:r>
      <w:r>
        <w:rPr>
          <w:rFonts w:hint="eastAsia" w:ascii="仿宋_GB2312" w:eastAsia="仿宋_GB2312" w:cs="仿宋_GB2312"/>
          <w:sz w:val="32"/>
          <w:szCs w:val="32"/>
          <w:lang w:bidi="ar-SA"/>
        </w:rPr>
        <w:t>万元，占总支出的</w:t>
      </w:r>
      <w:r>
        <w:rPr>
          <w:rFonts w:hint="eastAsia" w:ascii="仿宋_GB2312" w:eastAsia="仿宋_GB2312" w:cs="仿宋_GB2312"/>
          <w:sz w:val="32"/>
          <w:szCs w:val="32"/>
          <w:lang w:val="en-US" w:eastAsia="zh-CN" w:bidi="ar-SA"/>
        </w:rPr>
        <w:t>8.43</w:t>
      </w:r>
      <w:r>
        <w:rPr>
          <w:rFonts w:hint="eastAsia" w:ascii="仿宋_GB2312" w:eastAsia="仿宋_GB2312" w:cs="仿宋_GB2312"/>
          <w:sz w:val="32"/>
          <w:szCs w:val="32"/>
          <w:lang w:bidi="ar-SA"/>
        </w:rPr>
        <w:t>%。</w:t>
      </w:r>
    </w:p>
    <w:p>
      <w:pPr>
        <w:keepNext w:val="0"/>
        <w:keepLines w:val="0"/>
        <w:pageBreakBefore w:val="0"/>
        <w:kinsoku/>
        <w:wordWrap/>
        <w:overflowPunct/>
        <w:topLinePunct w:val="0"/>
        <w:autoSpaceDE/>
        <w:autoSpaceDN/>
        <w:bidi w:val="0"/>
        <w:adjustRightInd/>
        <w:snapToGrid/>
        <w:spacing w:line="540" w:lineRule="exact"/>
        <w:ind w:left="0" w:leftChars="0" w:firstLine="640" w:firstLineChars="200"/>
        <w:jc w:val="both"/>
        <w:textAlignment w:val="auto"/>
        <w:rPr>
          <w:rFonts w:hint="eastAsia" w:ascii="仿宋_GB2312" w:eastAsia="仿宋_GB2312"/>
          <w:sz w:val="32"/>
          <w:szCs w:val="32"/>
        </w:rPr>
      </w:pPr>
      <w:r>
        <w:rPr>
          <w:rFonts w:hint="eastAsia" w:ascii="黑体" w:eastAsia="黑体"/>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both"/>
        <w:textAlignment w:val="auto"/>
        <w:rPr>
          <w:rFonts w:hint="eastAsia" w:ascii="仿宋_GB2312" w:eastAsia="仿宋_GB2312" w:cs="仿宋_GB2312"/>
          <w:sz w:val="32"/>
          <w:szCs w:val="32"/>
          <w:lang w:val="en-US" w:eastAsia="zh-CN" w:bidi="ar-SA"/>
        </w:rPr>
      </w:pPr>
      <w:r>
        <w:rPr>
          <w:rFonts w:hint="eastAsia" w:ascii="仿宋_GB2312" w:eastAsia="仿宋_GB2312" w:cs="仿宋_GB2312"/>
          <w:sz w:val="32"/>
          <w:szCs w:val="32"/>
          <w:lang w:bidi="ar-SA"/>
        </w:rPr>
        <w:t>202</w:t>
      </w:r>
      <w:r>
        <w:rPr>
          <w:rFonts w:hint="eastAsia" w:ascii="仿宋_GB2312" w:eastAsia="仿宋_GB2312" w:cs="仿宋_GB2312"/>
          <w:sz w:val="32"/>
          <w:szCs w:val="32"/>
          <w:lang w:val="en-US" w:eastAsia="zh-CN" w:bidi="ar-SA"/>
        </w:rPr>
        <w:t>6</w:t>
      </w:r>
      <w:r>
        <w:rPr>
          <w:rFonts w:hint="eastAsia" w:ascii="仿宋_GB2312" w:eastAsia="仿宋_GB2312" w:cs="仿宋_GB2312"/>
          <w:sz w:val="32"/>
          <w:szCs w:val="32"/>
          <w:lang w:bidi="ar-SA"/>
        </w:rPr>
        <w:t>年财政拨款收支总预算</w:t>
      </w:r>
      <w:r>
        <w:rPr>
          <w:rFonts w:hint="eastAsia" w:ascii="仿宋_GB2312" w:eastAsia="仿宋_GB2312" w:cs="仿宋_GB2312"/>
          <w:sz w:val="32"/>
          <w:szCs w:val="32"/>
          <w:lang w:val="en-US" w:eastAsia="zh-CN" w:bidi="ar-SA"/>
        </w:rPr>
        <w:t>686.75</w:t>
      </w:r>
      <w:r>
        <w:rPr>
          <w:rFonts w:hint="eastAsia" w:ascii="仿宋_GB2312" w:eastAsia="仿宋_GB2312" w:cs="仿宋_GB2312"/>
          <w:sz w:val="32"/>
          <w:szCs w:val="32"/>
          <w:lang w:bidi="ar-SA"/>
        </w:rPr>
        <w:t>万元,</w:t>
      </w:r>
      <w:r>
        <w:rPr>
          <w:rFonts w:hint="eastAsia" w:ascii="仿宋_GB2312" w:eastAsia="仿宋_GB2312" w:cs="仿宋_GB2312"/>
          <w:sz w:val="32"/>
          <w:szCs w:val="32"/>
          <w:lang w:val="en-US" w:eastAsia="zh-CN" w:bidi="ar-SA"/>
        </w:rPr>
        <w:t>较上年增加247.12万元</w:t>
      </w:r>
      <w:r>
        <w:rPr>
          <w:rFonts w:hint="eastAsia" w:ascii="仿宋_GB2312" w:eastAsia="仿宋_GB2312" w:cs="仿宋_GB2312"/>
          <w:sz w:val="32"/>
          <w:szCs w:val="32"/>
          <w:lang w:bidi="ar-SA"/>
        </w:rPr>
        <w:t>,</w:t>
      </w:r>
      <w:r>
        <w:rPr>
          <w:rFonts w:hint="eastAsia" w:ascii="仿宋_GB2312" w:eastAsia="仿宋_GB2312" w:cs="仿宋_GB2312"/>
          <w:sz w:val="32"/>
          <w:szCs w:val="32"/>
          <w:lang w:eastAsia="zh-CN" w:bidi="ar-SA"/>
        </w:rPr>
        <w:t>增长</w:t>
      </w:r>
      <w:r>
        <w:rPr>
          <w:rFonts w:hint="eastAsia" w:ascii="仿宋_GB2312" w:eastAsia="仿宋_GB2312" w:cs="仿宋_GB2312"/>
          <w:sz w:val="32"/>
          <w:szCs w:val="32"/>
          <w:lang w:val="en-US" w:eastAsia="zh-CN" w:bidi="ar-SA"/>
        </w:rPr>
        <w:t>56.21%，</w:t>
      </w:r>
      <w:r>
        <w:rPr>
          <w:rFonts w:hint="eastAsia" w:ascii="仿宋_GB2312" w:eastAsia="仿宋_GB2312" w:cs="仿宋_GB2312"/>
          <w:sz w:val="32"/>
          <w:szCs w:val="32"/>
          <w:lang w:bidi="ar-SA"/>
        </w:rPr>
        <w:t>主要原因</w:t>
      </w:r>
      <w:r>
        <w:rPr>
          <w:rFonts w:hint="eastAsia" w:ascii="仿宋_GB2312" w:eastAsia="仿宋_GB2312" w:cs="仿宋_GB2312"/>
          <w:sz w:val="32"/>
          <w:szCs w:val="32"/>
          <w:lang w:eastAsia="zh-CN" w:bidi="ar-SA"/>
        </w:rPr>
        <w:t>为</w:t>
      </w:r>
      <w:r>
        <w:rPr>
          <w:rFonts w:hint="eastAsia" w:ascii="仿宋_GB2312" w:eastAsia="仿宋_GB2312" w:cs="仿宋_GB2312"/>
          <w:sz w:val="32"/>
          <w:szCs w:val="32"/>
          <w:lang w:val="en-US" w:eastAsia="zh-CN" w:bidi="ar-SA"/>
        </w:rPr>
        <w:t>2026年新增11人使</w:t>
      </w:r>
      <w:r>
        <w:rPr>
          <w:rFonts w:hint="eastAsia" w:ascii="仿宋_GB2312" w:eastAsia="仿宋_GB2312" w:cs="仿宋_GB2312"/>
          <w:sz w:val="32"/>
          <w:szCs w:val="32"/>
          <w:lang w:eastAsia="zh-CN" w:bidi="ar-SA"/>
        </w:rPr>
        <w:t>人员经费增加</w:t>
      </w:r>
      <w:r>
        <w:rPr>
          <w:rFonts w:hint="eastAsia" w:ascii="仿宋_GB2312" w:eastAsia="仿宋_GB2312" w:cs="仿宋_GB2312"/>
          <w:sz w:val="32"/>
          <w:szCs w:val="32"/>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both"/>
        <w:textAlignment w:val="auto"/>
        <w:rPr>
          <w:rFonts w:hint="eastAsia" w:ascii="仿宋_GB2312" w:eastAsia="仿宋_GB2312" w:cs="仿宋_GB2312"/>
          <w:sz w:val="32"/>
          <w:szCs w:val="32"/>
          <w:lang w:bidi="ar-SA"/>
        </w:rPr>
      </w:pPr>
      <w:r>
        <w:rPr>
          <w:rFonts w:hint="eastAsia" w:ascii="仿宋_GB2312" w:eastAsia="仿宋_GB2312" w:cs="仿宋_GB2312"/>
          <w:sz w:val="32"/>
          <w:szCs w:val="32"/>
          <w:lang w:bidi="ar-SA"/>
        </w:rPr>
        <w:t>收入包括：</w:t>
      </w:r>
      <w:r>
        <w:rPr>
          <w:rFonts w:hint="eastAsia" w:ascii="仿宋_GB2312" w:eastAsia="仿宋_GB2312" w:cs="仿宋_GB2312"/>
          <w:color w:val="auto"/>
          <w:sz w:val="32"/>
          <w:szCs w:val="32"/>
          <w:lang w:val="en-US" w:eastAsia="zh-CN" w:bidi="ar-SA"/>
        </w:rPr>
        <w:t>2026年收入预算686.75万元，其中：</w:t>
      </w:r>
      <w:r>
        <w:rPr>
          <w:rFonts w:hint="eastAsia" w:ascii="仿宋_GB2312" w:eastAsia="仿宋_GB2312" w:cs="仿宋_GB2312"/>
          <w:sz w:val="32"/>
          <w:szCs w:val="32"/>
          <w:lang w:bidi="ar-SA"/>
        </w:rPr>
        <w:t>一般公共预算拨款收入</w:t>
      </w:r>
      <w:r>
        <w:rPr>
          <w:rFonts w:hint="eastAsia" w:ascii="仿宋_GB2312" w:eastAsia="仿宋_GB2312" w:cs="仿宋_GB2312"/>
          <w:sz w:val="32"/>
          <w:szCs w:val="32"/>
          <w:lang w:val="en-US" w:eastAsia="zh-CN" w:bidi="ar-SA"/>
        </w:rPr>
        <w:t>686.75</w:t>
      </w:r>
      <w:r>
        <w:rPr>
          <w:rFonts w:hint="eastAsia" w:ascii="仿宋_GB2312" w:eastAsia="仿宋_GB2312" w:cs="仿宋_GB2312"/>
          <w:sz w:val="32"/>
          <w:szCs w:val="32"/>
          <w:lang w:bidi="ar-SA"/>
        </w:rPr>
        <w:t>万元，占</w:t>
      </w:r>
      <w:r>
        <w:rPr>
          <w:rFonts w:hint="eastAsia" w:ascii="仿宋_GB2312" w:eastAsia="仿宋_GB2312" w:cs="仿宋_GB2312"/>
          <w:sz w:val="32"/>
          <w:szCs w:val="32"/>
          <w:lang w:eastAsia="zh-CN" w:bidi="ar-SA"/>
        </w:rPr>
        <w:t>收入的</w:t>
      </w:r>
      <w:r>
        <w:rPr>
          <w:rFonts w:hint="eastAsia" w:ascii="仿宋_GB2312" w:eastAsia="仿宋_GB2312" w:cs="仿宋_GB2312"/>
          <w:sz w:val="32"/>
          <w:szCs w:val="32"/>
          <w:lang w:val="en-US" w:eastAsia="zh-CN" w:bidi="ar-SA"/>
        </w:rPr>
        <w:t>100</w:t>
      </w:r>
      <w:r>
        <w:rPr>
          <w:rFonts w:hint="eastAsia" w:ascii="仿宋_GB2312" w:eastAsia="仿宋_GB2312" w:cs="仿宋_GB2312"/>
          <w:sz w:val="32"/>
          <w:szCs w:val="32"/>
          <w:lang w:bidi="ar-SA"/>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eastAsia="仿宋_GB2312"/>
          <w:sz w:val="32"/>
          <w:szCs w:val="32"/>
        </w:rPr>
      </w:pPr>
      <w:r>
        <w:rPr>
          <w:rFonts w:hint="eastAsia" w:ascii="仿宋_GB2312" w:eastAsia="仿宋_GB2312" w:cs="仿宋_GB2312"/>
          <w:sz w:val="32"/>
          <w:szCs w:val="32"/>
          <w:lang w:bidi="ar-SA"/>
        </w:rPr>
        <w:t>支出包括：</w:t>
      </w:r>
      <w:r>
        <w:rPr>
          <w:rFonts w:hint="eastAsia" w:ascii="仿宋_GB2312" w:eastAsia="仿宋_GB2312" w:cs="仿宋_GB2312"/>
          <w:color w:val="auto"/>
          <w:sz w:val="32"/>
          <w:szCs w:val="32"/>
          <w:lang w:val="en-US" w:eastAsia="zh-CN" w:bidi="ar-SA"/>
        </w:rPr>
        <w:t>2026年支出预算686.75万元，其中：</w:t>
      </w:r>
      <w:r>
        <w:rPr>
          <w:rFonts w:hint="eastAsia" w:ascii="仿宋_GB2312" w:eastAsia="仿宋_GB2312" w:cs="仿宋_GB2312"/>
          <w:sz w:val="32"/>
          <w:szCs w:val="32"/>
          <w:lang w:bidi="ar-SA"/>
        </w:rPr>
        <w:t>一般公共服务支出</w:t>
      </w:r>
      <w:r>
        <w:rPr>
          <w:rFonts w:hint="eastAsia" w:ascii="仿宋_GB2312" w:eastAsia="仿宋_GB2312" w:cs="仿宋_GB2312"/>
          <w:sz w:val="32"/>
          <w:szCs w:val="32"/>
          <w:lang w:val="en-US" w:eastAsia="zh-CN" w:bidi="ar-SA"/>
        </w:rPr>
        <w:t>491.9</w:t>
      </w:r>
      <w:r>
        <w:rPr>
          <w:rFonts w:hint="eastAsia" w:ascii="仿宋_GB2312" w:eastAsia="仿宋_GB2312" w:cs="仿宋_GB2312"/>
          <w:sz w:val="32"/>
          <w:szCs w:val="32"/>
          <w:lang w:bidi="ar-SA"/>
        </w:rPr>
        <w:t>万元，占总支出的</w:t>
      </w:r>
      <w:r>
        <w:rPr>
          <w:rFonts w:hint="eastAsia" w:ascii="仿宋_GB2312" w:eastAsia="仿宋_GB2312" w:cs="仿宋_GB2312"/>
          <w:sz w:val="32"/>
          <w:szCs w:val="32"/>
          <w:lang w:val="en-US" w:eastAsia="zh-CN" w:bidi="ar-SA"/>
        </w:rPr>
        <w:t>71.63</w:t>
      </w:r>
      <w:r>
        <w:rPr>
          <w:rFonts w:hint="eastAsia" w:ascii="仿宋_GB2312" w:eastAsia="仿宋_GB2312" w:cs="仿宋_GB2312"/>
          <w:sz w:val="32"/>
          <w:szCs w:val="32"/>
          <w:lang w:bidi="ar-SA"/>
        </w:rPr>
        <w:t>%；社会保障和就业支出</w:t>
      </w:r>
      <w:r>
        <w:rPr>
          <w:rFonts w:hint="eastAsia" w:ascii="仿宋_GB2312" w:eastAsia="仿宋_GB2312" w:cs="仿宋_GB2312"/>
          <w:sz w:val="32"/>
          <w:szCs w:val="32"/>
          <w:lang w:val="en-US" w:eastAsia="zh-CN" w:bidi="ar-SA"/>
        </w:rPr>
        <w:t>95.27</w:t>
      </w:r>
      <w:r>
        <w:rPr>
          <w:rFonts w:hint="eastAsia" w:ascii="仿宋_GB2312" w:eastAsia="仿宋_GB2312" w:cs="仿宋_GB2312"/>
          <w:sz w:val="32"/>
          <w:szCs w:val="32"/>
          <w:lang w:bidi="ar-SA"/>
        </w:rPr>
        <w:t>万元，占总支出的</w:t>
      </w:r>
      <w:r>
        <w:rPr>
          <w:rFonts w:hint="eastAsia" w:ascii="仿宋_GB2312" w:eastAsia="仿宋_GB2312" w:cs="仿宋_GB2312"/>
          <w:sz w:val="32"/>
          <w:szCs w:val="32"/>
          <w:lang w:val="en-US" w:eastAsia="zh-CN" w:bidi="ar-SA"/>
        </w:rPr>
        <w:t>13.87</w:t>
      </w:r>
      <w:r>
        <w:rPr>
          <w:rFonts w:hint="eastAsia" w:ascii="仿宋_GB2312" w:eastAsia="仿宋_GB2312" w:cs="仿宋_GB2312"/>
          <w:sz w:val="32"/>
          <w:szCs w:val="32"/>
          <w:lang w:bidi="ar-SA"/>
        </w:rPr>
        <w:t>%；卫生健康支出</w:t>
      </w:r>
      <w:r>
        <w:rPr>
          <w:rFonts w:hint="eastAsia" w:ascii="仿宋_GB2312" w:eastAsia="仿宋_GB2312" w:cs="仿宋_GB2312"/>
          <w:sz w:val="32"/>
          <w:szCs w:val="32"/>
          <w:lang w:val="en-US" w:eastAsia="zh-CN" w:bidi="ar-SA"/>
        </w:rPr>
        <w:t>41.66</w:t>
      </w:r>
      <w:r>
        <w:rPr>
          <w:rFonts w:hint="eastAsia" w:ascii="仿宋_GB2312" w:eastAsia="仿宋_GB2312" w:cs="仿宋_GB2312"/>
          <w:sz w:val="32"/>
          <w:szCs w:val="32"/>
          <w:lang w:bidi="ar-SA"/>
        </w:rPr>
        <w:t>万元，占总支出的</w:t>
      </w:r>
      <w:r>
        <w:rPr>
          <w:rFonts w:hint="eastAsia" w:ascii="仿宋_GB2312" w:eastAsia="仿宋_GB2312" w:cs="仿宋_GB2312"/>
          <w:sz w:val="32"/>
          <w:szCs w:val="32"/>
          <w:lang w:val="en-US" w:eastAsia="zh-CN" w:bidi="ar-SA"/>
        </w:rPr>
        <w:t>6.07</w:t>
      </w:r>
      <w:r>
        <w:rPr>
          <w:rFonts w:hint="eastAsia" w:ascii="仿宋_GB2312" w:eastAsia="仿宋_GB2312" w:cs="仿宋_GB2312"/>
          <w:sz w:val="32"/>
          <w:szCs w:val="32"/>
          <w:lang w:bidi="ar-SA"/>
        </w:rPr>
        <w:t>%；住房保障支出</w:t>
      </w:r>
      <w:r>
        <w:rPr>
          <w:rFonts w:hint="eastAsia" w:ascii="仿宋_GB2312" w:eastAsia="仿宋_GB2312" w:cs="仿宋_GB2312"/>
          <w:sz w:val="32"/>
          <w:szCs w:val="32"/>
          <w:lang w:val="en-US" w:eastAsia="zh-CN" w:bidi="ar-SA"/>
        </w:rPr>
        <w:t>57.92</w:t>
      </w:r>
      <w:r>
        <w:rPr>
          <w:rFonts w:hint="eastAsia" w:ascii="仿宋_GB2312" w:eastAsia="仿宋_GB2312" w:cs="仿宋_GB2312"/>
          <w:sz w:val="32"/>
          <w:szCs w:val="32"/>
          <w:lang w:bidi="ar-SA"/>
        </w:rPr>
        <w:t>万元，占总支出的</w:t>
      </w:r>
      <w:r>
        <w:rPr>
          <w:rFonts w:hint="eastAsia" w:ascii="仿宋_GB2312" w:eastAsia="仿宋_GB2312" w:cs="仿宋_GB2312"/>
          <w:sz w:val="32"/>
          <w:szCs w:val="32"/>
          <w:lang w:val="en-US" w:eastAsia="zh-CN" w:bidi="ar-SA"/>
        </w:rPr>
        <w:t>8.43</w:t>
      </w:r>
      <w:r>
        <w:rPr>
          <w:rFonts w:hint="eastAsia" w:ascii="仿宋_GB2312" w:eastAsia="仿宋_GB2312" w:cs="仿宋_GB2312"/>
          <w:sz w:val="32"/>
          <w:szCs w:val="32"/>
          <w:lang w:bidi="ar-SA"/>
        </w:rPr>
        <w:t>%。</w:t>
      </w:r>
    </w:p>
    <w:p>
      <w:pPr>
        <w:keepNext w:val="0"/>
        <w:keepLines w:val="0"/>
        <w:pageBreakBefore w:val="0"/>
        <w:kinsoku/>
        <w:wordWrap/>
        <w:overflowPunct/>
        <w:topLinePunct w:val="0"/>
        <w:autoSpaceDE/>
        <w:autoSpaceDN/>
        <w:bidi w:val="0"/>
        <w:adjustRightInd/>
        <w:snapToGrid/>
        <w:spacing w:line="540" w:lineRule="exact"/>
        <w:ind w:left="0" w:leftChars="0" w:firstLine="640" w:firstLineChars="200"/>
        <w:jc w:val="both"/>
        <w:textAlignment w:val="auto"/>
        <w:rPr>
          <w:rFonts w:ascii="黑体" w:eastAsia="黑体"/>
          <w:sz w:val="32"/>
          <w:szCs w:val="32"/>
        </w:rPr>
      </w:pPr>
      <w:r>
        <w:rPr>
          <w:rFonts w:hint="eastAsia" w:ascii="黑体" w:eastAsia="黑体"/>
          <w:sz w:val="32"/>
          <w:szCs w:val="32"/>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both"/>
        <w:textAlignment w:val="auto"/>
        <w:rPr>
          <w:rFonts w:hint="eastAsia" w:ascii="楷体" w:eastAsia="楷体" w:cs="楷体"/>
          <w:sz w:val="32"/>
          <w:szCs w:val="32"/>
          <w:lang w:bidi="ar-SA"/>
        </w:rPr>
      </w:pPr>
      <w:r>
        <w:rPr>
          <w:rFonts w:hint="eastAsia" w:ascii="楷体" w:eastAsia="楷体" w:cs="楷体"/>
          <w:sz w:val="32"/>
          <w:szCs w:val="32"/>
          <w:lang w:bidi="ar-SA"/>
        </w:rPr>
        <w:t>（</w:t>
      </w:r>
      <w:r>
        <w:rPr>
          <w:rFonts w:hint="eastAsia" w:ascii="楷体" w:eastAsia="楷体" w:cs="楷体"/>
          <w:sz w:val="32"/>
          <w:szCs w:val="32"/>
          <w:lang w:val="en-US" w:eastAsia="zh-CN" w:bidi="ar-SA"/>
        </w:rPr>
        <w:t>一）一</w:t>
      </w:r>
      <w:r>
        <w:rPr>
          <w:rFonts w:hint="eastAsia" w:ascii="楷体" w:eastAsia="楷体" w:cs="楷体"/>
          <w:sz w:val="32"/>
          <w:szCs w:val="32"/>
          <w:lang w:bidi="ar-SA"/>
        </w:rPr>
        <w:t>般公共预算当年拨款规模变化情况</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both"/>
        <w:textAlignment w:val="auto"/>
        <w:rPr>
          <w:rFonts w:hint="eastAsia" w:ascii="仿宋_GB2312" w:eastAsia="仿宋_GB2312" w:cs="仿宋_GB2312"/>
          <w:sz w:val="32"/>
          <w:szCs w:val="32"/>
          <w:lang w:val="en-US" w:eastAsia="zh-CN" w:bidi="ar-SA"/>
        </w:rPr>
      </w:pPr>
      <w:r>
        <w:rPr>
          <w:rFonts w:hint="eastAsia" w:ascii="仿宋_GB2312" w:eastAsia="仿宋_GB2312" w:cs="仿宋_GB2312"/>
          <w:sz w:val="32"/>
          <w:szCs w:val="32"/>
          <w:lang w:bidi="ar-SA"/>
        </w:rPr>
        <w:t>202</w:t>
      </w:r>
      <w:r>
        <w:rPr>
          <w:rFonts w:hint="eastAsia" w:ascii="仿宋_GB2312" w:eastAsia="仿宋_GB2312" w:cs="仿宋_GB2312"/>
          <w:sz w:val="32"/>
          <w:szCs w:val="32"/>
          <w:lang w:val="en-US" w:eastAsia="zh-CN" w:bidi="ar-SA"/>
        </w:rPr>
        <w:t>6</w:t>
      </w:r>
      <w:r>
        <w:rPr>
          <w:rFonts w:hint="eastAsia" w:ascii="仿宋_GB2312" w:eastAsia="仿宋_GB2312" w:cs="仿宋_GB2312"/>
          <w:sz w:val="32"/>
          <w:szCs w:val="32"/>
          <w:lang w:bidi="ar-SA"/>
        </w:rPr>
        <w:t>年一般公共预算当年拨款</w:t>
      </w:r>
      <w:r>
        <w:rPr>
          <w:rFonts w:hint="eastAsia" w:ascii="仿宋_GB2312" w:eastAsia="仿宋_GB2312" w:cs="仿宋_GB2312"/>
          <w:sz w:val="32"/>
          <w:szCs w:val="32"/>
          <w:lang w:val="en-US" w:eastAsia="zh-CN" w:bidi="ar-SA"/>
        </w:rPr>
        <w:t>686.75</w:t>
      </w:r>
      <w:r>
        <w:rPr>
          <w:rFonts w:hint="eastAsia" w:ascii="仿宋_GB2312" w:eastAsia="仿宋_GB2312" w:cs="仿宋_GB2312"/>
          <w:sz w:val="32"/>
          <w:szCs w:val="32"/>
          <w:lang w:bidi="ar-SA"/>
        </w:rPr>
        <w:t>万元，</w:t>
      </w:r>
      <w:r>
        <w:rPr>
          <w:rFonts w:hint="eastAsia" w:ascii="仿宋_GB2312" w:eastAsia="仿宋_GB2312" w:cs="仿宋_GB2312"/>
          <w:sz w:val="32"/>
          <w:szCs w:val="32"/>
          <w:lang w:val="en-US" w:eastAsia="zh-CN" w:bidi="ar-SA"/>
        </w:rPr>
        <w:t>较上年增加247.12万元</w:t>
      </w:r>
      <w:r>
        <w:rPr>
          <w:rFonts w:hint="eastAsia" w:ascii="仿宋_GB2312" w:eastAsia="仿宋_GB2312" w:cs="仿宋_GB2312"/>
          <w:sz w:val="32"/>
          <w:szCs w:val="32"/>
          <w:lang w:bidi="ar-SA"/>
        </w:rPr>
        <w:t>,</w:t>
      </w:r>
      <w:r>
        <w:rPr>
          <w:rFonts w:hint="eastAsia" w:ascii="仿宋_GB2312" w:eastAsia="仿宋_GB2312" w:cs="仿宋_GB2312"/>
          <w:sz w:val="32"/>
          <w:szCs w:val="32"/>
          <w:lang w:eastAsia="zh-CN" w:bidi="ar-SA"/>
        </w:rPr>
        <w:t>增长</w:t>
      </w:r>
      <w:r>
        <w:rPr>
          <w:rFonts w:hint="eastAsia" w:ascii="仿宋_GB2312" w:eastAsia="仿宋_GB2312" w:cs="仿宋_GB2312"/>
          <w:sz w:val="32"/>
          <w:szCs w:val="32"/>
          <w:lang w:val="en-US" w:eastAsia="zh-CN" w:bidi="ar-SA"/>
        </w:rPr>
        <w:t>56.21%，</w:t>
      </w:r>
      <w:r>
        <w:rPr>
          <w:rFonts w:hint="eastAsia" w:ascii="仿宋_GB2312" w:eastAsia="仿宋_GB2312" w:cs="仿宋_GB2312"/>
          <w:sz w:val="32"/>
          <w:szCs w:val="32"/>
          <w:lang w:bidi="ar-SA"/>
        </w:rPr>
        <w:t>主要原因</w:t>
      </w:r>
      <w:r>
        <w:rPr>
          <w:rFonts w:hint="eastAsia" w:ascii="仿宋_GB2312" w:eastAsia="仿宋_GB2312" w:cs="仿宋_GB2312"/>
          <w:sz w:val="32"/>
          <w:szCs w:val="32"/>
          <w:lang w:eastAsia="zh-CN" w:bidi="ar-SA"/>
        </w:rPr>
        <w:t>为</w:t>
      </w:r>
      <w:r>
        <w:rPr>
          <w:rFonts w:hint="eastAsia" w:ascii="仿宋_GB2312" w:eastAsia="仿宋_GB2312" w:cs="仿宋_GB2312"/>
          <w:sz w:val="32"/>
          <w:szCs w:val="32"/>
          <w:lang w:val="en-US" w:eastAsia="zh-CN" w:bidi="ar-SA"/>
        </w:rPr>
        <w:t>2026年新增11人使</w:t>
      </w:r>
      <w:r>
        <w:rPr>
          <w:rFonts w:hint="eastAsia" w:ascii="仿宋_GB2312" w:eastAsia="仿宋_GB2312" w:cs="仿宋_GB2312"/>
          <w:sz w:val="32"/>
          <w:szCs w:val="32"/>
          <w:lang w:eastAsia="zh-CN" w:bidi="ar-SA"/>
        </w:rPr>
        <w:t>人员经费增加</w:t>
      </w:r>
      <w:r>
        <w:rPr>
          <w:rFonts w:hint="eastAsia" w:ascii="仿宋_GB2312" w:eastAsia="仿宋_GB2312" w:cs="仿宋_GB2312"/>
          <w:sz w:val="32"/>
          <w:szCs w:val="32"/>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both"/>
        <w:textAlignment w:val="auto"/>
        <w:rPr>
          <w:rFonts w:hint="eastAsia" w:ascii="楷体" w:eastAsia="楷体" w:cs="楷体"/>
          <w:sz w:val="32"/>
          <w:szCs w:val="32"/>
          <w:lang w:eastAsia="zh-CN" w:bidi="ar-SA"/>
        </w:rPr>
      </w:pPr>
      <w:r>
        <w:rPr>
          <w:rFonts w:hint="eastAsia" w:ascii="楷体" w:eastAsia="楷体" w:cs="楷体"/>
          <w:sz w:val="32"/>
          <w:szCs w:val="32"/>
          <w:lang w:bidi="ar-SA"/>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_GB2312" w:eastAsia="仿宋_GB2312"/>
          <w:sz w:val="32"/>
          <w:szCs w:val="32"/>
        </w:rPr>
      </w:pPr>
      <w:r>
        <w:rPr>
          <w:rFonts w:hint="eastAsia" w:ascii="仿宋_GB2312" w:eastAsia="仿宋_GB2312" w:cs="仿宋_GB2312"/>
          <w:sz w:val="32"/>
          <w:szCs w:val="32"/>
          <w:lang w:bidi="ar-SA"/>
        </w:rPr>
        <w:t>一般公共服务支出</w:t>
      </w:r>
      <w:r>
        <w:rPr>
          <w:rFonts w:hint="eastAsia" w:ascii="仿宋_GB2312" w:eastAsia="仿宋_GB2312" w:cs="仿宋_GB2312"/>
          <w:sz w:val="32"/>
          <w:szCs w:val="32"/>
          <w:lang w:val="en-US" w:eastAsia="zh-CN" w:bidi="ar-SA"/>
        </w:rPr>
        <w:t>491.9</w:t>
      </w:r>
      <w:r>
        <w:rPr>
          <w:rFonts w:hint="eastAsia" w:ascii="仿宋_GB2312" w:eastAsia="仿宋_GB2312" w:cs="仿宋_GB2312"/>
          <w:sz w:val="32"/>
          <w:szCs w:val="32"/>
          <w:lang w:bidi="ar-SA"/>
        </w:rPr>
        <w:t>万元，占总支出的</w:t>
      </w:r>
      <w:r>
        <w:rPr>
          <w:rFonts w:hint="eastAsia" w:ascii="仿宋_GB2312" w:eastAsia="仿宋_GB2312" w:cs="仿宋_GB2312"/>
          <w:sz w:val="32"/>
          <w:szCs w:val="32"/>
          <w:lang w:val="en-US" w:eastAsia="zh-CN" w:bidi="ar-SA"/>
        </w:rPr>
        <w:t>71.63</w:t>
      </w:r>
      <w:r>
        <w:rPr>
          <w:rFonts w:hint="eastAsia" w:ascii="仿宋_GB2312" w:eastAsia="仿宋_GB2312" w:cs="仿宋_GB2312"/>
          <w:sz w:val="32"/>
          <w:szCs w:val="32"/>
          <w:lang w:bidi="ar-SA"/>
        </w:rPr>
        <w:t>%；社会保障和就业支出</w:t>
      </w:r>
      <w:r>
        <w:rPr>
          <w:rFonts w:hint="eastAsia" w:ascii="仿宋_GB2312" w:eastAsia="仿宋_GB2312" w:cs="仿宋_GB2312"/>
          <w:sz w:val="32"/>
          <w:szCs w:val="32"/>
          <w:lang w:val="en-US" w:eastAsia="zh-CN" w:bidi="ar-SA"/>
        </w:rPr>
        <w:t>95.27</w:t>
      </w:r>
      <w:r>
        <w:rPr>
          <w:rFonts w:hint="eastAsia" w:ascii="仿宋_GB2312" w:eastAsia="仿宋_GB2312" w:cs="仿宋_GB2312"/>
          <w:sz w:val="32"/>
          <w:szCs w:val="32"/>
          <w:lang w:bidi="ar-SA"/>
        </w:rPr>
        <w:t>万元，占总支出的</w:t>
      </w:r>
      <w:r>
        <w:rPr>
          <w:rFonts w:hint="eastAsia" w:ascii="仿宋_GB2312" w:eastAsia="仿宋_GB2312" w:cs="仿宋_GB2312"/>
          <w:sz w:val="32"/>
          <w:szCs w:val="32"/>
          <w:lang w:val="en-US" w:eastAsia="zh-CN" w:bidi="ar-SA"/>
        </w:rPr>
        <w:t>13.87</w:t>
      </w:r>
      <w:r>
        <w:rPr>
          <w:rFonts w:hint="eastAsia" w:ascii="仿宋_GB2312" w:eastAsia="仿宋_GB2312" w:cs="仿宋_GB2312"/>
          <w:sz w:val="32"/>
          <w:szCs w:val="32"/>
          <w:lang w:bidi="ar-SA"/>
        </w:rPr>
        <w:t>%；卫生健康支出</w:t>
      </w:r>
      <w:r>
        <w:rPr>
          <w:rFonts w:hint="eastAsia" w:ascii="仿宋_GB2312" w:eastAsia="仿宋_GB2312" w:cs="仿宋_GB2312"/>
          <w:sz w:val="32"/>
          <w:szCs w:val="32"/>
          <w:lang w:val="en-US" w:eastAsia="zh-CN" w:bidi="ar-SA"/>
        </w:rPr>
        <w:t>41.66</w:t>
      </w:r>
      <w:r>
        <w:rPr>
          <w:rFonts w:hint="eastAsia" w:ascii="仿宋_GB2312" w:eastAsia="仿宋_GB2312" w:cs="仿宋_GB2312"/>
          <w:sz w:val="32"/>
          <w:szCs w:val="32"/>
          <w:lang w:bidi="ar-SA"/>
        </w:rPr>
        <w:t>万元，占总支出的</w:t>
      </w:r>
      <w:r>
        <w:rPr>
          <w:rFonts w:hint="eastAsia" w:ascii="仿宋_GB2312" w:eastAsia="仿宋_GB2312" w:cs="仿宋_GB2312"/>
          <w:sz w:val="32"/>
          <w:szCs w:val="32"/>
          <w:lang w:val="en-US" w:eastAsia="zh-CN" w:bidi="ar-SA"/>
        </w:rPr>
        <w:t>6.07</w:t>
      </w:r>
      <w:r>
        <w:rPr>
          <w:rFonts w:hint="eastAsia" w:ascii="仿宋_GB2312" w:eastAsia="仿宋_GB2312" w:cs="仿宋_GB2312"/>
          <w:sz w:val="32"/>
          <w:szCs w:val="32"/>
          <w:lang w:bidi="ar-SA"/>
        </w:rPr>
        <w:t>%；住房保障支出</w:t>
      </w:r>
      <w:r>
        <w:rPr>
          <w:rFonts w:hint="eastAsia" w:ascii="仿宋_GB2312" w:eastAsia="仿宋_GB2312" w:cs="仿宋_GB2312"/>
          <w:sz w:val="32"/>
          <w:szCs w:val="32"/>
          <w:lang w:val="en-US" w:eastAsia="zh-CN" w:bidi="ar-SA"/>
        </w:rPr>
        <w:t>57.92</w:t>
      </w:r>
      <w:r>
        <w:rPr>
          <w:rFonts w:hint="eastAsia" w:ascii="仿宋_GB2312" w:eastAsia="仿宋_GB2312" w:cs="仿宋_GB2312"/>
          <w:sz w:val="32"/>
          <w:szCs w:val="32"/>
          <w:lang w:bidi="ar-SA"/>
        </w:rPr>
        <w:t>万元，占总支出的</w:t>
      </w:r>
      <w:r>
        <w:rPr>
          <w:rFonts w:hint="eastAsia" w:ascii="仿宋_GB2312" w:eastAsia="仿宋_GB2312" w:cs="仿宋_GB2312"/>
          <w:sz w:val="32"/>
          <w:szCs w:val="32"/>
          <w:lang w:val="en-US" w:eastAsia="zh-CN" w:bidi="ar-SA"/>
        </w:rPr>
        <w:t>8.43</w:t>
      </w:r>
      <w:r>
        <w:rPr>
          <w:rFonts w:hint="eastAsia" w:ascii="仿宋_GB2312" w:eastAsia="仿宋_GB2312" w:cs="仿宋_GB2312"/>
          <w:sz w:val="32"/>
          <w:szCs w:val="32"/>
          <w:lang w:bidi="ar-SA"/>
        </w:rPr>
        <w:t>%。</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both"/>
        <w:textAlignment w:val="auto"/>
        <w:rPr>
          <w:rFonts w:hint="eastAsia" w:ascii="楷体" w:eastAsia="楷体" w:cs="楷体"/>
          <w:sz w:val="32"/>
          <w:szCs w:val="32"/>
          <w:lang w:val="en-US" w:eastAsia="zh-CN" w:bidi="ar-SA"/>
        </w:rPr>
      </w:pPr>
      <w:r>
        <w:rPr>
          <w:rFonts w:hint="eastAsia" w:ascii="楷体" w:eastAsia="楷体" w:cs="楷体"/>
          <w:sz w:val="32"/>
          <w:szCs w:val="32"/>
          <w:lang w:val="en-US" w:eastAsia="zh-CN" w:bidi="ar-SA"/>
        </w:rPr>
        <w:t>（三）一般公共预算当年拨款具体使用情况</w:t>
      </w:r>
    </w:p>
    <w:p>
      <w:pPr>
        <w:pStyle w:val="183"/>
        <w:keepNext w:val="0"/>
        <w:keepLines w:val="0"/>
        <w:pageBreakBefore w:val="0"/>
        <w:widowControl w:val="0"/>
        <w:kinsoku/>
        <w:wordWrap/>
        <w:overflowPunct/>
        <w:topLinePunct w:val="0"/>
        <w:autoSpaceDE/>
        <w:autoSpaceDN/>
        <w:bidi w:val="0"/>
        <w:adjustRightInd/>
        <w:snapToGrid/>
        <w:spacing w:before="0" w:line="540" w:lineRule="exact"/>
        <w:ind w:left="0" w:leftChars="0" w:firstLine="640" w:firstLineChars="200"/>
        <w:jc w:val="both"/>
        <w:textAlignment w:val="auto"/>
        <w:rPr>
          <w:rFonts w:hint="eastAsia" w:ascii="仿宋_GB2312" w:eastAsia="仿宋_GB2312" w:cs="仿宋_GB2312"/>
          <w:kern w:val="2"/>
          <w:sz w:val="32"/>
          <w:szCs w:val="32"/>
          <w:lang w:eastAsia="zh-CN" w:bidi="ar-SA"/>
        </w:rPr>
      </w:pPr>
      <w:r>
        <w:rPr>
          <w:rFonts w:hint="eastAsia" w:ascii="仿宋_GB2312" w:eastAsia="仿宋_GB2312" w:cs="仿宋_GB2312"/>
          <w:kern w:val="2"/>
          <w:sz w:val="32"/>
          <w:szCs w:val="32"/>
          <w:lang w:bidi="ar-SA"/>
        </w:rPr>
        <w:t>1．一般公共服务（类）政府办公厅（室）及相关机构事务（款）事业运行（项）202</w:t>
      </w:r>
      <w:r>
        <w:rPr>
          <w:rFonts w:hint="eastAsia" w:cs="仿宋_GB2312"/>
          <w:kern w:val="2"/>
          <w:sz w:val="32"/>
          <w:szCs w:val="32"/>
          <w:lang w:val="en-US" w:eastAsia="zh-CN" w:bidi="ar-SA"/>
        </w:rPr>
        <w:t>6</w:t>
      </w:r>
      <w:r>
        <w:rPr>
          <w:rFonts w:hint="eastAsia" w:ascii="仿宋_GB2312" w:eastAsia="仿宋_GB2312" w:cs="仿宋_GB2312"/>
          <w:kern w:val="2"/>
          <w:sz w:val="32"/>
          <w:szCs w:val="32"/>
          <w:lang w:bidi="ar-SA"/>
        </w:rPr>
        <w:t>年预算数为</w:t>
      </w:r>
      <w:r>
        <w:rPr>
          <w:rFonts w:hint="eastAsia" w:cs="仿宋_GB2312"/>
          <w:kern w:val="2"/>
          <w:sz w:val="32"/>
          <w:szCs w:val="32"/>
          <w:lang w:val="en-US" w:eastAsia="zh-CN" w:bidi="ar-SA"/>
        </w:rPr>
        <w:t>491.9</w:t>
      </w:r>
      <w:r>
        <w:rPr>
          <w:rFonts w:hint="eastAsia" w:ascii="仿宋_GB2312" w:eastAsia="仿宋_GB2312" w:cs="仿宋_GB2312"/>
          <w:kern w:val="2"/>
          <w:sz w:val="32"/>
          <w:szCs w:val="32"/>
          <w:lang w:bidi="ar-SA"/>
        </w:rPr>
        <w:t>万元，主要用于</w:t>
      </w:r>
      <w:r>
        <w:rPr>
          <w:rFonts w:hint="eastAsia" w:cs="仿宋_GB2312"/>
          <w:kern w:val="2"/>
          <w:sz w:val="32"/>
          <w:szCs w:val="32"/>
          <w:lang w:eastAsia="zh-CN" w:bidi="ar-SA"/>
        </w:rPr>
        <w:t>人员经费及公用经费，保障单位正常运转。</w:t>
      </w:r>
    </w:p>
    <w:p>
      <w:pPr>
        <w:pStyle w:val="183"/>
        <w:keepNext w:val="0"/>
        <w:keepLines w:val="0"/>
        <w:pageBreakBefore w:val="0"/>
        <w:widowControl w:val="0"/>
        <w:kinsoku/>
        <w:wordWrap/>
        <w:overflowPunct/>
        <w:topLinePunct w:val="0"/>
        <w:autoSpaceDE/>
        <w:autoSpaceDN/>
        <w:bidi w:val="0"/>
        <w:adjustRightInd/>
        <w:snapToGrid/>
        <w:spacing w:before="0" w:line="540" w:lineRule="exact"/>
        <w:ind w:left="0" w:leftChars="0" w:firstLine="640" w:firstLineChars="200"/>
        <w:jc w:val="both"/>
        <w:textAlignment w:val="auto"/>
        <w:rPr>
          <w:rFonts w:hint="eastAsia" w:ascii="仿宋_GB2312" w:eastAsia="仿宋_GB2312" w:cs="仿宋_GB2312"/>
          <w:sz w:val="32"/>
          <w:szCs w:val="32"/>
          <w:lang w:bidi="ar-SA"/>
        </w:rPr>
      </w:pPr>
      <w:r>
        <w:rPr>
          <w:rFonts w:hint="eastAsia" w:cs="仿宋_GB2312"/>
          <w:kern w:val="2"/>
          <w:sz w:val="32"/>
          <w:szCs w:val="32"/>
          <w:lang w:val="en-US" w:eastAsia="zh-CN" w:bidi="ar-SA"/>
        </w:rPr>
        <w:t>2</w:t>
      </w:r>
      <w:r>
        <w:rPr>
          <w:rFonts w:hint="eastAsia" w:ascii="仿宋_GB2312" w:eastAsia="仿宋_GB2312" w:cs="仿宋_GB2312"/>
          <w:kern w:val="2"/>
          <w:sz w:val="32"/>
          <w:szCs w:val="32"/>
          <w:lang w:bidi="ar-SA"/>
        </w:rPr>
        <w:t>.社会保障和就业支出（类）行政事业单位养老支出（款）机关事业单位基本养老保险缴费支出（项）202</w:t>
      </w:r>
      <w:r>
        <w:rPr>
          <w:rFonts w:hint="eastAsia" w:cs="仿宋_GB2312"/>
          <w:kern w:val="2"/>
          <w:sz w:val="32"/>
          <w:szCs w:val="32"/>
          <w:lang w:val="en-US" w:eastAsia="zh-CN" w:bidi="ar-SA"/>
        </w:rPr>
        <w:t>6</w:t>
      </w:r>
      <w:r>
        <w:rPr>
          <w:rFonts w:hint="eastAsia" w:ascii="仿宋_GB2312" w:eastAsia="仿宋_GB2312" w:cs="仿宋_GB2312"/>
          <w:kern w:val="2"/>
          <w:sz w:val="32"/>
          <w:szCs w:val="32"/>
          <w:lang w:bidi="ar-SA"/>
        </w:rPr>
        <w:t>年预算数为</w:t>
      </w:r>
      <w:r>
        <w:rPr>
          <w:rFonts w:hint="eastAsia" w:cs="仿宋_GB2312"/>
          <w:kern w:val="2"/>
          <w:sz w:val="32"/>
          <w:szCs w:val="32"/>
          <w:lang w:val="en-US" w:eastAsia="zh-CN" w:bidi="ar-SA"/>
        </w:rPr>
        <w:t>63.51</w:t>
      </w:r>
      <w:r>
        <w:rPr>
          <w:rFonts w:hint="eastAsia" w:ascii="仿宋_GB2312" w:eastAsia="仿宋_GB2312" w:cs="仿宋_GB2312"/>
          <w:kern w:val="2"/>
          <w:sz w:val="32"/>
          <w:szCs w:val="32"/>
          <w:lang w:bidi="ar-SA"/>
        </w:rPr>
        <w:t>万元，主要用于缴纳职工养老保险。</w:t>
      </w:r>
    </w:p>
    <w:p>
      <w:pPr>
        <w:pStyle w:val="183"/>
        <w:keepNext w:val="0"/>
        <w:keepLines w:val="0"/>
        <w:pageBreakBefore w:val="0"/>
        <w:widowControl w:val="0"/>
        <w:kinsoku/>
        <w:wordWrap/>
        <w:overflowPunct/>
        <w:topLinePunct w:val="0"/>
        <w:autoSpaceDE/>
        <w:autoSpaceDN/>
        <w:bidi w:val="0"/>
        <w:adjustRightInd/>
        <w:snapToGrid/>
        <w:spacing w:before="0" w:line="540" w:lineRule="exact"/>
        <w:ind w:left="0" w:leftChars="0" w:firstLine="640" w:firstLineChars="200"/>
        <w:jc w:val="both"/>
        <w:textAlignment w:val="auto"/>
        <w:rPr>
          <w:rFonts w:hint="eastAsia" w:ascii="仿宋_GB2312" w:eastAsia="仿宋_GB2312" w:cs="仿宋_GB2312"/>
          <w:kern w:val="2"/>
          <w:sz w:val="32"/>
          <w:szCs w:val="32"/>
          <w:lang w:bidi="ar-SA"/>
        </w:rPr>
      </w:pPr>
      <w:r>
        <w:rPr>
          <w:rFonts w:hint="eastAsia" w:ascii="仿宋_GB2312" w:eastAsia="仿宋_GB2312" w:cs="仿宋_GB2312"/>
          <w:kern w:val="2"/>
          <w:sz w:val="32"/>
          <w:szCs w:val="32"/>
          <w:lang w:bidi="ar-SA"/>
        </w:rPr>
        <w:t>4.社会保障和就业支出（类）行政事业单位养老支出（款）机关事业单位职业年金缴费支出（项）202</w:t>
      </w:r>
      <w:r>
        <w:rPr>
          <w:rFonts w:hint="eastAsia" w:cs="仿宋_GB2312"/>
          <w:kern w:val="2"/>
          <w:sz w:val="32"/>
          <w:szCs w:val="32"/>
          <w:lang w:val="en-US" w:eastAsia="zh-CN" w:bidi="ar-SA"/>
        </w:rPr>
        <w:t>6</w:t>
      </w:r>
      <w:r>
        <w:rPr>
          <w:rFonts w:hint="eastAsia" w:ascii="仿宋_GB2312" w:eastAsia="仿宋_GB2312" w:cs="仿宋_GB2312"/>
          <w:kern w:val="2"/>
          <w:sz w:val="32"/>
          <w:szCs w:val="32"/>
          <w:lang w:bidi="ar-SA"/>
        </w:rPr>
        <w:t>年预算数为</w:t>
      </w:r>
      <w:r>
        <w:rPr>
          <w:rFonts w:hint="eastAsia" w:cs="仿宋_GB2312"/>
          <w:kern w:val="2"/>
          <w:sz w:val="32"/>
          <w:szCs w:val="32"/>
          <w:lang w:val="en-US" w:eastAsia="zh-CN" w:bidi="ar-SA"/>
        </w:rPr>
        <w:t>31.76</w:t>
      </w:r>
      <w:r>
        <w:rPr>
          <w:rFonts w:hint="eastAsia" w:ascii="仿宋_GB2312" w:eastAsia="仿宋_GB2312" w:cs="仿宋_GB2312"/>
          <w:kern w:val="2"/>
          <w:sz w:val="32"/>
          <w:szCs w:val="32"/>
          <w:lang w:bidi="ar-SA"/>
        </w:rPr>
        <w:t>万元，主要用于缴纳职工职业年金。</w:t>
      </w:r>
    </w:p>
    <w:p>
      <w:pPr>
        <w:pStyle w:val="183"/>
        <w:keepNext w:val="0"/>
        <w:keepLines w:val="0"/>
        <w:pageBreakBefore w:val="0"/>
        <w:widowControl w:val="0"/>
        <w:kinsoku/>
        <w:wordWrap/>
        <w:overflowPunct/>
        <w:topLinePunct w:val="0"/>
        <w:autoSpaceDE/>
        <w:autoSpaceDN/>
        <w:bidi w:val="0"/>
        <w:adjustRightInd/>
        <w:snapToGrid/>
        <w:spacing w:before="0" w:line="540" w:lineRule="exact"/>
        <w:ind w:left="0" w:leftChars="0" w:firstLine="640" w:firstLineChars="200"/>
        <w:jc w:val="both"/>
        <w:textAlignment w:val="auto"/>
        <w:rPr>
          <w:rFonts w:hint="eastAsia" w:ascii="仿宋_GB2312" w:eastAsia="仿宋_GB2312" w:cs="仿宋_GB2312"/>
          <w:sz w:val="32"/>
          <w:szCs w:val="32"/>
          <w:lang w:bidi="ar-SA"/>
        </w:rPr>
      </w:pPr>
      <w:r>
        <w:rPr>
          <w:rFonts w:hint="eastAsia" w:ascii="仿宋_GB2312" w:eastAsia="仿宋_GB2312" w:cs="仿宋_GB2312"/>
          <w:kern w:val="2"/>
          <w:sz w:val="32"/>
          <w:szCs w:val="32"/>
          <w:lang w:bidi="ar-SA"/>
        </w:rPr>
        <w:t>5.卫生健康支出（类）行政事业单位医疗（款）事业单位医疗（项）202</w:t>
      </w:r>
      <w:r>
        <w:rPr>
          <w:rFonts w:hint="eastAsia" w:cs="仿宋_GB2312"/>
          <w:kern w:val="2"/>
          <w:sz w:val="32"/>
          <w:szCs w:val="32"/>
          <w:lang w:val="en-US" w:eastAsia="zh-CN" w:bidi="ar-SA"/>
        </w:rPr>
        <w:t>6</w:t>
      </w:r>
      <w:r>
        <w:rPr>
          <w:rFonts w:hint="eastAsia" w:ascii="仿宋_GB2312" w:eastAsia="仿宋_GB2312" w:cs="仿宋_GB2312"/>
          <w:kern w:val="2"/>
          <w:sz w:val="32"/>
          <w:szCs w:val="32"/>
          <w:lang w:bidi="ar-SA"/>
        </w:rPr>
        <w:t>年预算数为</w:t>
      </w:r>
      <w:r>
        <w:rPr>
          <w:rFonts w:hint="eastAsia" w:cs="仿宋_GB2312"/>
          <w:kern w:val="2"/>
          <w:sz w:val="32"/>
          <w:szCs w:val="32"/>
          <w:lang w:val="en-US" w:eastAsia="zh-CN" w:bidi="ar-SA"/>
        </w:rPr>
        <w:t>34.52</w:t>
      </w:r>
      <w:r>
        <w:rPr>
          <w:rFonts w:hint="eastAsia" w:ascii="仿宋_GB2312" w:eastAsia="仿宋_GB2312" w:cs="仿宋_GB2312"/>
          <w:kern w:val="2"/>
          <w:sz w:val="32"/>
          <w:szCs w:val="32"/>
          <w:lang w:bidi="ar-SA"/>
        </w:rPr>
        <w:t>万元，主要用于缴纳职工医疗保险。</w:t>
      </w:r>
    </w:p>
    <w:p>
      <w:pPr>
        <w:pStyle w:val="183"/>
        <w:keepNext w:val="0"/>
        <w:keepLines w:val="0"/>
        <w:pageBreakBefore w:val="0"/>
        <w:widowControl w:val="0"/>
        <w:kinsoku/>
        <w:wordWrap/>
        <w:overflowPunct/>
        <w:topLinePunct w:val="0"/>
        <w:autoSpaceDE/>
        <w:autoSpaceDN/>
        <w:bidi w:val="0"/>
        <w:adjustRightInd/>
        <w:snapToGrid/>
        <w:spacing w:before="0" w:line="540" w:lineRule="exact"/>
        <w:ind w:left="0" w:leftChars="0" w:firstLine="640" w:firstLineChars="200"/>
        <w:jc w:val="both"/>
        <w:textAlignment w:val="auto"/>
        <w:rPr>
          <w:rFonts w:hint="eastAsia" w:ascii="仿宋_GB2312" w:eastAsia="仿宋_GB2312" w:cs="仿宋_GB2312"/>
          <w:color w:val="FF0000"/>
          <w:kern w:val="2"/>
          <w:sz w:val="32"/>
          <w:szCs w:val="32"/>
          <w:lang w:bidi="ar-SA"/>
        </w:rPr>
      </w:pPr>
      <w:r>
        <w:rPr>
          <w:rFonts w:hint="eastAsia" w:ascii="仿宋_GB2312" w:eastAsia="仿宋_GB2312" w:cs="仿宋_GB2312"/>
          <w:kern w:val="2"/>
          <w:sz w:val="32"/>
          <w:szCs w:val="32"/>
          <w:lang w:val="en-US" w:eastAsia="zh-CN" w:bidi="ar-SA"/>
        </w:rPr>
        <w:t>6</w:t>
      </w:r>
      <w:r>
        <w:rPr>
          <w:rFonts w:hint="eastAsia" w:ascii="仿宋_GB2312" w:eastAsia="仿宋_GB2312" w:cs="仿宋_GB2312"/>
          <w:kern w:val="2"/>
          <w:sz w:val="32"/>
          <w:szCs w:val="32"/>
          <w:lang w:bidi="ar-SA"/>
        </w:rPr>
        <w:t>.卫生健康支出（类）行政事业单位医疗（款）其他行政事业单位医疗支出（项）202</w:t>
      </w:r>
      <w:r>
        <w:rPr>
          <w:rFonts w:hint="eastAsia" w:cs="仿宋_GB2312"/>
          <w:kern w:val="2"/>
          <w:sz w:val="32"/>
          <w:szCs w:val="32"/>
          <w:lang w:val="en-US" w:eastAsia="zh-CN" w:bidi="ar-SA"/>
        </w:rPr>
        <w:t>6</w:t>
      </w:r>
      <w:r>
        <w:rPr>
          <w:rFonts w:hint="eastAsia" w:ascii="仿宋_GB2312" w:eastAsia="仿宋_GB2312" w:cs="仿宋_GB2312"/>
          <w:kern w:val="2"/>
          <w:sz w:val="32"/>
          <w:szCs w:val="32"/>
          <w:lang w:bidi="ar-SA"/>
        </w:rPr>
        <w:t>年预算数为</w:t>
      </w:r>
      <w:r>
        <w:rPr>
          <w:rFonts w:hint="eastAsia" w:cs="仿宋_GB2312"/>
          <w:kern w:val="2"/>
          <w:sz w:val="32"/>
          <w:szCs w:val="32"/>
          <w:lang w:val="en-US" w:eastAsia="zh-CN" w:bidi="ar-SA"/>
        </w:rPr>
        <w:t>7.14</w:t>
      </w:r>
      <w:r>
        <w:rPr>
          <w:rFonts w:hint="eastAsia" w:ascii="仿宋_GB2312" w:eastAsia="仿宋_GB2312" w:cs="仿宋_GB2312"/>
          <w:kern w:val="2"/>
          <w:sz w:val="32"/>
          <w:szCs w:val="32"/>
          <w:lang w:bidi="ar-SA"/>
        </w:rPr>
        <w:t>万元，主要用于缴纳事业人员公务员医疗补助。</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jc w:val="both"/>
        <w:textAlignment w:val="auto"/>
        <w:rPr>
          <w:rFonts w:hint="eastAsia" w:cs="仿宋_GB2312"/>
          <w:kern w:val="2"/>
          <w:sz w:val="32"/>
          <w:szCs w:val="32"/>
        </w:rPr>
      </w:pPr>
      <w:r>
        <w:rPr>
          <w:rFonts w:hint="eastAsia" w:ascii="仿宋_GB2312" w:eastAsia="仿宋_GB2312" w:cs="仿宋_GB2312"/>
          <w:sz w:val="32"/>
          <w:szCs w:val="32"/>
          <w:lang w:val="en-US" w:eastAsia="zh-CN" w:bidi="ar-SA"/>
        </w:rPr>
        <w:t>7</w:t>
      </w:r>
      <w:r>
        <w:rPr>
          <w:rFonts w:hint="eastAsia" w:ascii="仿宋_GB2312" w:eastAsia="仿宋_GB2312" w:cs="仿宋_GB2312"/>
          <w:sz w:val="32"/>
          <w:szCs w:val="32"/>
          <w:lang w:bidi="ar-SA"/>
        </w:rPr>
        <w:t>.住房保障支出（类）住房改革支出</w:t>
      </w:r>
      <w:r>
        <w:rPr>
          <w:rFonts w:hint="eastAsia" w:ascii="仿宋_GB2312" w:eastAsia="仿宋_GB2312" w:cs="仿宋_GB2312"/>
          <w:color w:val="000000"/>
          <w:sz w:val="32"/>
          <w:szCs w:val="32"/>
          <w:lang w:bidi="ar-SA"/>
        </w:rPr>
        <w:t>（款）住房公积</w:t>
      </w:r>
      <w:r>
        <w:rPr>
          <w:rFonts w:hint="eastAsia" w:ascii="仿宋_GB2312" w:eastAsia="仿宋_GB2312" w:cs="仿宋_GB2312"/>
          <w:sz w:val="32"/>
          <w:szCs w:val="32"/>
          <w:lang w:bidi="ar-SA"/>
        </w:rPr>
        <w:t>金（项）202</w:t>
      </w:r>
      <w:r>
        <w:rPr>
          <w:rFonts w:hint="eastAsia" w:ascii="仿宋_GB2312" w:eastAsia="仿宋_GB2312" w:cs="仿宋_GB2312"/>
          <w:sz w:val="32"/>
          <w:szCs w:val="32"/>
          <w:lang w:val="en-US" w:eastAsia="zh-CN" w:bidi="ar-SA"/>
        </w:rPr>
        <w:t>6</w:t>
      </w:r>
      <w:r>
        <w:rPr>
          <w:rFonts w:hint="eastAsia" w:ascii="仿宋_GB2312" w:eastAsia="仿宋_GB2312" w:cs="仿宋_GB2312"/>
          <w:sz w:val="32"/>
          <w:szCs w:val="32"/>
          <w:lang w:bidi="ar-SA"/>
        </w:rPr>
        <w:t>年预算数为</w:t>
      </w:r>
      <w:r>
        <w:rPr>
          <w:rFonts w:hint="eastAsia" w:ascii="仿宋_GB2312" w:eastAsia="仿宋_GB2312" w:cs="仿宋_GB2312"/>
          <w:sz w:val="32"/>
          <w:szCs w:val="32"/>
          <w:lang w:val="en-US" w:eastAsia="zh-CN" w:bidi="ar-SA"/>
        </w:rPr>
        <w:t>57.92</w:t>
      </w:r>
      <w:r>
        <w:rPr>
          <w:rFonts w:hint="eastAsia" w:ascii="仿宋_GB2312" w:eastAsia="仿宋_GB2312" w:cs="仿宋_GB2312"/>
          <w:sz w:val="32"/>
          <w:szCs w:val="32"/>
          <w:lang w:bidi="ar-SA"/>
        </w:rPr>
        <w:t>万元，主要用于缴纳职工住房公积金。</w:t>
      </w:r>
    </w:p>
    <w:p>
      <w:pPr>
        <w:pStyle w:val="183"/>
        <w:keepNext w:val="0"/>
        <w:keepLines w:val="0"/>
        <w:pageBreakBefore w:val="0"/>
        <w:kinsoku/>
        <w:wordWrap/>
        <w:overflowPunct/>
        <w:topLinePunct w:val="0"/>
        <w:autoSpaceDE/>
        <w:autoSpaceDN/>
        <w:bidi w:val="0"/>
        <w:adjustRightInd/>
        <w:snapToGrid/>
        <w:spacing w:before="0" w:line="540" w:lineRule="exact"/>
        <w:ind w:left="0" w:leftChars="0" w:firstLine="640" w:firstLineChars="200"/>
        <w:jc w:val="both"/>
        <w:textAlignment w:val="auto"/>
        <w:rPr>
          <w:rFonts w:ascii="黑体" w:eastAsia="黑体"/>
          <w:sz w:val="32"/>
          <w:szCs w:val="32"/>
        </w:rPr>
      </w:pPr>
      <w:r>
        <w:rPr>
          <w:rFonts w:hint="eastAsia" w:ascii="黑体" w:eastAsia="黑体"/>
          <w:sz w:val="32"/>
          <w:szCs w:val="32"/>
        </w:rPr>
        <w:t>六、一般公共预算基本支出情况说明</w:t>
      </w:r>
    </w:p>
    <w:p>
      <w:pPr>
        <w:pStyle w:val="183"/>
        <w:keepNext w:val="0"/>
        <w:keepLines w:val="0"/>
        <w:pageBreakBefore w:val="0"/>
        <w:widowControl w:val="0"/>
        <w:kinsoku/>
        <w:wordWrap/>
        <w:overflowPunct/>
        <w:topLinePunct w:val="0"/>
        <w:autoSpaceDE/>
        <w:autoSpaceDN/>
        <w:bidi w:val="0"/>
        <w:adjustRightInd/>
        <w:snapToGrid/>
        <w:spacing w:before="0" w:line="540" w:lineRule="exact"/>
        <w:ind w:left="0" w:leftChars="0" w:firstLine="640" w:firstLineChars="200"/>
        <w:jc w:val="both"/>
        <w:textAlignment w:val="auto"/>
        <w:rPr>
          <w:rFonts w:hint="eastAsia" w:ascii="仿宋_GB2312" w:eastAsia="仿宋_GB2312" w:cs="仿宋_GB2312"/>
          <w:kern w:val="2"/>
          <w:sz w:val="32"/>
          <w:szCs w:val="32"/>
          <w:lang w:bidi="ar-SA"/>
        </w:rPr>
      </w:pPr>
      <w:r>
        <w:rPr>
          <w:rFonts w:hint="eastAsia" w:ascii="仿宋_GB2312" w:eastAsia="仿宋_GB2312" w:cs="仿宋_GB2312"/>
          <w:kern w:val="2"/>
          <w:sz w:val="32"/>
          <w:szCs w:val="32"/>
          <w:lang w:bidi="ar-SA"/>
        </w:rPr>
        <w:t>202</w:t>
      </w:r>
      <w:r>
        <w:rPr>
          <w:rFonts w:hint="eastAsia" w:cs="仿宋_GB2312"/>
          <w:kern w:val="2"/>
          <w:sz w:val="32"/>
          <w:szCs w:val="32"/>
          <w:lang w:val="en-US" w:eastAsia="zh-CN" w:bidi="ar-SA"/>
        </w:rPr>
        <w:t>6</w:t>
      </w:r>
      <w:r>
        <w:rPr>
          <w:rFonts w:hint="eastAsia" w:ascii="仿宋_GB2312" w:eastAsia="仿宋_GB2312" w:cs="仿宋_GB2312"/>
          <w:kern w:val="2"/>
          <w:sz w:val="32"/>
          <w:szCs w:val="32"/>
          <w:lang w:bidi="ar-SA"/>
        </w:rPr>
        <w:t>年一般公共预算基本支出</w:t>
      </w:r>
      <w:r>
        <w:rPr>
          <w:rFonts w:hint="eastAsia" w:cs="仿宋_GB2312"/>
          <w:kern w:val="2"/>
          <w:sz w:val="32"/>
          <w:szCs w:val="32"/>
          <w:lang w:val="en-US" w:eastAsia="zh-CN" w:bidi="ar-SA"/>
        </w:rPr>
        <w:t>686.75</w:t>
      </w:r>
      <w:r>
        <w:rPr>
          <w:rFonts w:hint="eastAsia" w:ascii="仿宋_GB2312" w:eastAsia="仿宋_GB2312" w:cs="仿宋_GB2312"/>
          <w:kern w:val="2"/>
          <w:sz w:val="32"/>
          <w:szCs w:val="32"/>
          <w:lang w:bidi="ar-SA"/>
        </w:rPr>
        <w:t>万元</w:t>
      </w:r>
      <w:r>
        <w:rPr>
          <w:rFonts w:hint="eastAsia" w:cs="仿宋_GB2312"/>
          <w:kern w:val="2"/>
          <w:sz w:val="32"/>
          <w:szCs w:val="32"/>
          <w:lang w:eastAsia="zh-CN" w:bidi="ar-SA"/>
        </w:rPr>
        <w:t>。</w:t>
      </w:r>
      <w:r>
        <w:rPr>
          <w:rFonts w:hint="eastAsia" w:ascii="仿宋_GB2312" w:eastAsia="仿宋_GB2312" w:cs="仿宋_GB2312"/>
          <w:kern w:val="2"/>
          <w:sz w:val="32"/>
          <w:szCs w:val="32"/>
          <w:lang w:bidi="ar-SA"/>
        </w:rPr>
        <w:t>其中：</w:t>
      </w:r>
    </w:p>
    <w:p>
      <w:pPr>
        <w:pStyle w:val="183"/>
        <w:keepNext w:val="0"/>
        <w:keepLines w:val="0"/>
        <w:pageBreakBefore w:val="0"/>
        <w:widowControl w:val="0"/>
        <w:kinsoku/>
        <w:wordWrap/>
        <w:overflowPunct/>
        <w:topLinePunct w:val="0"/>
        <w:autoSpaceDE/>
        <w:autoSpaceDN/>
        <w:bidi w:val="0"/>
        <w:adjustRightInd/>
        <w:snapToGrid/>
        <w:spacing w:before="0" w:line="540" w:lineRule="exact"/>
        <w:ind w:left="0" w:leftChars="0" w:firstLine="640" w:firstLineChars="200"/>
        <w:jc w:val="both"/>
        <w:textAlignment w:val="auto"/>
        <w:rPr>
          <w:rFonts w:hint="eastAsia" w:ascii="仿宋_GB2312" w:eastAsia="仿宋_GB2312" w:cs="仿宋_GB2312"/>
          <w:kern w:val="2"/>
          <w:sz w:val="32"/>
          <w:szCs w:val="32"/>
          <w:lang w:bidi="ar-SA"/>
        </w:rPr>
      </w:pPr>
      <w:r>
        <w:rPr>
          <w:rFonts w:hint="eastAsia" w:ascii="仿宋_GB2312" w:eastAsia="仿宋_GB2312" w:cs="仿宋_GB2312"/>
          <w:kern w:val="2"/>
          <w:sz w:val="32"/>
          <w:szCs w:val="32"/>
          <w:lang w:bidi="ar-SA"/>
        </w:rPr>
        <w:t>人员经费</w:t>
      </w:r>
      <w:r>
        <w:rPr>
          <w:rFonts w:hint="eastAsia" w:cs="仿宋_GB2312"/>
          <w:kern w:val="2"/>
          <w:sz w:val="32"/>
          <w:szCs w:val="32"/>
          <w:lang w:val="en-US" w:eastAsia="zh-CN" w:bidi="ar-SA"/>
        </w:rPr>
        <w:t>593.61</w:t>
      </w:r>
      <w:r>
        <w:rPr>
          <w:rFonts w:hint="eastAsia" w:ascii="仿宋_GB2312" w:eastAsia="仿宋_GB2312" w:cs="仿宋_GB2312"/>
          <w:kern w:val="2"/>
          <w:sz w:val="32"/>
          <w:szCs w:val="32"/>
          <w:lang w:bidi="ar-SA"/>
        </w:rPr>
        <w:t>万元，主要包括：基本工资、津贴补贴、奖金、其他社会保障缴费、绩效工资、机关事业单位基本养老保险缴费、职业年金缴费、其他工资福利支出、离休费、奖励金、住房公积金、其他对个人和家庭的补助支出。</w:t>
      </w:r>
    </w:p>
    <w:p>
      <w:pPr>
        <w:pStyle w:val="183"/>
        <w:keepNext w:val="0"/>
        <w:keepLines w:val="0"/>
        <w:pageBreakBefore w:val="0"/>
        <w:widowControl w:val="0"/>
        <w:kinsoku/>
        <w:wordWrap/>
        <w:overflowPunct/>
        <w:topLinePunct w:val="0"/>
        <w:autoSpaceDE/>
        <w:autoSpaceDN/>
        <w:bidi w:val="0"/>
        <w:adjustRightInd/>
        <w:snapToGrid/>
        <w:spacing w:before="0" w:line="540" w:lineRule="exact"/>
        <w:ind w:left="0" w:leftChars="0" w:firstLine="640" w:firstLineChars="200"/>
        <w:jc w:val="both"/>
        <w:textAlignment w:val="auto"/>
        <w:rPr>
          <w:rFonts w:ascii="黑体" w:eastAsia="黑体"/>
          <w:sz w:val="32"/>
          <w:szCs w:val="32"/>
        </w:rPr>
      </w:pPr>
      <w:r>
        <w:rPr>
          <w:rFonts w:hint="eastAsia" w:ascii="仿宋_GB2312" w:eastAsia="仿宋_GB2312" w:cs="仿宋_GB2312"/>
          <w:kern w:val="2"/>
          <w:sz w:val="32"/>
          <w:szCs w:val="32"/>
          <w:lang w:bidi="ar-SA"/>
        </w:rPr>
        <w:t>公用经费</w:t>
      </w:r>
      <w:r>
        <w:rPr>
          <w:rFonts w:hint="eastAsia" w:cs="仿宋_GB2312"/>
          <w:kern w:val="2"/>
          <w:sz w:val="32"/>
          <w:szCs w:val="32"/>
          <w:lang w:val="en-US" w:eastAsia="zh-CN" w:bidi="ar-SA"/>
        </w:rPr>
        <w:t>93.14</w:t>
      </w:r>
      <w:r>
        <w:rPr>
          <w:rFonts w:hint="eastAsia" w:ascii="仿宋_GB2312" w:eastAsia="仿宋_GB2312" w:cs="仿宋_GB2312"/>
          <w:kern w:val="2"/>
          <w:sz w:val="32"/>
          <w:szCs w:val="32"/>
          <w:lang w:bidi="ar-SA"/>
        </w:rPr>
        <w:t>万元，主要包括：办公费、印刷费、水费、电费、邮电费、差旅费、维修（护）费、培训费、福利费、公务接待费</w:t>
      </w:r>
      <w:r>
        <w:rPr>
          <w:rFonts w:hint="eastAsia" w:cs="仿宋_GB2312"/>
          <w:kern w:val="2"/>
          <w:sz w:val="32"/>
          <w:szCs w:val="32"/>
          <w:lang w:eastAsia="zh-CN" w:bidi="ar-SA"/>
        </w:rPr>
        <w:t>、</w:t>
      </w:r>
      <w:r>
        <w:rPr>
          <w:rFonts w:hint="eastAsia" w:ascii="仿宋_GB2312" w:eastAsia="仿宋_GB2312" w:cs="仿宋_GB2312"/>
          <w:kern w:val="2"/>
          <w:sz w:val="32"/>
          <w:szCs w:val="32"/>
          <w:lang w:bidi="ar-SA"/>
        </w:rPr>
        <w:t>公务用车运行维护费、其他商品和服务支出。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83"/>
        <w:keepNext w:val="0"/>
        <w:keepLines w:val="0"/>
        <w:pageBreakBefore w:val="0"/>
        <w:kinsoku/>
        <w:wordWrap/>
        <w:overflowPunct/>
        <w:topLinePunct w:val="0"/>
        <w:autoSpaceDE/>
        <w:autoSpaceDN/>
        <w:bidi w:val="0"/>
        <w:adjustRightInd/>
        <w:snapToGrid/>
        <w:spacing w:before="0" w:line="540" w:lineRule="exact"/>
        <w:ind w:left="0" w:leftChars="0" w:firstLine="640" w:firstLineChars="200"/>
        <w:jc w:val="both"/>
        <w:textAlignment w:val="auto"/>
        <w:rPr>
          <w:rFonts w:cs="仿宋_GB2312"/>
          <w:kern w:val="2"/>
          <w:sz w:val="32"/>
          <w:szCs w:val="32"/>
        </w:rPr>
      </w:pPr>
      <w:r>
        <w:rPr>
          <w:rFonts w:hint="eastAsia" w:cs="仿宋_GB2312"/>
          <w:kern w:val="2"/>
          <w:sz w:val="32"/>
          <w:szCs w:val="32"/>
        </w:rPr>
        <w:t>2026年“三公”经费财政拨款预算数</w:t>
      </w:r>
      <w:r>
        <w:rPr>
          <w:rFonts w:hint="eastAsia" w:cs="仿宋_GB2312"/>
          <w:kern w:val="2"/>
          <w:sz w:val="32"/>
          <w:szCs w:val="32"/>
          <w:lang w:val="en-US" w:eastAsia="zh-CN"/>
        </w:rPr>
        <w:t>15.83</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1.43</w:t>
      </w:r>
      <w:r>
        <w:rPr>
          <w:rFonts w:hint="eastAsia" w:cs="仿宋_GB2312"/>
          <w:kern w:val="2"/>
          <w:sz w:val="32"/>
          <w:szCs w:val="32"/>
        </w:rPr>
        <w:t>万元，公务用车购置及运行维护费</w:t>
      </w:r>
      <w:r>
        <w:rPr>
          <w:rFonts w:hint="eastAsia" w:cs="仿宋_GB2312"/>
          <w:kern w:val="2"/>
          <w:sz w:val="32"/>
          <w:szCs w:val="32"/>
          <w:lang w:val="en-US" w:eastAsia="zh-CN"/>
        </w:rPr>
        <w:t>14.4</w:t>
      </w:r>
      <w:r>
        <w:rPr>
          <w:rFonts w:hint="eastAsia" w:cs="仿宋_GB2312"/>
          <w:kern w:val="2"/>
          <w:sz w:val="32"/>
          <w:szCs w:val="32"/>
        </w:rPr>
        <w:t>万元。</w:t>
      </w:r>
    </w:p>
    <w:p>
      <w:pPr>
        <w:pStyle w:val="183"/>
        <w:keepNext w:val="0"/>
        <w:keepLines w:val="0"/>
        <w:pageBreakBefore w:val="0"/>
        <w:kinsoku/>
        <w:wordWrap/>
        <w:overflowPunct/>
        <w:topLinePunct w:val="0"/>
        <w:autoSpaceDE/>
        <w:autoSpaceDN/>
        <w:bidi w:val="0"/>
        <w:adjustRightInd/>
        <w:snapToGrid/>
        <w:spacing w:before="0" w:line="540" w:lineRule="exact"/>
        <w:ind w:left="0" w:leftChars="0" w:firstLine="640" w:firstLineChars="200"/>
        <w:jc w:val="both"/>
        <w:textAlignment w:val="auto"/>
        <w:rPr>
          <w:rFonts w:cs="仿宋_GB2312"/>
          <w:kern w:val="2"/>
          <w:sz w:val="32"/>
          <w:szCs w:val="32"/>
        </w:rPr>
      </w:pPr>
      <w:r>
        <w:rPr>
          <w:rFonts w:hint="eastAsia" w:cs="仿宋_GB2312"/>
          <w:kern w:val="2"/>
          <w:sz w:val="32"/>
          <w:szCs w:val="32"/>
        </w:rPr>
        <w:t>（一）2026年因公出国（境）经费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83"/>
        <w:spacing w:before="0" w:line="360" w:lineRule="auto"/>
        <w:ind w:firstLine="640" w:firstLineChars="200"/>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2026年公务接待经费</w:t>
      </w:r>
      <w:r>
        <w:rPr>
          <w:rFonts w:hint="eastAsia" w:cs="仿宋_GB2312"/>
          <w:color w:val="000000"/>
          <w:kern w:val="2"/>
          <w:sz w:val="32"/>
          <w:szCs w:val="32"/>
          <w:lang w:val="en-US" w:eastAsia="zh-CN"/>
        </w:rPr>
        <w:t>1.43</w:t>
      </w:r>
      <w:r>
        <w:rPr>
          <w:rFonts w:hint="eastAsia" w:cs="仿宋_GB2312"/>
          <w:color w:val="000000"/>
          <w:kern w:val="2"/>
          <w:sz w:val="32"/>
          <w:szCs w:val="32"/>
        </w:rPr>
        <w:t>万元。较2025年预算经费减少</w:t>
      </w:r>
      <w:r>
        <w:rPr>
          <w:rFonts w:hint="eastAsia" w:cs="仿宋_GB2312"/>
          <w:color w:val="000000"/>
          <w:kern w:val="2"/>
          <w:sz w:val="32"/>
          <w:szCs w:val="32"/>
          <w:lang w:val="en-US" w:eastAsia="zh-CN"/>
        </w:rPr>
        <w:t>0.37</w:t>
      </w:r>
      <w:r>
        <w:rPr>
          <w:rFonts w:hint="eastAsia" w:cs="仿宋_GB2312"/>
          <w:color w:val="000000"/>
          <w:kern w:val="2"/>
          <w:sz w:val="32"/>
          <w:szCs w:val="32"/>
        </w:rPr>
        <w:t>万元，</w:t>
      </w:r>
      <w:r>
        <w:rPr>
          <w:rFonts w:hint="eastAsia" w:cs="宋体"/>
          <w:sz w:val="32"/>
          <w:szCs w:val="32"/>
          <w:lang w:eastAsia="zh-CN"/>
        </w:rPr>
        <w:t>下降</w:t>
      </w:r>
      <w:r>
        <w:rPr>
          <w:rFonts w:hint="eastAsia" w:cs="仿宋_GB2312"/>
          <w:color w:val="000000"/>
          <w:kern w:val="2"/>
          <w:sz w:val="32"/>
          <w:szCs w:val="32"/>
          <w:lang w:val="en-US" w:eastAsia="zh-CN"/>
        </w:rPr>
        <w:t>34.91</w:t>
      </w:r>
      <w:r>
        <w:rPr>
          <w:rFonts w:hint="eastAsia" w:cs="仿宋_GB2312"/>
          <w:color w:val="000000"/>
          <w:kern w:val="2"/>
          <w:sz w:val="32"/>
          <w:szCs w:val="32"/>
        </w:rPr>
        <w:t>%，主要原因</w:t>
      </w:r>
      <w:r>
        <w:rPr>
          <w:rFonts w:hint="eastAsia" w:cs="仿宋_GB2312"/>
          <w:color w:val="auto"/>
          <w:kern w:val="2"/>
          <w:sz w:val="32"/>
          <w:szCs w:val="32"/>
          <w:lang w:val="en-US" w:eastAsia="zh-CN" w:bidi="ar-SA"/>
        </w:rPr>
        <w:t>坚持过紧日子，进一步压减接待费。</w:t>
      </w:r>
    </w:p>
    <w:p>
      <w:pPr>
        <w:pStyle w:val="183"/>
        <w:keepNext w:val="0"/>
        <w:keepLines w:val="0"/>
        <w:pageBreakBefore w:val="0"/>
        <w:widowControl w:val="0"/>
        <w:kinsoku/>
        <w:wordWrap/>
        <w:overflowPunct/>
        <w:topLinePunct w:val="0"/>
        <w:autoSpaceDE/>
        <w:autoSpaceDN/>
        <w:bidi w:val="0"/>
        <w:adjustRightInd/>
        <w:snapToGrid/>
        <w:spacing w:before="0" w:line="540" w:lineRule="exact"/>
        <w:ind w:left="0" w:leftChars="0" w:firstLine="640" w:firstLineChars="200"/>
        <w:jc w:val="both"/>
        <w:textAlignment w:val="auto"/>
        <w:rPr>
          <w:rFonts w:cs="仿宋_GB2312"/>
          <w:color w:val="000000"/>
          <w:kern w:val="2"/>
          <w:sz w:val="32"/>
          <w:szCs w:val="32"/>
        </w:rPr>
      </w:pPr>
      <w:r>
        <w:rPr>
          <w:rFonts w:hint="eastAsia" w:cs="仿宋_GB2312"/>
          <w:color w:val="000000"/>
          <w:kern w:val="2"/>
          <w:sz w:val="32"/>
          <w:szCs w:val="32"/>
        </w:rPr>
        <w:t>（三）2026年公务用车购置及运行维护费</w:t>
      </w:r>
      <w:r>
        <w:rPr>
          <w:rFonts w:hint="eastAsia" w:cs="仿宋_GB2312"/>
          <w:color w:val="000000"/>
          <w:kern w:val="2"/>
          <w:sz w:val="32"/>
          <w:szCs w:val="32"/>
          <w:lang w:val="en-US" w:eastAsia="zh-CN"/>
        </w:rPr>
        <w:t>14.4</w:t>
      </w:r>
      <w:r>
        <w:rPr>
          <w:rFonts w:hint="eastAsia" w:cs="仿宋_GB2312"/>
          <w:color w:val="000000"/>
          <w:kern w:val="2"/>
          <w:sz w:val="32"/>
          <w:szCs w:val="32"/>
        </w:rPr>
        <w:t>万元</w:t>
      </w:r>
      <w:r>
        <w:rPr>
          <w:rFonts w:hint="eastAsia" w:cs="仿宋_GB2312"/>
          <w:color w:val="000000"/>
          <w:kern w:val="2"/>
          <w:sz w:val="32"/>
          <w:szCs w:val="32"/>
          <w:lang w:eastAsia="zh-CN"/>
        </w:rPr>
        <w:t>。与上年一致。</w:t>
      </w:r>
    </w:p>
    <w:p>
      <w:pPr>
        <w:pStyle w:val="183"/>
        <w:keepNext w:val="0"/>
        <w:keepLines w:val="0"/>
        <w:pageBreakBefore w:val="0"/>
        <w:kinsoku/>
        <w:wordWrap/>
        <w:overflowPunct/>
        <w:topLinePunct w:val="0"/>
        <w:autoSpaceDE/>
        <w:autoSpaceDN/>
        <w:bidi w:val="0"/>
        <w:adjustRightInd/>
        <w:snapToGrid/>
        <w:spacing w:before="0" w:line="540" w:lineRule="exact"/>
        <w:ind w:left="0" w:leftChars="0" w:firstLine="640" w:firstLineChars="200"/>
        <w:jc w:val="both"/>
        <w:textAlignment w:val="auto"/>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83"/>
        <w:keepNext w:val="0"/>
        <w:keepLines w:val="0"/>
        <w:pageBreakBefore w:val="0"/>
        <w:widowControl w:val="0"/>
        <w:kinsoku/>
        <w:wordWrap/>
        <w:overflowPunct/>
        <w:topLinePunct w:val="0"/>
        <w:autoSpaceDE/>
        <w:autoSpaceDN/>
        <w:bidi w:val="0"/>
        <w:adjustRightInd/>
        <w:snapToGrid/>
        <w:spacing w:before="0" w:line="540" w:lineRule="exact"/>
        <w:ind w:left="0" w:leftChars="0" w:firstLine="640" w:firstLineChars="200"/>
        <w:jc w:val="both"/>
        <w:textAlignment w:val="auto"/>
        <w:rPr>
          <w:rFonts w:hint="eastAsia" w:ascii="仿宋_GB2312" w:eastAsia="仿宋_GB2312" w:cs="仿宋_GB2312"/>
          <w:kern w:val="2"/>
          <w:sz w:val="32"/>
          <w:szCs w:val="32"/>
          <w:lang w:bidi="ar-SA"/>
        </w:rPr>
      </w:pPr>
      <w:r>
        <w:rPr>
          <w:rFonts w:hint="eastAsia" w:cs="仿宋_GB2312"/>
          <w:kern w:val="2"/>
          <w:sz w:val="32"/>
          <w:szCs w:val="32"/>
          <w:lang w:eastAsia="zh-CN" w:bidi="ar-SA"/>
        </w:rPr>
        <w:t>本单位</w:t>
      </w:r>
      <w:r>
        <w:rPr>
          <w:rFonts w:hint="eastAsia" w:ascii="仿宋_GB2312" w:eastAsia="仿宋_GB2312" w:cs="仿宋_GB2312"/>
          <w:kern w:val="2"/>
          <w:sz w:val="32"/>
          <w:szCs w:val="32"/>
          <w:lang w:bidi="ar-SA"/>
        </w:rPr>
        <w:t>202</w:t>
      </w:r>
      <w:r>
        <w:rPr>
          <w:rFonts w:hint="eastAsia" w:cs="仿宋_GB2312"/>
          <w:kern w:val="2"/>
          <w:sz w:val="32"/>
          <w:szCs w:val="32"/>
          <w:lang w:val="en-US" w:eastAsia="zh-CN" w:bidi="ar-SA"/>
        </w:rPr>
        <w:t>6</w:t>
      </w:r>
      <w:r>
        <w:rPr>
          <w:rFonts w:hint="eastAsia" w:ascii="仿宋_GB2312" w:eastAsia="仿宋_GB2312" w:cs="仿宋_GB2312"/>
          <w:kern w:val="2"/>
          <w:sz w:val="32"/>
          <w:szCs w:val="32"/>
          <w:lang w:bidi="ar-SA"/>
        </w:rPr>
        <w:t>年政府性基金预算拨款安排的支出</w:t>
      </w:r>
      <w:r>
        <w:rPr>
          <w:rFonts w:hint="eastAsia" w:ascii="仿宋_GB2312" w:eastAsia="仿宋_GB2312" w:cs="仿宋_GB2312"/>
          <w:kern w:val="2"/>
          <w:sz w:val="32"/>
          <w:szCs w:val="32"/>
          <w:lang w:val="en-US" w:eastAsia="zh-CN" w:bidi="ar-SA"/>
        </w:rPr>
        <w:t>0</w:t>
      </w:r>
      <w:r>
        <w:rPr>
          <w:rFonts w:hint="eastAsia" w:ascii="仿宋_GB2312" w:eastAsia="仿宋_GB2312" w:cs="仿宋_GB2312"/>
          <w:kern w:val="2"/>
          <w:sz w:val="32"/>
          <w:szCs w:val="32"/>
          <w:lang w:bidi="ar-SA"/>
        </w:rPr>
        <w:t>万元。</w:t>
      </w:r>
    </w:p>
    <w:p>
      <w:pPr>
        <w:pStyle w:val="183"/>
        <w:keepNext w:val="0"/>
        <w:keepLines w:val="0"/>
        <w:pageBreakBefore w:val="0"/>
        <w:kinsoku/>
        <w:wordWrap/>
        <w:overflowPunct/>
        <w:topLinePunct w:val="0"/>
        <w:autoSpaceDE/>
        <w:autoSpaceDN/>
        <w:bidi w:val="0"/>
        <w:adjustRightInd/>
        <w:snapToGrid/>
        <w:spacing w:before="0" w:line="540" w:lineRule="exact"/>
        <w:ind w:left="0" w:leftChars="0" w:firstLine="640" w:firstLineChars="200"/>
        <w:jc w:val="both"/>
        <w:textAlignment w:val="auto"/>
        <w:rPr>
          <w:rFonts w:ascii="黑体" w:eastAsia="黑体"/>
          <w:sz w:val="32"/>
          <w:szCs w:val="32"/>
        </w:rPr>
      </w:pPr>
      <w:r>
        <w:rPr>
          <w:rFonts w:hint="eastAsia" w:ascii="黑体" w:eastAsia="黑体"/>
          <w:sz w:val="32"/>
          <w:szCs w:val="32"/>
        </w:rPr>
        <w:t>九、其他重要事项的情况说明</w:t>
      </w:r>
    </w:p>
    <w:p>
      <w:pPr>
        <w:pStyle w:val="183"/>
        <w:keepNext w:val="0"/>
        <w:keepLines w:val="0"/>
        <w:pageBreakBefore w:val="0"/>
        <w:kinsoku/>
        <w:wordWrap/>
        <w:overflowPunct/>
        <w:topLinePunct w:val="0"/>
        <w:autoSpaceDE/>
        <w:autoSpaceDN/>
        <w:bidi w:val="0"/>
        <w:adjustRightInd/>
        <w:snapToGrid/>
        <w:spacing w:before="0" w:line="540" w:lineRule="exact"/>
        <w:ind w:left="0" w:leftChars="0" w:firstLine="640" w:firstLineChars="200"/>
        <w:jc w:val="both"/>
        <w:textAlignment w:val="auto"/>
        <w:rPr>
          <w:rFonts w:hint="eastAsia" w:ascii="仿宋_GB2312" w:eastAsia="仿宋_GB2312" w:cs="仿宋_GB2312"/>
          <w:sz w:val="32"/>
          <w:szCs w:val="32"/>
          <w:lang w:val="en-US" w:eastAsia="zh-CN" w:bidi="ar-SA"/>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color w:val="000000"/>
          <w:kern w:val="2"/>
          <w:sz w:val="32"/>
          <w:szCs w:val="32"/>
          <w:lang w:bidi="ar-SA"/>
        </w:rPr>
        <w:t xml:space="preserve"> </w:t>
      </w:r>
      <w:r>
        <w:rPr>
          <w:rFonts w:hint="eastAsia" w:ascii="仿宋_GB2312" w:eastAsia="仿宋_GB2312" w:cs="仿宋_GB2312"/>
          <w:sz w:val="32"/>
          <w:szCs w:val="32"/>
          <w:lang w:val="en-US" w:eastAsia="zh-CN" w:bidi="ar-SA"/>
        </w:rPr>
        <w:t>无，属州人民政府办公室直属事业单位。</w:t>
      </w:r>
    </w:p>
    <w:p>
      <w:pPr>
        <w:pStyle w:val="183"/>
        <w:keepNext w:val="0"/>
        <w:keepLines w:val="0"/>
        <w:pageBreakBefore w:val="0"/>
        <w:widowControl w:val="0"/>
        <w:kinsoku/>
        <w:wordWrap/>
        <w:overflowPunct/>
        <w:topLinePunct w:val="0"/>
        <w:autoSpaceDE/>
        <w:autoSpaceDN/>
        <w:bidi w:val="0"/>
        <w:adjustRightInd/>
        <w:snapToGrid/>
        <w:spacing w:before="0" w:line="540" w:lineRule="exact"/>
        <w:ind w:left="958" w:leftChars="304" w:hanging="320" w:hangingChars="100"/>
        <w:jc w:val="both"/>
        <w:textAlignment w:val="auto"/>
        <w:rPr>
          <w:rFonts w:hint="eastAsia" w:ascii="楷体" w:eastAsia="楷体" w:cs="仿宋_GB2312"/>
          <w:kern w:val="2"/>
          <w:sz w:val="32"/>
          <w:szCs w:val="32"/>
        </w:rPr>
      </w:pPr>
      <w:r>
        <w:rPr>
          <w:rFonts w:hint="eastAsia" w:ascii="楷体" w:eastAsia="楷体" w:cs="仿宋_GB2312"/>
          <w:kern w:val="2"/>
          <w:sz w:val="32"/>
          <w:szCs w:val="32"/>
        </w:rPr>
        <w:t>（二）政府采购情况</w:t>
      </w:r>
    </w:p>
    <w:p>
      <w:pPr>
        <w:pStyle w:val="183"/>
        <w:keepNext w:val="0"/>
        <w:keepLines w:val="0"/>
        <w:pageBreakBefore w:val="0"/>
        <w:widowControl w:val="0"/>
        <w:kinsoku/>
        <w:wordWrap/>
        <w:overflowPunct/>
        <w:topLinePunct w:val="0"/>
        <w:autoSpaceDE/>
        <w:autoSpaceDN/>
        <w:bidi w:val="0"/>
        <w:adjustRightInd/>
        <w:snapToGrid/>
        <w:spacing w:before="0" w:line="540" w:lineRule="exact"/>
        <w:ind w:left="0" w:leftChars="0" w:firstLine="640" w:firstLineChars="200"/>
        <w:jc w:val="both"/>
        <w:textAlignment w:val="auto"/>
        <w:rPr>
          <w:rFonts w:hint="eastAsia"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w:t>
      </w:r>
      <w:r>
        <w:rPr>
          <w:rFonts w:hint="eastAsia" w:cs="仿宋_GB2312"/>
          <w:kern w:val="2"/>
          <w:sz w:val="32"/>
          <w:szCs w:val="32"/>
          <w:lang w:eastAsia="zh-CN"/>
        </w:rPr>
        <w:t>阿坝州政府电子政务服务中心</w:t>
      </w:r>
      <w:r>
        <w:rPr>
          <w:rFonts w:hint="eastAsia" w:cs="仿宋_GB2312"/>
          <w:kern w:val="2"/>
          <w:sz w:val="32"/>
          <w:szCs w:val="32"/>
        </w:rPr>
        <w:t>安排政府采购预算</w:t>
      </w:r>
      <w:r>
        <w:rPr>
          <w:rFonts w:hint="eastAsia" w:cs="仿宋_GB2312"/>
          <w:kern w:val="2"/>
          <w:sz w:val="32"/>
          <w:szCs w:val="32"/>
          <w:lang w:val="en-US" w:eastAsia="zh-CN"/>
        </w:rPr>
        <w:t>0万</w:t>
      </w:r>
      <w:r>
        <w:rPr>
          <w:rFonts w:hint="eastAsia" w:cs="仿宋_GB2312"/>
          <w:kern w:val="2"/>
          <w:sz w:val="32"/>
          <w:szCs w:val="32"/>
        </w:rPr>
        <w:t>元</w:t>
      </w:r>
      <w:r>
        <w:rPr>
          <w:rFonts w:hint="eastAsia" w:cs="仿宋_GB2312"/>
          <w:kern w:val="2"/>
          <w:sz w:val="32"/>
          <w:szCs w:val="32"/>
          <w:lang w:eastAsia="zh-CN"/>
        </w:rPr>
        <w:t>。</w:t>
      </w:r>
    </w:p>
    <w:p>
      <w:pPr>
        <w:pStyle w:val="183"/>
        <w:keepNext w:val="0"/>
        <w:keepLines w:val="0"/>
        <w:pageBreakBefore w:val="0"/>
        <w:kinsoku/>
        <w:wordWrap/>
        <w:overflowPunct/>
        <w:topLinePunct w:val="0"/>
        <w:autoSpaceDE/>
        <w:autoSpaceDN/>
        <w:bidi w:val="0"/>
        <w:adjustRightInd/>
        <w:snapToGrid/>
        <w:spacing w:before="0" w:line="540" w:lineRule="exact"/>
        <w:ind w:left="0" w:leftChars="0" w:firstLine="640" w:firstLineChars="200"/>
        <w:jc w:val="both"/>
        <w:textAlignment w:val="auto"/>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83"/>
        <w:keepNext w:val="0"/>
        <w:keepLines w:val="0"/>
        <w:pageBreakBefore w:val="0"/>
        <w:widowControl w:val="0"/>
        <w:kinsoku/>
        <w:wordWrap/>
        <w:overflowPunct/>
        <w:topLinePunct w:val="0"/>
        <w:autoSpaceDE/>
        <w:autoSpaceDN/>
        <w:bidi w:val="0"/>
        <w:adjustRightInd/>
        <w:snapToGrid/>
        <w:spacing w:before="0" w:line="540" w:lineRule="exact"/>
        <w:ind w:left="0" w:leftChars="0" w:firstLine="640" w:firstLineChars="200"/>
        <w:jc w:val="both"/>
        <w:textAlignment w:val="auto"/>
        <w:rPr>
          <w:rFonts w:cs="仿宋_GB2312"/>
          <w:kern w:val="2"/>
          <w:sz w:val="32"/>
          <w:szCs w:val="32"/>
        </w:rPr>
      </w:pPr>
      <w:r>
        <w:rPr>
          <w:rFonts w:hint="eastAsia" w:cs="仿宋_GB2312"/>
          <w:kern w:val="2"/>
          <w:sz w:val="32"/>
          <w:szCs w:val="32"/>
        </w:rPr>
        <w:t>截至2025年12月31日，</w:t>
      </w:r>
      <w:r>
        <w:rPr>
          <w:rFonts w:hint="eastAsia" w:ascii="仿宋_GB2312" w:eastAsia="仿宋_GB2312" w:cs="仿宋_GB2312"/>
          <w:kern w:val="2"/>
          <w:sz w:val="32"/>
          <w:szCs w:val="32"/>
          <w:lang w:bidi="ar-SA"/>
        </w:rPr>
        <w:t>我单位国有</w:t>
      </w:r>
      <w:r>
        <w:rPr>
          <w:rFonts w:hint="eastAsia" w:cs="仿宋_GB2312"/>
          <w:kern w:val="2"/>
          <w:sz w:val="32"/>
          <w:szCs w:val="32"/>
          <w:lang w:eastAsia="zh-CN" w:bidi="ar-SA"/>
        </w:rPr>
        <w:t>资产共计</w:t>
      </w:r>
      <w:r>
        <w:rPr>
          <w:rFonts w:hint="eastAsia" w:cs="仿宋_GB2312"/>
          <w:kern w:val="0"/>
          <w:sz w:val="32"/>
          <w:szCs w:val="32"/>
          <w:lang w:val="en-US" w:eastAsia="zh-CN" w:bidi="ar-SA"/>
        </w:rPr>
        <w:t>5259.32</w:t>
      </w:r>
      <w:r>
        <w:rPr>
          <w:rFonts w:hint="eastAsia" w:ascii="仿宋_GB2312" w:eastAsia="仿宋_GB2312" w:cs="仿宋_GB2312"/>
          <w:kern w:val="0"/>
          <w:sz w:val="32"/>
          <w:szCs w:val="32"/>
          <w:lang w:val="en-US" w:eastAsia="zh-CN" w:bidi="ar-SA"/>
        </w:rPr>
        <w:t>万元</w:t>
      </w:r>
      <w:r>
        <w:rPr>
          <w:rFonts w:cs="仿宋_GB2312"/>
          <w:kern w:val="0"/>
          <w:sz w:val="32"/>
          <w:szCs w:val="32"/>
          <w:lang w:val="en-US" w:eastAsia="zh-CN" w:bidi="ar-SA"/>
        </w:rPr>
        <w:t>（净资产</w:t>
      </w:r>
      <w:r>
        <w:rPr>
          <w:rFonts w:hint="eastAsia" w:cs="仿宋_GB2312"/>
          <w:kern w:val="0"/>
          <w:sz w:val="32"/>
          <w:szCs w:val="32"/>
          <w:lang w:val="en-US" w:eastAsia="zh-CN" w:bidi="ar-SA"/>
        </w:rPr>
        <w:t>2125.15</w:t>
      </w:r>
      <w:r>
        <w:rPr>
          <w:rFonts w:cs="仿宋_GB2312"/>
          <w:kern w:val="0"/>
          <w:sz w:val="32"/>
          <w:szCs w:val="32"/>
          <w:lang w:val="en-US" w:eastAsia="zh-CN" w:bidi="ar-SA"/>
        </w:rPr>
        <w:t>万元），</w:t>
      </w:r>
      <w:r>
        <w:rPr>
          <w:rFonts w:hint="eastAsia" w:cs="仿宋_GB2312"/>
          <w:kern w:val="0"/>
          <w:sz w:val="32"/>
          <w:szCs w:val="32"/>
          <w:lang w:val="en-US" w:eastAsia="zh-CN" w:bidi="ar-SA"/>
        </w:rPr>
        <w:t>其中：</w:t>
      </w:r>
      <w:r>
        <w:rPr>
          <w:rFonts w:hint="eastAsia" w:ascii="仿宋_GB2312" w:eastAsia="仿宋_GB2312" w:cs="仿宋_GB2312"/>
          <w:kern w:val="2"/>
          <w:sz w:val="32"/>
          <w:szCs w:val="32"/>
          <w:lang w:bidi="ar-SA"/>
        </w:rPr>
        <w:t>固定资产</w:t>
      </w:r>
      <w:r>
        <w:rPr>
          <w:rFonts w:hint="eastAsia" w:cs="仿宋_GB2312"/>
          <w:kern w:val="2"/>
          <w:sz w:val="32"/>
          <w:szCs w:val="32"/>
          <w:lang w:val="en-US" w:eastAsia="zh-CN" w:bidi="ar-SA"/>
        </w:rPr>
        <w:t>2258.49</w:t>
      </w:r>
      <w:r>
        <w:rPr>
          <w:rFonts w:hint="eastAsia" w:ascii="仿宋_GB2312" w:eastAsia="仿宋_GB2312" w:cs="仿宋_GB2312"/>
          <w:kern w:val="2"/>
          <w:sz w:val="32"/>
          <w:szCs w:val="32"/>
          <w:lang w:bidi="ar-SA"/>
        </w:rPr>
        <w:t>万元</w:t>
      </w:r>
      <w:r>
        <w:rPr>
          <w:rFonts w:cs="仿宋_GB2312"/>
          <w:kern w:val="0"/>
          <w:sz w:val="32"/>
          <w:szCs w:val="32"/>
          <w:lang w:val="en-US" w:eastAsia="zh-CN" w:bidi="ar-SA"/>
        </w:rPr>
        <w:t>（净资产</w:t>
      </w:r>
      <w:r>
        <w:rPr>
          <w:rFonts w:hint="eastAsia" w:cs="仿宋_GB2312"/>
          <w:kern w:val="0"/>
          <w:sz w:val="32"/>
          <w:szCs w:val="32"/>
          <w:lang w:val="en-US" w:eastAsia="zh-CN" w:bidi="ar-SA"/>
        </w:rPr>
        <w:t>1068.23</w:t>
      </w:r>
      <w:r>
        <w:rPr>
          <w:rFonts w:cs="仿宋_GB2312"/>
          <w:kern w:val="0"/>
          <w:sz w:val="32"/>
          <w:szCs w:val="32"/>
          <w:lang w:val="en-US" w:eastAsia="zh-CN" w:bidi="ar-SA"/>
        </w:rPr>
        <w:t>万元）</w:t>
      </w:r>
      <w:r>
        <w:rPr>
          <w:rFonts w:hint="eastAsia" w:ascii="仿宋_GB2312" w:eastAsia="仿宋_GB2312" w:cs="仿宋_GB2312"/>
          <w:kern w:val="2"/>
          <w:sz w:val="32"/>
          <w:szCs w:val="32"/>
          <w:lang w:eastAsia="zh-CN" w:bidi="ar-SA"/>
        </w:rPr>
        <w:t>，无形资产</w:t>
      </w:r>
      <w:r>
        <w:rPr>
          <w:rFonts w:hint="eastAsia" w:cs="仿宋_GB2312"/>
          <w:kern w:val="2"/>
          <w:sz w:val="32"/>
          <w:szCs w:val="32"/>
          <w:lang w:val="en-US" w:eastAsia="zh-CN" w:bidi="ar-SA"/>
        </w:rPr>
        <w:t>3,000.83</w:t>
      </w:r>
      <w:r>
        <w:rPr>
          <w:rFonts w:hint="eastAsia" w:ascii="仿宋_GB2312" w:eastAsia="仿宋_GB2312" w:cs="仿宋_GB2312"/>
          <w:kern w:val="2"/>
          <w:sz w:val="32"/>
          <w:szCs w:val="32"/>
          <w:lang w:val="en-US" w:eastAsia="zh-CN" w:bidi="ar-SA"/>
        </w:rPr>
        <w:t>万元</w:t>
      </w:r>
      <w:r>
        <w:rPr>
          <w:rFonts w:cs="仿宋_GB2312"/>
          <w:kern w:val="0"/>
          <w:sz w:val="32"/>
          <w:szCs w:val="32"/>
          <w:lang w:val="en-US" w:eastAsia="zh-CN" w:bidi="ar-SA"/>
        </w:rPr>
        <w:t>（净资产</w:t>
      </w:r>
      <w:r>
        <w:rPr>
          <w:rFonts w:hint="eastAsia" w:cs="仿宋_GB2312"/>
          <w:kern w:val="0"/>
          <w:sz w:val="32"/>
          <w:szCs w:val="32"/>
          <w:lang w:val="en-US" w:eastAsia="zh-CN" w:bidi="ar-SA"/>
        </w:rPr>
        <w:t>1056.92</w:t>
      </w:r>
      <w:r>
        <w:rPr>
          <w:rFonts w:cs="仿宋_GB2312"/>
          <w:kern w:val="0"/>
          <w:sz w:val="32"/>
          <w:szCs w:val="32"/>
          <w:lang w:val="en-US" w:eastAsia="zh-CN" w:bidi="ar-SA"/>
        </w:rPr>
        <w:t>万元）</w:t>
      </w:r>
      <w:r>
        <w:rPr>
          <w:rFonts w:hint="eastAsia" w:ascii="仿宋_GB2312" w:eastAsia="仿宋_GB2312" w:cs="仿宋_GB2312"/>
          <w:kern w:val="2"/>
          <w:sz w:val="32"/>
          <w:szCs w:val="32"/>
          <w:lang w:val="en-US" w:eastAsia="zh-CN" w:bidi="ar-SA"/>
        </w:rPr>
        <w:t>。</w:t>
      </w:r>
    </w:p>
    <w:p>
      <w:pPr>
        <w:pStyle w:val="183"/>
        <w:keepNext w:val="0"/>
        <w:keepLines w:val="0"/>
        <w:pageBreakBefore w:val="0"/>
        <w:widowControl w:val="0"/>
        <w:kinsoku/>
        <w:wordWrap/>
        <w:overflowPunct/>
        <w:topLinePunct w:val="0"/>
        <w:autoSpaceDE/>
        <w:autoSpaceDN/>
        <w:bidi w:val="0"/>
        <w:adjustRightInd/>
        <w:snapToGrid/>
        <w:spacing w:before="0" w:line="540" w:lineRule="exact"/>
        <w:ind w:left="0" w:leftChars="0" w:firstLine="640" w:firstLineChars="200"/>
        <w:jc w:val="both"/>
        <w:textAlignment w:val="auto"/>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2026年部门（单位）通用项目和专用项目均按要求实行绩效目标管理，涉及一般公共预算当年拨款</w:t>
      </w:r>
      <w:r>
        <w:rPr>
          <w:rFonts w:hint="eastAsia" w:cs="仿宋_GB2312"/>
          <w:kern w:val="2"/>
          <w:sz w:val="32"/>
          <w:szCs w:val="32"/>
          <w:lang w:val="en-US" w:eastAsia="zh-CN"/>
        </w:rPr>
        <w:t>686.75</w:t>
      </w:r>
      <w:r>
        <w:rPr>
          <w:rFonts w:hint="eastAsia" w:cs="仿宋_GB2312"/>
          <w:kern w:val="2"/>
          <w:sz w:val="32"/>
          <w:szCs w:val="32"/>
        </w:rPr>
        <w:t>万元。</w:t>
      </w:r>
    </w:p>
    <w:p>
      <w:pPr>
        <w:pStyle w:val="183"/>
        <w:keepNext w:val="0"/>
        <w:keepLines w:val="0"/>
        <w:pageBreakBefore w:val="0"/>
        <w:kinsoku/>
        <w:wordWrap/>
        <w:overflowPunct/>
        <w:topLinePunct w:val="0"/>
        <w:autoSpaceDE/>
        <w:autoSpaceDN/>
        <w:bidi w:val="0"/>
        <w:adjustRightInd/>
        <w:snapToGrid/>
        <w:spacing w:before="0" w:line="540" w:lineRule="exact"/>
        <w:ind w:left="0" w:leftChars="0" w:firstLine="640" w:firstLineChars="200"/>
        <w:jc w:val="both"/>
        <w:textAlignment w:val="auto"/>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adjustRightInd/>
        <w:snapToGrid/>
        <w:spacing w:line="540" w:lineRule="exact"/>
        <w:ind w:left="0" w:leftChars="0" w:firstLine="640" w:firstLineChars="200"/>
        <w:jc w:val="both"/>
        <w:textAlignment w:val="auto"/>
        <w:rPr>
          <w:rFonts w:ascii="仿宋_GB2312" w:eastAsia="仿宋_GB2312" w:cs="仿宋_GB2312"/>
          <w:sz w:val="32"/>
          <w:szCs w:val="32"/>
        </w:rPr>
      </w:pPr>
    </w:p>
    <w:sectPr>
      <w:head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EFF" w:usb1="C0007843"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ourier New">
    <w:panose1 w:val="020703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
    <w:altName w:val="DejaVu LGC Sans"/>
    <w:panose1 w:val="020B0603030804020204"/>
    <w:charset w:val="00"/>
    <w:family w:val="auto"/>
    <w:pitch w:val="default"/>
    <w:sig w:usb0="00000000" w:usb1="00000000" w:usb2="00000000" w:usb3="00000000" w:csb0="00000000" w:csb1="00000000"/>
  </w:font>
  <w:font w:name="DejaVu LGC Sans">
    <w:panose1 w:val="020B0603030804020204"/>
    <w:charset w:val="00"/>
    <w:family w:val="auto"/>
    <w:pitch w:val="default"/>
    <w:sig w:usb0="E00002FF" w:usb1="5200FDFF" w:usb2="02040021" w:usb3="04000000" w:csb0="600001FF" w:csb1="DFFF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E71AA2"/>
    <w:multiLevelType w:val="multilevel"/>
    <w:tmpl w:val="BBE71AA2"/>
    <w:lvl w:ilvl="0" w:tentative="0">
      <w:start w:val="1"/>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visionView w:markup="0"/>
  <w:documentProtection w:enforcement="0"/>
  <w:defaultTabStop w:val="420"/>
  <w:drawingGridHorizontalSpacing w:val="0"/>
  <w:drawingGridVerticalSpacing w:val="312"/>
  <w:displayHorizontalDrawingGridEvery w:val="0"/>
  <w:displayVerticalDrawingGridEvery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37F22B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qFormat="1" w:uiPriority="39" w:semiHidden="0" w:name="toc 9"/>
    <w:lsdException w:uiPriority="99" w:name="Normal Indent"/>
    <w:lsdException w:uiPriority="99" w:name="footnote text"/>
    <w:lsdException w:uiPriority="99" w:name="annotation text"/>
    <w:lsdException w:unhideWhenUsed="0" w:uiPriority="0" w:semiHidden="0" w:name="header"/>
    <w:lsdException w:qFormat="1" w:unhideWhenUsed="0" w:uiPriority="0" w:semiHidden="0" w:name="footer"/>
    <w:lsdException w:uiPriority="99" w:name="index heading"/>
    <w:lsdException w:qFormat="1" w:uiPriority="35" w:name="caption"/>
    <w:lsdException w:uiPriority="99" w:semiHidden="0"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nhideWhenUsed="0" w:uiPriority="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hint="default"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paragraph" w:styleId="5">
    <w:name w:val="heading 4"/>
    <w:basedOn w:val="1"/>
    <w:next w:val="1"/>
    <w:link w:val="38"/>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39"/>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40"/>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41"/>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42"/>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43"/>
    <w:unhideWhenUsed/>
    <w:qFormat/>
    <w:uiPriority w:val="9"/>
    <w:pPr>
      <w:keepNext/>
      <w:keepLines/>
      <w:spacing w:before="320" w:after="200"/>
      <w:outlineLvl w:val="8"/>
    </w:pPr>
    <w:rPr>
      <w:rFonts w:ascii="Arial" w:hAnsi="Arial" w:eastAsia="Arial" w:cs="Arial"/>
      <w:i/>
      <w:iCs/>
      <w:sz w:val="21"/>
      <w:szCs w:val="21"/>
    </w:rPr>
  </w:style>
  <w:style w:type="character" w:default="1" w:styleId="31">
    <w:name w:val="Default Paragraph Font"/>
    <w:qFormat/>
    <w:uiPriority w:val="0"/>
  </w:style>
  <w:style w:type="table" w:default="1" w:styleId="29">
    <w:name w:val="Normal Table"/>
    <w:semiHidden/>
    <w:uiPriority w:val="0"/>
    <w:tblPr>
      <w:tblCellMar>
        <w:top w:w="0" w:type="dxa"/>
        <w:left w:w="108" w:type="dxa"/>
        <w:bottom w:w="0" w:type="dxa"/>
        <w:right w:w="108" w:type="dxa"/>
      </w:tblCellMar>
    </w:tblPr>
  </w:style>
  <w:style w:type="paragraph" w:styleId="11">
    <w:name w:val="toc 7"/>
    <w:basedOn w:val="1"/>
    <w:next w:val="1"/>
    <w:unhideWhenUsed/>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3">
    <w:name w:val="index 6"/>
    <w:basedOn w:val="1"/>
    <w:next w:val="1"/>
    <w:qFormat/>
    <w:uiPriority w:val="0"/>
    <w:pPr>
      <w:widowControl w:val="0"/>
      <w:ind w:left="2100"/>
      <w:jc w:val="center"/>
    </w:pPr>
    <w:rPr>
      <w:rFonts w:ascii="方正小标宋简体" w:eastAsia="方正小标宋简体" w:cs="Times New Roman"/>
      <w:kern w:val="2"/>
      <w:sz w:val="21"/>
      <w:szCs w:val="24"/>
      <w:lang w:val="en-US" w:eastAsia="zh-CN" w:bidi="ar-SA"/>
    </w:rPr>
  </w:style>
  <w:style w:type="paragraph" w:styleId="14">
    <w:name w:val="toc 5"/>
    <w:basedOn w:val="1"/>
    <w:next w:val="1"/>
    <w:unhideWhenUsed/>
    <w:uiPriority w:val="39"/>
    <w:pPr>
      <w:spacing w:after="57"/>
      <w:ind w:left="1134" w:right="0" w:firstLine="0"/>
    </w:pPr>
  </w:style>
  <w:style w:type="paragraph" w:styleId="15">
    <w:name w:val="toc 3"/>
    <w:basedOn w:val="1"/>
    <w:next w:val="1"/>
    <w:unhideWhenUsed/>
    <w:uiPriority w:val="39"/>
    <w:pPr>
      <w:spacing w:after="57"/>
      <w:ind w:left="567" w:right="0" w:firstLine="0"/>
    </w:pPr>
  </w:style>
  <w:style w:type="paragraph" w:styleId="16">
    <w:name w:val="toc 8"/>
    <w:basedOn w:val="1"/>
    <w:next w:val="1"/>
    <w:unhideWhenUsed/>
    <w:uiPriority w:val="39"/>
    <w:pPr>
      <w:spacing w:after="57"/>
      <w:ind w:left="1984" w:right="0" w:firstLine="0"/>
    </w:pPr>
  </w:style>
  <w:style w:type="paragraph" w:styleId="17">
    <w:name w:val="endnote text"/>
    <w:basedOn w:val="1"/>
    <w:link w:val="180"/>
    <w:semiHidden/>
    <w:unhideWhenUsed/>
    <w:qFormat/>
    <w:uiPriority w:val="99"/>
    <w:pPr>
      <w:spacing w:after="0" w:line="240" w:lineRule="auto"/>
    </w:pPr>
    <w:rPr>
      <w:sz w:val="20"/>
    </w:rPr>
  </w:style>
  <w:style w:type="paragraph" w:styleId="18">
    <w:name w:val="footer"/>
    <w:basedOn w:val="1"/>
    <w:qFormat/>
    <w:uiPriority w:val="0"/>
    <w:pPr>
      <w:tabs>
        <w:tab w:val="center" w:pos="4153"/>
        <w:tab w:val="right" w:pos="8306"/>
      </w:tabs>
      <w:snapToGrid w:val="0"/>
      <w:jc w:val="left"/>
    </w:pPr>
    <w:rPr>
      <w:sz w:val="18"/>
      <w:szCs w:val="18"/>
    </w:rPr>
  </w:style>
  <w:style w:type="paragraph" w:styleId="19">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39"/>
    <w:pPr>
      <w:spacing w:after="57"/>
      <w:ind w:left="0" w:right="0" w:firstLine="0"/>
    </w:pPr>
  </w:style>
  <w:style w:type="paragraph" w:styleId="21">
    <w:name w:val="toc 4"/>
    <w:basedOn w:val="1"/>
    <w:next w:val="1"/>
    <w:unhideWhenUsed/>
    <w:uiPriority w:val="39"/>
    <w:pPr>
      <w:spacing w:after="57"/>
      <w:ind w:left="850" w:right="0" w:firstLine="0"/>
    </w:pPr>
  </w:style>
  <w:style w:type="paragraph" w:styleId="22">
    <w:name w:val="Subtitle"/>
    <w:basedOn w:val="1"/>
    <w:next w:val="1"/>
    <w:link w:val="46"/>
    <w:qFormat/>
    <w:uiPriority w:val="11"/>
    <w:pPr>
      <w:spacing w:before="200" w:after="200"/>
    </w:pPr>
    <w:rPr>
      <w:sz w:val="24"/>
      <w:szCs w:val="24"/>
    </w:rPr>
  </w:style>
  <w:style w:type="paragraph" w:styleId="23">
    <w:name w:val="footnote text"/>
    <w:basedOn w:val="1"/>
    <w:link w:val="179"/>
    <w:semiHidden/>
    <w:unhideWhenUsed/>
    <w:uiPriority w:val="99"/>
    <w:pPr>
      <w:spacing w:after="40" w:line="240" w:lineRule="auto"/>
    </w:pPr>
    <w:rPr>
      <w:sz w:val="18"/>
    </w:rPr>
  </w:style>
  <w:style w:type="paragraph" w:styleId="24">
    <w:name w:val="toc 6"/>
    <w:basedOn w:val="1"/>
    <w:next w:val="1"/>
    <w:unhideWhenUsed/>
    <w:uiPriority w:val="39"/>
    <w:pPr>
      <w:spacing w:after="57"/>
      <w:ind w:left="1417" w:right="0" w:firstLine="0"/>
    </w:pPr>
  </w:style>
  <w:style w:type="paragraph" w:styleId="25">
    <w:name w:val="table of figures"/>
    <w:basedOn w:val="1"/>
    <w:next w:val="1"/>
    <w:unhideWhenUsed/>
    <w:uiPriority w:val="99"/>
    <w:pPr>
      <w:spacing w:after="0" w:afterAutospacing="0"/>
    </w:pPr>
  </w:style>
  <w:style w:type="paragraph" w:styleId="26">
    <w:name w:val="toc 2"/>
    <w:basedOn w:val="1"/>
    <w:next w:val="1"/>
    <w:unhideWhenUsed/>
    <w:uiPriority w:val="39"/>
    <w:pPr>
      <w:spacing w:after="57"/>
      <w:ind w:left="283" w:right="0" w:firstLine="0"/>
    </w:pPr>
  </w:style>
  <w:style w:type="paragraph" w:styleId="27">
    <w:name w:val="toc 9"/>
    <w:basedOn w:val="1"/>
    <w:next w:val="1"/>
    <w:unhideWhenUsed/>
    <w:qFormat/>
    <w:uiPriority w:val="39"/>
    <w:pPr>
      <w:spacing w:after="57"/>
      <w:ind w:left="2268" w:right="0" w:firstLine="0"/>
    </w:pPr>
  </w:style>
  <w:style w:type="paragraph" w:styleId="28">
    <w:name w:val="Title"/>
    <w:basedOn w:val="1"/>
    <w:next w:val="1"/>
    <w:link w:val="45"/>
    <w:qFormat/>
    <w:uiPriority w:val="10"/>
    <w:pPr>
      <w:spacing w:before="300" w:after="200"/>
      <w:contextualSpacing/>
    </w:pPr>
    <w:rPr>
      <w:sz w:val="48"/>
      <w:szCs w:val="48"/>
    </w:rPr>
  </w:style>
  <w:style w:type="table" w:styleId="30">
    <w:name w:val="Table Grid"/>
    <w:basedOn w:val="29"/>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endnote reference"/>
    <w:basedOn w:val="31"/>
    <w:semiHidden/>
    <w:unhideWhenUsed/>
    <w:qFormat/>
    <w:uiPriority w:val="99"/>
    <w:rPr>
      <w:vertAlign w:val="superscript"/>
    </w:rPr>
  </w:style>
  <w:style w:type="character" w:styleId="33">
    <w:name w:val="Hyperlink"/>
    <w:unhideWhenUsed/>
    <w:uiPriority w:val="99"/>
    <w:rPr>
      <w:color w:val="0000FF" w:themeColor="hyperlink"/>
      <w:u w:val="single"/>
      <w14:textFill>
        <w14:solidFill>
          <w14:schemeClr w14:val="hlink"/>
        </w14:solidFill>
      </w14:textFill>
    </w:rPr>
  </w:style>
  <w:style w:type="character" w:styleId="34">
    <w:name w:val="footnote reference"/>
    <w:basedOn w:val="31"/>
    <w:unhideWhenUsed/>
    <w:uiPriority w:val="99"/>
    <w:rPr>
      <w:vertAlign w:val="superscript"/>
    </w:rPr>
  </w:style>
  <w:style w:type="character" w:customStyle="1" w:styleId="35">
    <w:name w:val="Heading 1 Char"/>
    <w:basedOn w:val="31"/>
    <w:qFormat/>
    <w:uiPriority w:val="9"/>
    <w:rPr>
      <w:rFonts w:ascii="Arial" w:hAnsi="Arial" w:eastAsia="Arial" w:cs="Arial"/>
      <w:sz w:val="40"/>
      <w:szCs w:val="40"/>
    </w:rPr>
  </w:style>
  <w:style w:type="character" w:customStyle="1" w:styleId="36">
    <w:name w:val="Heading 2 Char"/>
    <w:basedOn w:val="31"/>
    <w:qFormat/>
    <w:uiPriority w:val="9"/>
    <w:rPr>
      <w:rFonts w:ascii="Arial" w:hAnsi="Arial" w:eastAsia="Arial" w:cs="Arial"/>
      <w:sz w:val="34"/>
    </w:rPr>
  </w:style>
  <w:style w:type="character" w:customStyle="1" w:styleId="37">
    <w:name w:val="Heading 3 Char"/>
    <w:basedOn w:val="31"/>
    <w:qFormat/>
    <w:uiPriority w:val="9"/>
    <w:rPr>
      <w:rFonts w:ascii="Arial" w:hAnsi="Arial" w:eastAsia="Arial" w:cs="Arial"/>
      <w:sz w:val="30"/>
      <w:szCs w:val="30"/>
    </w:rPr>
  </w:style>
  <w:style w:type="character" w:customStyle="1" w:styleId="38">
    <w:name w:val="Heading 4 Char"/>
    <w:basedOn w:val="31"/>
    <w:link w:val="5"/>
    <w:qFormat/>
    <w:uiPriority w:val="9"/>
    <w:rPr>
      <w:rFonts w:ascii="Arial" w:hAnsi="Arial" w:eastAsia="Arial" w:cs="Arial"/>
      <w:b/>
      <w:bCs/>
      <w:sz w:val="26"/>
      <w:szCs w:val="26"/>
    </w:rPr>
  </w:style>
  <w:style w:type="character" w:customStyle="1" w:styleId="39">
    <w:name w:val="Heading 5 Char"/>
    <w:basedOn w:val="31"/>
    <w:link w:val="6"/>
    <w:uiPriority w:val="9"/>
    <w:rPr>
      <w:rFonts w:ascii="Arial" w:hAnsi="Arial" w:eastAsia="Arial" w:cs="Arial"/>
      <w:b/>
      <w:bCs/>
      <w:sz w:val="24"/>
      <w:szCs w:val="24"/>
    </w:rPr>
  </w:style>
  <w:style w:type="character" w:customStyle="1" w:styleId="40">
    <w:name w:val="Heading 6 Char"/>
    <w:basedOn w:val="31"/>
    <w:link w:val="7"/>
    <w:qFormat/>
    <w:uiPriority w:val="9"/>
    <w:rPr>
      <w:rFonts w:ascii="Arial" w:hAnsi="Arial" w:eastAsia="Arial" w:cs="Arial"/>
      <w:b/>
      <w:bCs/>
      <w:sz w:val="22"/>
      <w:szCs w:val="22"/>
    </w:rPr>
  </w:style>
  <w:style w:type="character" w:customStyle="1" w:styleId="41">
    <w:name w:val="Heading 7 Char"/>
    <w:basedOn w:val="31"/>
    <w:link w:val="8"/>
    <w:qFormat/>
    <w:uiPriority w:val="9"/>
    <w:rPr>
      <w:rFonts w:ascii="Arial" w:hAnsi="Arial" w:eastAsia="Arial" w:cs="Arial"/>
      <w:b/>
      <w:bCs/>
      <w:i/>
      <w:iCs/>
      <w:sz w:val="22"/>
      <w:szCs w:val="22"/>
    </w:rPr>
  </w:style>
  <w:style w:type="character" w:customStyle="1" w:styleId="42">
    <w:name w:val="Heading 8 Char"/>
    <w:basedOn w:val="31"/>
    <w:link w:val="9"/>
    <w:qFormat/>
    <w:uiPriority w:val="9"/>
    <w:rPr>
      <w:rFonts w:ascii="Arial" w:hAnsi="Arial" w:eastAsia="Arial" w:cs="Arial"/>
      <w:i/>
      <w:iCs/>
      <w:sz w:val="22"/>
      <w:szCs w:val="22"/>
    </w:rPr>
  </w:style>
  <w:style w:type="character" w:customStyle="1" w:styleId="43">
    <w:name w:val="Heading 9 Char"/>
    <w:basedOn w:val="31"/>
    <w:link w:val="10"/>
    <w:uiPriority w:val="9"/>
    <w:rPr>
      <w:rFonts w:ascii="Arial" w:hAnsi="Arial" w:eastAsia="Arial" w:cs="Arial"/>
      <w:i/>
      <w:iCs/>
      <w:sz w:val="21"/>
      <w:szCs w:val="21"/>
    </w:rPr>
  </w:style>
  <w:style w:type="paragraph" w:styleId="44">
    <w:name w:val="No Spacing"/>
    <w:qFormat/>
    <w:uiPriority w:val="1"/>
    <w:pPr>
      <w:spacing w:before="0" w:after="0" w:line="240" w:lineRule="auto"/>
    </w:pPr>
    <w:rPr>
      <w:rFonts w:hint="default" w:ascii="Times New Roman" w:hAnsi="Times New Roman" w:eastAsia="宋体" w:cs="Times New Roman"/>
    </w:rPr>
  </w:style>
  <w:style w:type="character" w:customStyle="1" w:styleId="45">
    <w:name w:val="Title Char"/>
    <w:basedOn w:val="31"/>
    <w:link w:val="28"/>
    <w:uiPriority w:val="10"/>
    <w:rPr>
      <w:sz w:val="48"/>
      <w:szCs w:val="48"/>
    </w:rPr>
  </w:style>
  <w:style w:type="character" w:customStyle="1" w:styleId="46">
    <w:name w:val="Subtitle Char"/>
    <w:basedOn w:val="31"/>
    <w:link w:val="22"/>
    <w:uiPriority w:val="11"/>
    <w:rPr>
      <w:sz w:val="24"/>
      <w:szCs w:val="24"/>
    </w:rPr>
  </w:style>
  <w:style w:type="paragraph" w:styleId="47">
    <w:name w:val="Quote"/>
    <w:basedOn w:val="1"/>
    <w:next w:val="1"/>
    <w:link w:val="48"/>
    <w:qFormat/>
    <w:uiPriority w:val="29"/>
    <w:pPr>
      <w:ind w:left="720" w:right="720"/>
    </w:pPr>
    <w:rPr>
      <w:i/>
    </w:rPr>
  </w:style>
  <w:style w:type="character" w:customStyle="1" w:styleId="48">
    <w:name w:val="Quote Char"/>
    <w:link w:val="47"/>
    <w:uiPriority w:val="29"/>
    <w:rPr>
      <w:i/>
    </w:rPr>
  </w:style>
  <w:style w:type="paragraph" w:styleId="49">
    <w:name w:val="Intense Quote"/>
    <w:basedOn w:val="1"/>
    <w:next w:val="1"/>
    <w:link w:val="50"/>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0">
    <w:name w:val="Intense Quote Char"/>
    <w:link w:val="49"/>
    <w:qFormat/>
    <w:uiPriority w:val="30"/>
    <w:rPr>
      <w:i/>
    </w:rPr>
  </w:style>
  <w:style w:type="character" w:customStyle="1" w:styleId="51">
    <w:name w:val="Header Char"/>
    <w:basedOn w:val="31"/>
    <w:qFormat/>
    <w:uiPriority w:val="99"/>
  </w:style>
  <w:style w:type="character" w:customStyle="1" w:styleId="52">
    <w:name w:val="Footer Char"/>
    <w:basedOn w:val="31"/>
    <w:qFormat/>
    <w:uiPriority w:val="99"/>
  </w:style>
  <w:style w:type="character" w:customStyle="1" w:styleId="53">
    <w:name w:val="Caption Char"/>
    <w:qFormat/>
    <w:uiPriority w:val="99"/>
  </w:style>
  <w:style w:type="table" w:customStyle="1" w:styleId="54">
    <w:name w:val="Table Grid Light"/>
    <w:basedOn w:val="29"/>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55">
    <w:name w:val="Plain Table 1"/>
    <w:basedOn w:val="29"/>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6">
    <w:name w:val="Plain Table 2"/>
    <w:basedOn w:val="29"/>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57">
    <w:name w:val="Plain Table 3"/>
    <w:basedOn w:val="29"/>
    <w:qFormat/>
    <w:uiPriority w:val="99"/>
    <w:pPr>
      <w:spacing w:after="0" w:line="240" w:lineRule="auto"/>
    </w:pP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8">
    <w:name w:val="Plain Table 4"/>
    <w:basedOn w:val="29"/>
    <w:qFormat/>
    <w:uiPriority w:val="99"/>
    <w:pPr>
      <w:spacing w:after="0" w:line="240" w:lineRule="auto"/>
    </w:p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9">
    <w:name w:val="Plain Table 5"/>
    <w:basedOn w:val="29"/>
    <w:qFormat/>
    <w:uiPriority w:val="99"/>
    <w:pPr>
      <w:spacing w:after="0" w:line="240" w:lineRule="auto"/>
    </w:pP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0">
    <w:name w:val="Grid Table 1 Light"/>
    <w:basedOn w:val="29"/>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1">
    <w:name w:val="Grid Table 1 Light - Accent 1"/>
    <w:basedOn w:val="29"/>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62">
    <w:name w:val="Grid Table 1 Light - Accent 2"/>
    <w:basedOn w:val="29"/>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63">
    <w:name w:val="Grid Table 1 Light - Accent 3"/>
    <w:basedOn w:val="29"/>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64">
    <w:name w:val="Grid Table 1 Light - Accent 4"/>
    <w:basedOn w:val="29"/>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65">
    <w:name w:val="Grid Table 1 Light - Accent 5"/>
    <w:basedOn w:val="29"/>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66">
    <w:name w:val="Grid Table 1 Light - Accent 6"/>
    <w:basedOn w:val="29"/>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67">
    <w:name w:val="Grid Table 2"/>
    <w:basedOn w:val="29"/>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8">
    <w:name w:val="Grid Table 2 - Accent 1"/>
    <w:basedOn w:val="29"/>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69">
    <w:name w:val="Grid Table 2 - Accent 2"/>
    <w:basedOn w:val="29"/>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0">
    <w:name w:val="Grid Table 2 - Accent 3"/>
    <w:basedOn w:val="29"/>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1">
    <w:name w:val="Grid Table 2 - Accent 4"/>
    <w:basedOn w:val="29"/>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2">
    <w:name w:val="Grid Table 2 - Accent 5"/>
    <w:basedOn w:val="29"/>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3">
    <w:name w:val="Grid Table 2 - Accent 6"/>
    <w:basedOn w:val="29"/>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4">
    <w:name w:val="Grid Table 3"/>
    <w:basedOn w:val="29"/>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5">
    <w:name w:val="Grid Table 3 - Accent 1"/>
    <w:basedOn w:val="29"/>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6">
    <w:name w:val="Grid Table 3 - Accent 2"/>
    <w:basedOn w:val="29"/>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7">
    <w:name w:val="Grid Table 3 - Accent 3"/>
    <w:basedOn w:val="29"/>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8">
    <w:name w:val="Grid Table 3 - Accent 4"/>
    <w:basedOn w:val="29"/>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9">
    <w:name w:val="Grid Table 3 - Accent 5"/>
    <w:basedOn w:val="29"/>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0">
    <w:name w:val="Grid Table 3 - Accent 6"/>
    <w:basedOn w:val="29"/>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1">
    <w:name w:val="Grid Table 4"/>
    <w:basedOn w:val="29"/>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2">
    <w:name w:val="Grid Table 4 - Accent 1"/>
    <w:basedOn w:val="29"/>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83">
    <w:name w:val="Grid Table 4 - Accent 2"/>
    <w:basedOn w:val="29"/>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4">
    <w:name w:val="Grid Table 4 - Accent 3"/>
    <w:basedOn w:val="29"/>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5">
    <w:name w:val="Grid Table 4 - Accent 4"/>
    <w:basedOn w:val="29"/>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6">
    <w:name w:val="Grid Table 4 - Accent 5"/>
    <w:basedOn w:val="29"/>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7">
    <w:name w:val="Grid Table 4 - Accent 6"/>
    <w:basedOn w:val="29"/>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8">
    <w:name w:val="Grid Table 5 Dark"/>
    <w:basedOn w:val="2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89">
    <w:name w:val="Grid Table 5 Dark- Accent 1"/>
    <w:basedOn w:val="2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90">
    <w:name w:val="Grid Table 5 Dark - Accent 2"/>
    <w:basedOn w:val="2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91">
    <w:name w:val="Grid Table 5 Dark - Accent 3"/>
    <w:basedOn w:val="2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92">
    <w:name w:val="Grid Table 5 Dark- Accent 4"/>
    <w:basedOn w:val="2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93">
    <w:name w:val="Grid Table 5 Dark - Accent 5"/>
    <w:basedOn w:val="2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94">
    <w:name w:val="Grid Table 5 Dark - Accent 6"/>
    <w:basedOn w:val="2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95">
    <w:name w:val="Grid Table 6 Colorful"/>
    <w:basedOn w:val="29"/>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6">
    <w:name w:val="Grid Table 6 Colorful - Accent 1"/>
    <w:basedOn w:val="29"/>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97">
    <w:name w:val="Grid Table 6 Colorful - Accent 2"/>
    <w:basedOn w:val="29"/>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98">
    <w:name w:val="Grid Table 6 Colorful - Accent 3"/>
    <w:basedOn w:val="29"/>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99">
    <w:name w:val="Grid Table 6 Colorful - Accent 4"/>
    <w:basedOn w:val="29"/>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0">
    <w:name w:val="Grid Table 6 Colorful - Accent 5"/>
    <w:basedOn w:val="29"/>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1">
    <w:name w:val="Grid Table 6 Colorful - Accent 6"/>
    <w:basedOn w:val="29"/>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02">
    <w:name w:val="Grid Table 7 Colorful"/>
    <w:basedOn w:val="29"/>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3">
    <w:name w:val="Grid Table 7 Colorful - Accent 1"/>
    <w:basedOn w:val="29"/>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4">
    <w:name w:val="Grid Table 7 Colorful - Accent 2"/>
    <w:basedOn w:val="29"/>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5">
    <w:name w:val="Grid Table 7 Colorful - Accent 3"/>
    <w:basedOn w:val="29"/>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06">
    <w:name w:val="Grid Table 7 Colorful - Accent 4"/>
    <w:basedOn w:val="29"/>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7">
    <w:name w:val="Grid Table 7 Colorful - Accent 5"/>
    <w:basedOn w:val="29"/>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8">
    <w:name w:val="Grid Table 7 Colorful - Accent 6"/>
    <w:basedOn w:val="29"/>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09">
    <w:name w:val="List Table 1 Light"/>
    <w:basedOn w:val="29"/>
    <w:qFormat/>
    <w:uiPriority w:val="99"/>
    <w:pPr>
      <w:spacing w:after="0" w:line="240" w:lineRule="auto"/>
    </w:pP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0">
    <w:name w:val="List Table 1 Light - Accent 1"/>
    <w:basedOn w:val="29"/>
    <w:qFormat/>
    <w:uiPriority w:val="99"/>
    <w:pPr>
      <w:spacing w:after="0" w:line="240" w:lineRule="auto"/>
    </w:pP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11">
    <w:name w:val="List Table 1 Light - Accent 2"/>
    <w:basedOn w:val="29"/>
    <w:qFormat/>
    <w:uiPriority w:val="99"/>
    <w:pPr>
      <w:spacing w:after="0" w:line="240" w:lineRule="auto"/>
    </w:pP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12">
    <w:name w:val="List Table 1 Light - Accent 3"/>
    <w:basedOn w:val="29"/>
    <w:qFormat/>
    <w:uiPriority w:val="99"/>
    <w:pPr>
      <w:spacing w:after="0" w:line="240" w:lineRule="auto"/>
    </w:pP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13">
    <w:name w:val="List Table 1 Light - Accent 4"/>
    <w:basedOn w:val="29"/>
    <w:qFormat/>
    <w:uiPriority w:val="99"/>
    <w:pPr>
      <w:spacing w:after="0" w:line="240" w:lineRule="auto"/>
    </w:pP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14">
    <w:name w:val="List Table 1 Light - Accent 5"/>
    <w:basedOn w:val="29"/>
    <w:qFormat/>
    <w:uiPriority w:val="99"/>
    <w:pPr>
      <w:spacing w:after="0" w:line="240" w:lineRule="auto"/>
    </w:pP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15">
    <w:name w:val="List Table 1 Light - Accent 6"/>
    <w:basedOn w:val="29"/>
    <w:qFormat/>
    <w:uiPriority w:val="99"/>
    <w:pPr>
      <w:spacing w:after="0" w:line="240" w:lineRule="auto"/>
    </w:pP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16">
    <w:name w:val="List Table 2"/>
    <w:basedOn w:val="29"/>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17">
    <w:name w:val="List Table 2 - Accent 1"/>
    <w:basedOn w:val="29"/>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18">
    <w:name w:val="List Table 2 - Accent 2"/>
    <w:basedOn w:val="29"/>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19">
    <w:name w:val="List Table 2 - Accent 3"/>
    <w:basedOn w:val="29"/>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0">
    <w:name w:val="List Table 2 - Accent 4"/>
    <w:basedOn w:val="29"/>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21">
    <w:name w:val="List Table 2 - Accent 5"/>
    <w:basedOn w:val="29"/>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2">
    <w:name w:val="List Table 2 - Accent 6"/>
    <w:basedOn w:val="29"/>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23">
    <w:name w:val="List Table 3"/>
    <w:basedOn w:val="29"/>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4">
    <w:name w:val="List Table 3 - Accent 1"/>
    <w:basedOn w:val="29"/>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25">
    <w:name w:val="List Table 3 - Accent 2"/>
    <w:basedOn w:val="29"/>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26">
    <w:name w:val="List Table 3 - Accent 3"/>
    <w:basedOn w:val="29"/>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27">
    <w:name w:val="List Table 3 - Accent 4"/>
    <w:basedOn w:val="29"/>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28">
    <w:name w:val="List Table 3 - Accent 5"/>
    <w:basedOn w:val="29"/>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29">
    <w:name w:val="List Table 3 - Accent 6"/>
    <w:basedOn w:val="29"/>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30">
    <w:name w:val="List Table 4"/>
    <w:basedOn w:val="29"/>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1">
    <w:name w:val="List Table 4 - Accent 1"/>
    <w:basedOn w:val="29"/>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2">
    <w:name w:val="List Table 4 - Accent 2"/>
    <w:basedOn w:val="29"/>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3">
    <w:name w:val="List Table 4 - Accent 3"/>
    <w:basedOn w:val="29"/>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4">
    <w:name w:val="List Table 4 - Accent 4"/>
    <w:basedOn w:val="29"/>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5">
    <w:name w:val="List Table 4 - Accent 5"/>
    <w:basedOn w:val="29"/>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36">
    <w:name w:val="List Table 4 - Accent 6"/>
    <w:basedOn w:val="29"/>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37">
    <w:name w:val="List Table 5 Dark"/>
    <w:basedOn w:val="29"/>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38">
    <w:name w:val="List Table 5 Dark - Accent 1"/>
    <w:basedOn w:val="29"/>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39">
    <w:name w:val="List Table 5 Dark - Accent 2"/>
    <w:basedOn w:val="29"/>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40">
    <w:name w:val="List Table 5 Dark - Accent 3"/>
    <w:basedOn w:val="29"/>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41">
    <w:name w:val="List Table 5 Dark - Accent 4"/>
    <w:basedOn w:val="29"/>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42">
    <w:name w:val="List Table 5 Dark - Accent 5"/>
    <w:basedOn w:val="29"/>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43">
    <w:name w:val="List Table 5 Dark - Accent 6"/>
    <w:basedOn w:val="29"/>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44">
    <w:name w:val="List Table 6 Colorful"/>
    <w:basedOn w:val="29"/>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5">
    <w:name w:val="List Table 6 Colorful - Accent 1"/>
    <w:basedOn w:val="29"/>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46">
    <w:name w:val="List Table 6 Colorful - Accent 2"/>
    <w:basedOn w:val="29"/>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47">
    <w:name w:val="List Table 6 Colorful - Accent 3"/>
    <w:basedOn w:val="29"/>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48">
    <w:name w:val="List Table 6 Colorful - Accent 4"/>
    <w:basedOn w:val="29"/>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49">
    <w:name w:val="List Table 6 Colorful - Accent 5"/>
    <w:basedOn w:val="29"/>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0">
    <w:name w:val="List Table 6 Colorful - Accent 6"/>
    <w:basedOn w:val="29"/>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1">
    <w:name w:val="List Table 7 Colorful"/>
    <w:basedOn w:val="29"/>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2">
    <w:name w:val="List Table 7 Colorful - Accent 1"/>
    <w:basedOn w:val="29"/>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3">
    <w:name w:val="List Table 7 Colorful - Accent 2"/>
    <w:basedOn w:val="29"/>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4">
    <w:name w:val="List Table 7 Colorful - Accent 3"/>
    <w:basedOn w:val="29"/>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5">
    <w:name w:val="List Table 7 Colorful - Accent 4"/>
    <w:basedOn w:val="29"/>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6">
    <w:name w:val="List Table 7 Colorful - Accent 5"/>
    <w:basedOn w:val="29"/>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7">
    <w:name w:val="List Table 7 Colorful - Accent 6"/>
    <w:basedOn w:val="29"/>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8">
    <w:name w:val="Lined - Accent"/>
    <w:basedOn w:val="29"/>
    <w:uiPriority w:val="99"/>
    <w:pPr>
      <w:spacing w:after="0" w:line="240" w:lineRule="auto"/>
    </w:pPr>
    <w:rPr>
      <w:color w:val="404040"/>
    </w:rP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59">
    <w:name w:val="Lined - Accent 1"/>
    <w:basedOn w:val="29"/>
    <w:uiPriority w:val="99"/>
    <w:pPr>
      <w:spacing w:after="0" w:line="240" w:lineRule="auto"/>
    </w:pPr>
    <w:rPr>
      <w:color w:val="404040"/>
    </w:rP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0">
    <w:name w:val="Lined - Accent 2"/>
    <w:basedOn w:val="29"/>
    <w:uiPriority w:val="99"/>
    <w:pPr>
      <w:spacing w:after="0" w:line="240" w:lineRule="auto"/>
    </w:pPr>
    <w:rPr>
      <w:color w:val="404040"/>
    </w:rP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1">
    <w:name w:val="Lined - Accent 3"/>
    <w:basedOn w:val="29"/>
    <w:qFormat/>
    <w:uiPriority w:val="99"/>
    <w:pPr>
      <w:spacing w:after="0" w:line="240" w:lineRule="auto"/>
    </w:pPr>
    <w:rPr>
      <w:color w:val="404040"/>
    </w:rP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2">
    <w:name w:val="Lined - Accent 4"/>
    <w:basedOn w:val="29"/>
    <w:uiPriority w:val="99"/>
    <w:pPr>
      <w:spacing w:after="0" w:line="240" w:lineRule="auto"/>
    </w:pPr>
    <w:rPr>
      <w:color w:val="404040"/>
    </w:rP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63">
    <w:name w:val="Lined - Accent 5"/>
    <w:basedOn w:val="29"/>
    <w:uiPriority w:val="99"/>
    <w:pPr>
      <w:spacing w:after="0" w:line="240" w:lineRule="auto"/>
    </w:pPr>
    <w:rPr>
      <w:color w:val="404040"/>
    </w:rP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64">
    <w:name w:val="Lined - Accent 6"/>
    <w:basedOn w:val="29"/>
    <w:uiPriority w:val="99"/>
    <w:pPr>
      <w:spacing w:after="0" w:line="240" w:lineRule="auto"/>
    </w:pPr>
    <w:rPr>
      <w:color w:val="404040"/>
    </w:rP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65">
    <w:name w:val="Bordered &amp; Lined - Accent"/>
    <w:basedOn w:val="29"/>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6">
    <w:name w:val="Bordered &amp; Lined - Accent 1"/>
    <w:basedOn w:val="29"/>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7">
    <w:name w:val="Bordered &amp; Lined - Accent 2"/>
    <w:basedOn w:val="29"/>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8">
    <w:name w:val="Bordered &amp; Lined - Accent 3"/>
    <w:basedOn w:val="29"/>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9">
    <w:name w:val="Bordered &amp; Lined - Accent 4"/>
    <w:basedOn w:val="29"/>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0">
    <w:name w:val="Bordered &amp; Lined - Accent 5"/>
    <w:basedOn w:val="29"/>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1">
    <w:name w:val="Bordered &amp; Lined - Accent 6"/>
    <w:basedOn w:val="29"/>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2">
    <w:name w:val="Bordered"/>
    <w:basedOn w:val="29"/>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3">
    <w:name w:val="Bordered - Accent 1"/>
    <w:basedOn w:val="29"/>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74">
    <w:name w:val="Bordered - Accent 2"/>
    <w:basedOn w:val="29"/>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75">
    <w:name w:val="Bordered - Accent 3"/>
    <w:basedOn w:val="29"/>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76">
    <w:name w:val="Bordered - Accent 4"/>
    <w:basedOn w:val="29"/>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77">
    <w:name w:val="Bordered - Accent 5"/>
    <w:basedOn w:val="29"/>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78">
    <w:name w:val="Bordered - Accent 6"/>
    <w:basedOn w:val="29"/>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79">
    <w:name w:val="Footnote Text Char"/>
    <w:link w:val="23"/>
    <w:uiPriority w:val="99"/>
    <w:rPr>
      <w:sz w:val="18"/>
    </w:rPr>
  </w:style>
  <w:style w:type="character" w:customStyle="1" w:styleId="180">
    <w:name w:val="Endnote Text Char"/>
    <w:link w:val="17"/>
    <w:uiPriority w:val="99"/>
    <w:rPr>
      <w:sz w:val="20"/>
    </w:rPr>
  </w:style>
  <w:style w:type="paragraph" w:customStyle="1" w:styleId="181">
    <w:name w:val="TOC Heading"/>
    <w:unhideWhenUsed/>
    <w:uiPriority w:val="39"/>
    <w:rPr>
      <w:rFonts w:hint="default" w:ascii="Times New Roman" w:hAnsi="Times New Roman" w:eastAsia="宋体" w:cs="Times New Roman"/>
    </w:rPr>
  </w:style>
  <w:style w:type="paragraph" w:styleId="182">
    <w:name w:val="List Paragraph"/>
    <w:basedOn w:val="1"/>
    <w:uiPriority w:val="0"/>
    <w:pPr>
      <w:ind w:firstLine="200" w:firstLineChars="200"/>
    </w:pPr>
  </w:style>
  <w:style w:type="paragraph" w:customStyle="1" w:styleId="183">
    <w:name w:val="正文文本1"/>
    <w:basedOn w:val="1"/>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宋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TotalTime>0</TotalTime>
  <ScaleCrop>false</ScaleCrop>
  <LinksUpToDate>false</LinksUpToDate>
  <Application>WPS Office_11.8.2.12320_F1E327BC-269C-435d-A152-05C5408002CA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2022-12-30T17:44:00Z</dcterms:created>
  <dc:creator>疯丫头。。</dc:creator>
  <cp:lastModifiedBy>甘旭晴</cp:lastModifiedBy>
  <dcterms:modified xsi:type="dcterms:W3CDTF">2026-01-29T14:45:59Z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2052-11.8.2.12320</vt:lpwstr>
  </property>
  <property fmtid="{D5CDD505-2E9C-101B-9397-08002B2CF9AE}" pid="3" name="ICV">
    <vt:lpwstr>8ABAB0991C9A137C27027B69CEAF5DF3</vt:lpwstr>
  </property>
</Properties>
</file>