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pacing w:line="560" w:lineRule="exact"/>
        <w:textAlignment w:val="auto"/>
        <w:rPr>
          <w:rFonts w:ascii="仿宋_GB2312" w:eastAsia="仿宋_GB2312" w:cs="仿宋_GB2312" w:hint="eastAsia"/>
        </w:rPr>
      </w:pPr>
    </w:p>
    <w:p>
      <w:pPr>
        <w:keepNext w:val="0"/>
        <w:keepLines w:val="0"/>
        <w:pageBreakBefore w:val="0"/>
        <w:widowControl w:val="0"/>
        <w:kinsoku/>
        <w:wordWrap/>
        <w:overflowPunct/>
        <w:topLinePunct w:val="0"/>
        <w:autoSpaceDE/>
        <w:autoSpaceDN/>
        <w:bidi w:val="0"/>
        <w:adjustRightInd/>
        <w:spacing w:line="560" w:lineRule="exact"/>
        <w:textAlignment w:val="auto"/>
        <w:rPr>
          <w:rFonts w:ascii="仿宋_GB2312" w:eastAsia="仿宋_GB2312" w:cs="仿宋_GB2312" w:hint="eastAsia"/>
        </w:rPr>
      </w:pPr>
    </w:p>
    <w:p>
      <w:pPr>
        <w:keepNext w:val="0"/>
        <w:keepLines w:val="0"/>
        <w:pageBreakBefore w:val="0"/>
        <w:widowControl w:val="0"/>
        <w:kinsoku/>
        <w:wordWrap/>
        <w:overflowPunct/>
        <w:topLinePunct w:val="0"/>
        <w:autoSpaceDE/>
        <w:autoSpaceDN/>
        <w:bidi w:val="0"/>
        <w:adjustRightInd/>
        <w:spacing w:line="560" w:lineRule="exact"/>
        <w:textAlignment w:val="auto"/>
        <w:rPr>
          <w:rFonts w:ascii="仿宋_GB2312" w:eastAsia="仿宋_GB2312" w:cs="仿宋_GB2312" w:hint="eastAsia"/>
        </w:rPr>
      </w:pPr>
    </w:p>
    <w:p>
      <w:pPr>
        <w:keepNext w:val="0"/>
        <w:keepLines w:val="0"/>
        <w:pageBreakBefore w:val="0"/>
        <w:widowControl w:val="0"/>
        <w:kinsoku/>
        <w:wordWrap/>
        <w:overflowPunct/>
        <w:topLinePunct w:val="0"/>
        <w:autoSpaceDE/>
        <w:autoSpaceDN/>
        <w:bidi w:val="0"/>
        <w:adjustRightInd/>
        <w:spacing w:line="560" w:lineRule="exact"/>
        <w:textAlignment w:val="auto"/>
        <w:rPr>
          <w:rFonts w:ascii="仿宋_GB2312" w:eastAsia="仿宋_GB2312" w:cs="仿宋_GB2312" w:hint="eastAsia"/>
        </w:rPr>
      </w:pPr>
    </w:p>
    <w:p>
      <w:pPr>
        <w:keepNext w:val="0"/>
        <w:keepLines w:val="0"/>
        <w:pageBreakBefore w:val="0"/>
        <w:widowControl w:val="0"/>
        <w:kinsoku/>
        <w:wordWrap/>
        <w:overflowPunct/>
        <w:topLinePunct w:val="0"/>
        <w:autoSpaceDE/>
        <w:autoSpaceDN/>
        <w:bidi w:val="0"/>
        <w:adjustRightInd/>
        <w:spacing w:line="560" w:lineRule="exact"/>
        <w:ind w:firstLineChars="500" w:firstLine="1050"/>
        <w:textAlignment w:val="auto"/>
        <w:rPr>
          <w:rFonts w:ascii="仿宋_GB2312" w:eastAsia="仿宋_GB2312" w:cs="仿宋_GB2312" w:hint="eastAsia"/>
        </w:rPr>
      </w:pPr>
    </w:p>
    <w:p>
      <w:pPr>
        <w:keepNext w:val="0"/>
        <w:keepLines w:val="0"/>
        <w:pageBreakBefore w:val="0"/>
        <w:widowControl w:val="0"/>
        <w:kinsoku/>
        <w:wordWrap/>
        <w:overflowPunct/>
        <w:topLinePunct w:val="0"/>
        <w:autoSpaceDE/>
        <w:autoSpaceDN/>
        <w:bidi w:val="0"/>
        <w:adjustRightInd/>
        <w:spacing w:line="560" w:lineRule="exact"/>
        <w:ind w:firstLineChars="500" w:firstLine="1050"/>
        <w:textAlignment w:val="auto"/>
        <w:rPr>
          <w:rFonts w:ascii="仿宋_GB2312" w:eastAsia="仿宋_GB2312" w:cs="仿宋_GB2312" w:hint="eastAsia"/>
        </w:rPr>
      </w:pPr>
    </w:p>
    <w:p>
      <w:pPr>
        <w:keepNext w:val="0"/>
        <w:keepLines w:val="0"/>
        <w:pageBreakBefore w:val="0"/>
        <w:widowControl w:val="0"/>
        <w:kinsoku/>
        <w:wordWrap/>
        <w:overflowPunct/>
        <w:topLinePunct w:val="0"/>
        <w:autoSpaceDE/>
        <w:autoSpaceDN/>
        <w:bidi w:val="0"/>
        <w:adjustRightInd/>
        <w:spacing w:line="560" w:lineRule="exact"/>
        <w:ind w:firstLineChars="400" w:firstLine="1760"/>
        <w:textAlignment w:val="auto"/>
        <w:rPr>
          <w:rFonts w:ascii="仿宋_GB2312" w:eastAsia="仿宋_GB2312" w:cs="仿宋_GB2312" w:hint="eastAsia"/>
          <w:sz w:val="44"/>
          <w:szCs w:val="44"/>
        </w:rPr>
      </w:pPr>
    </w:p>
    <w:p>
      <w:pPr>
        <w:keepNext w:val="0"/>
        <w:keepLines w:val="0"/>
        <w:pageBreakBefore w:val="0"/>
        <w:widowControl w:val="0"/>
        <w:tabs>
          <w:tab w:val="left" w:pos="319"/>
          <w:tab w:val="center" w:pos="4213"/>
        </w:tabs>
        <w:kinsoku/>
        <w:wordWrap/>
        <w:overflowPunct/>
        <w:topLinePunct w:val="0"/>
        <w:autoSpaceDE/>
        <w:autoSpaceDN/>
        <w:bidi w:val="0"/>
        <w:adjustRightInd/>
        <w:spacing w:line="560" w:lineRule="exact"/>
        <w:jc w:val="left"/>
        <w:textAlignment w:val="auto"/>
        <w:rPr>
          <w:rFonts w:ascii="仿宋_GB2312" w:eastAsia="仿宋_GB2312" w:cs="仿宋_GB2312" w:hint="eastAsia"/>
          <w:sz w:val="72"/>
          <w:szCs w:val="72"/>
          <w:lang w:eastAsia="zh-CN"/>
        </w:rPr>
      </w:pPr>
      <w:r>
        <w:rPr>
          <w:rFonts w:ascii="仿宋_GB2312" w:eastAsia="仿宋_GB2312" w:cs="仿宋_GB2312" w:hint="eastAsia"/>
          <w:sz w:val="72"/>
          <w:szCs w:val="72"/>
          <w:lang w:eastAsia="zh-CN"/>
        </w:rPr>
        <w:tab/>
      </w:r>
    </w:p>
    <w:p>
      <w:pPr>
        <w:keepNext w:val="0"/>
        <w:keepLines w:val="0"/>
        <w:pageBreakBefore w:val="0"/>
        <w:widowControl w:val="0"/>
        <w:tabs>
          <w:tab w:val="left" w:pos="319"/>
          <w:tab w:val="center" w:pos="4213"/>
        </w:tabs>
        <w:kinsoku/>
        <w:wordWrap/>
        <w:overflowPunct/>
        <w:topLinePunct w:val="0"/>
        <w:autoSpaceDE/>
        <w:autoSpaceDN/>
        <w:bidi w:val="0"/>
        <w:adjustRightInd/>
        <w:spacing w:line="560" w:lineRule="exact"/>
        <w:jc w:val="left"/>
        <w:textAlignment w:val="auto"/>
        <w:rPr>
          <w:rFonts w:ascii="仿宋_GB2312" w:eastAsia="仿宋_GB2312" w:cs="仿宋_GB2312" w:hint="eastAsia"/>
          <w:sz w:val="72"/>
          <w:szCs w:val="72"/>
          <w:lang w:eastAsia="zh-CN"/>
        </w:rPr>
      </w:pPr>
    </w:p>
    <w:p>
      <w:pPr>
        <w:keepNext w:val="0"/>
        <w:keepLines w:val="0"/>
        <w:pageBreakBefore w:val="0"/>
        <w:widowControl w:val="0"/>
        <w:tabs>
          <w:tab w:val="left" w:pos="319"/>
          <w:tab w:val="center" w:pos="4213"/>
        </w:tabs>
        <w:kinsoku/>
        <w:wordWrap/>
        <w:overflowPunct/>
        <w:topLinePunct w:val="0"/>
        <w:autoSpaceDE/>
        <w:autoSpaceDN/>
        <w:bidi w:val="0"/>
        <w:adjustRightInd/>
        <w:spacing w:line="560" w:lineRule="exact"/>
        <w:jc w:val="left"/>
        <w:textAlignment w:val="auto"/>
        <w:rPr>
          <w:rFonts w:ascii="方正小标宋简体" w:eastAsia="方正小标宋简体" w:cs="方正小标宋简体" w:hint="eastAsia"/>
          <w:sz w:val="44"/>
          <w:szCs w:val="44"/>
          <w:lang w:eastAsia="zh-CN"/>
        </w:rPr>
      </w:pPr>
    </w:p>
    <w:p>
      <w:pPr>
        <w:tabs>
          <w:tab w:val="left" w:pos="319"/>
          <w:tab w:val="center" w:pos="4213"/>
        </w:tabs>
        <w:jc w:val="center"/>
        <w:rPr>
          <w:rFonts w:ascii="方正小标宋简体" w:eastAsia="方正小标宋简体" w:cs="方正小标宋简体" w:hint="eastAsia"/>
          <w:sz w:val="72"/>
          <w:szCs w:val="72"/>
          <w:lang w:val="en-US" w:eastAsia="zh-CN"/>
        </w:rPr>
      </w:pPr>
      <w:r>
        <w:rPr>
          <w:rFonts w:ascii="方正小标宋简体" w:eastAsia="方正小标宋简体" w:cs="方正小标宋简体" w:hint="eastAsia"/>
          <w:sz w:val="72"/>
          <w:szCs w:val="72"/>
          <w:lang w:eastAsia="zh-CN"/>
        </w:rPr>
        <w:t>阿坝州大数据中心</w:t>
      </w:r>
    </w:p>
    <w:p>
      <w:pPr>
        <w:jc w:val="center"/>
        <w:rPr>
          <w:rFonts w:ascii="方正小标宋简体" w:eastAsia="方正小标宋简体" w:cs="方正小标宋简体" w:hint="eastAsia"/>
          <w:sz w:val="72"/>
          <w:szCs w:val="72"/>
        </w:rPr>
      </w:pPr>
      <w:r>
        <w:rPr>
          <w:rFonts w:ascii="方正小标宋简体" w:eastAsia="方正小标宋简体" w:cs="方正小标宋简体" w:hint="eastAsia"/>
          <w:sz w:val="72"/>
          <w:szCs w:val="72"/>
        </w:rPr>
        <w:t>202</w:t>
      </w:r>
      <w:r>
        <w:rPr>
          <w:rFonts w:ascii="方正小标宋简体" w:eastAsia="方正小标宋简体" w:cs="方正小标宋简体" w:hint="eastAsia"/>
          <w:sz w:val="72"/>
          <w:szCs w:val="72"/>
          <w:lang w:val="en-US" w:eastAsia="zh-CN"/>
        </w:rPr>
        <w:t>3</w:t>
      </w:r>
      <w:r>
        <w:rPr>
          <w:rFonts w:ascii="方正小标宋简体" w:eastAsia="方正小标宋简体" w:cs="方正小标宋简体" w:hint="eastAsia"/>
          <w:sz w:val="72"/>
          <w:szCs w:val="72"/>
        </w:rPr>
        <w:t>年部门预算</w:t>
      </w:r>
    </w:p>
    <w:p>
      <w:pPr>
        <w:keepNext w:val="0"/>
        <w:keepLines w:val="0"/>
        <w:pageBreakBefore w:val="0"/>
        <w:widowControl w:val="0"/>
        <w:kinsoku/>
        <w:wordWrap/>
        <w:overflowPunct/>
        <w:topLinePunct w:val="0"/>
        <w:autoSpaceDE/>
        <w:autoSpaceDN/>
        <w:bidi w:val="0"/>
        <w:adjustRightInd/>
        <w:spacing w:line="560" w:lineRule="exact"/>
        <w:ind w:firstLineChars="400" w:firstLine="1760"/>
        <w:textAlignment w:val="auto"/>
        <w:rPr>
          <w:rFonts w:ascii="仿宋_GB2312" w:eastAsia="仿宋_GB2312" w:cs="仿宋_GB2312" w:hint="eastAsia"/>
          <w:sz w:val="44"/>
          <w:szCs w:val="44"/>
        </w:rPr>
      </w:pPr>
    </w:p>
    <w:p>
      <w:pPr>
        <w:keepNext w:val="0"/>
        <w:keepLines w:val="0"/>
        <w:pageBreakBefore w:val="0"/>
        <w:widowControl w:val="0"/>
        <w:kinsoku/>
        <w:wordWrap/>
        <w:overflowPunct/>
        <w:topLinePunct w:val="0"/>
        <w:autoSpaceDE/>
        <w:autoSpaceDN/>
        <w:bidi w:val="0"/>
        <w:adjustRightInd/>
        <w:spacing w:line="560" w:lineRule="exact"/>
        <w:ind w:firstLineChars="400" w:firstLine="1760"/>
        <w:textAlignment w:val="auto"/>
        <w:rPr>
          <w:rFonts w:ascii="仿宋_GB2312" w:eastAsia="仿宋_GB2312" w:cs="仿宋_GB2312" w:hint="eastAsia"/>
          <w:sz w:val="44"/>
          <w:szCs w:val="44"/>
        </w:rPr>
      </w:pPr>
    </w:p>
    <w:p>
      <w:pPr>
        <w:keepNext w:val="0"/>
        <w:keepLines w:val="0"/>
        <w:pageBreakBefore w:val="0"/>
        <w:widowControl w:val="0"/>
        <w:kinsoku/>
        <w:wordWrap/>
        <w:overflowPunct/>
        <w:topLinePunct w:val="0"/>
        <w:autoSpaceDE/>
        <w:autoSpaceDN/>
        <w:bidi w:val="0"/>
        <w:adjustRightInd/>
        <w:spacing w:line="560" w:lineRule="exact"/>
        <w:ind w:firstLineChars="400" w:firstLine="1760"/>
        <w:textAlignment w:val="auto"/>
        <w:rPr>
          <w:rFonts w:ascii="仿宋_GB2312" w:eastAsia="仿宋_GB2312" w:cs="仿宋_GB2312" w:hint="eastAsia"/>
          <w:sz w:val="44"/>
          <w:szCs w:val="44"/>
        </w:rPr>
      </w:pPr>
    </w:p>
    <w:p>
      <w:pPr>
        <w:keepNext w:val="0"/>
        <w:keepLines w:val="0"/>
        <w:pageBreakBefore w:val="0"/>
        <w:widowControl w:val="0"/>
        <w:kinsoku/>
        <w:wordWrap/>
        <w:overflowPunct/>
        <w:topLinePunct w:val="0"/>
        <w:autoSpaceDE/>
        <w:autoSpaceDN/>
        <w:bidi w:val="0"/>
        <w:adjustRightInd/>
        <w:spacing w:line="560" w:lineRule="exact"/>
        <w:ind w:firstLineChars="400" w:firstLine="1760"/>
        <w:textAlignment w:val="auto"/>
        <w:rPr>
          <w:rFonts w:ascii="仿宋_GB2312" w:eastAsia="仿宋_GB2312" w:cs="仿宋_GB2312" w:hint="eastAsia"/>
          <w:sz w:val="44"/>
          <w:szCs w:val="44"/>
        </w:rPr>
      </w:pPr>
    </w:p>
    <w:p>
      <w:pPr>
        <w:keepNext w:val="0"/>
        <w:keepLines w:val="0"/>
        <w:pageBreakBefore w:val="0"/>
        <w:widowControl w:val="0"/>
        <w:kinsoku/>
        <w:wordWrap/>
        <w:overflowPunct/>
        <w:topLinePunct w:val="0"/>
        <w:autoSpaceDE/>
        <w:autoSpaceDN/>
        <w:bidi w:val="0"/>
        <w:adjustRightInd/>
        <w:spacing w:line="560" w:lineRule="exact"/>
        <w:ind w:firstLineChars="400" w:firstLine="1760"/>
        <w:textAlignment w:val="auto"/>
        <w:rPr>
          <w:rFonts w:ascii="仿宋_GB2312" w:eastAsia="仿宋_GB2312" w:cs="仿宋_GB2312" w:hint="eastAsia"/>
          <w:sz w:val="44"/>
          <w:szCs w:val="44"/>
        </w:rPr>
      </w:pPr>
    </w:p>
    <w:p>
      <w:pPr>
        <w:keepNext w:val="0"/>
        <w:keepLines w:val="0"/>
        <w:pageBreakBefore w:val="0"/>
        <w:widowControl w:val="0"/>
        <w:kinsoku/>
        <w:wordWrap/>
        <w:overflowPunct/>
        <w:topLinePunct w:val="0"/>
        <w:autoSpaceDE/>
        <w:autoSpaceDN/>
        <w:bidi w:val="0"/>
        <w:adjustRightInd/>
        <w:spacing w:line="560" w:lineRule="exact"/>
        <w:ind w:firstLineChars="400" w:firstLine="1760"/>
        <w:textAlignment w:val="auto"/>
        <w:rPr>
          <w:rFonts w:ascii="仿宋_GB2312" w:eastAsia="仿宋_GB2312" w:cs="仿宋_GB2312" w:hint="eastAsia"/>
          <w:sz w:val="44"/>
          <w:szCs w:val="44"/>
        </w:rPr>
      </w:pPr>
    </w:p>
    <w:p>
      <w:pPr>
        <w:keepNext w:val="0"/>
        <w:keepLines w:val="0"/>
        <w:pageBreakBefore w:val="0"/>
        <w:widowControl w:val="0"/>
        <w:kinsoku/>
        <w:wordWrap/>
        <w:overflowPunct/>
        <w:topLinePunct w:val="0"/>
        <w:autoSpaceDE/>
        <w:autoSpaceDN/>
        <w:bidi w:val="0"/>
        <w:adjustRightInd/>
        <w:spacing w:line="560" w:lineRule="exact"/>
        <w:ind w:firstLineChars="400" w:firstLine="1760"/>
        <w:textAlignment w:val="auto"/>
        <w:rPr>
          <w:rFonts w:ascii="仿宋_GB2312" w:eastAsia="仿宋_GB2312" w:cs="仿宋_GB2312" w:hint="eastAsia"/>
          <w:sz w:val="44"/>
          <w:szCs w:val="44"/>
        </w:rPr>
      </w:pPr>
    </w:p>
    <w:p>
      <w:pPr>
        <w:keepNext w:val="0"/>
        <w:keepLines w:val="0"/>
        <w:pageBreakBefore w:val="0"/>
        <w:widowControl w:val="0"/>
        <w:kinsoku/>
        <w:wordWrap/>
        <w:overflowPunct/>
        <w:topLinePunct w:val="0"/>
        <w:autoSpaceDE/>
        <w:autoSpaceDN/>
        <w:bidi w:val="0"/>
        <w:adjustRightInd/>
        <w:spacing w:line="560" w:lineRule="exact"/>
        <w:textAlignment w:val="auto"/>
        <w:rPr>
          <w:rFonts w:ascii="仿宋_GB2312" w:eastAsia="仿宋_GB2312" w:cs="仿宋_GB2312" w:hint="eastAsia"/>
          <w:sz w:val="44"/>
          <w:szCs w:val="44"/>
        </w:rPr>
      </w:pPr>
    </w:p>
    <w:p>
      <w:pPr>
        <w:keepNext w:val="0"/>
        <w:keepLines w:val="0"/>
        <w:pageBreakBefore w:val="0"/>
        <w:widowControl w:val="0"/>
        <w:kinsoku/>
        <w:wordWrap/>
        <w:overflowPunct/>
        <w:topLinePunct w:val="0"/>
        <w:autoSpaceDE/>
        <w:autoSpaceDN/>
        <w:bidi w:val="0"/>
        <w:adjustRightInd/>
        <w:spacing w:line="560" w:lineRule="exact"/>
        <w:textAlignment w:val="auto"/>
        <w:rPr>
          <w:rFonts w:ascii="仿宋_GB2312" w:eastAsia="仿宋_GB2312" w:cs="仿宋_GB2312" w:hint="eastAsia"/>
          <w:sz w:val="52"/>
          <w:szCs w:val="52"/>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黑体" w:eastAsia="黑体" w:cs="黑体" w:hint="eastAsia"/>
          <w:sz w:val="52"/>
          <w:szCs w:val="52"/>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黑体" w:eastAsia="黑体" w:cs="黑体" w:hint="eastAsia"/>
          <w:sz w:val="52"/>
          <w:szCs w:val="52"/>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黑体" w:eastAsia="黑体" w:cs="黑体" w:hint="eastAsia"/>
          <w:sz w:val="52"/>
          <w:szCs w:val="52"/>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黑体" w:eastAsia="黑体" w:cs="黑体" w:hint="eastAsia"/>
          <w:sz w:val="52"/>
          <w:szCs w:val="52"/>
        </w:rPr>
      </w:pPr>
      <w:r>
        <w:rPr>
          <w:rFonts w:ascii="黑体" w:eastAsia="黑体" w:cs="黑体" w:hint="eastAsia"/>
          <w:sz w:val="52"/>
          <w:szCs w:val="52"/>
        </w:rPr>
        <w:t>目</w:t>
      </w:r>
      <w:r>
        <w:rPr>
          <w:rFonts w:ascii="黑体" w:eastAsia="黑体" w:cs="黑体" w:hint="eastAsia"/>
          <w:sz w:val="52"/>
          <w:szCs w:val="52"/>
          <w:lang w:val="en-US" w:eastAsia="zh-CN"/>
        </w:rPr>
        <w:t xml:space="preserve"> </w:t>
      </w:r>
      <w:r>
        <w:rPr>
          <w:rFonts w:ascii="黑体" w:eastAsia="黑体" w:cs="黑体" w:hint="eastAsia"/>
          <w:sz w:val="52"/>
          <w:szCs w:val="52"/>
        </w:rPr>
        <w:t>录</w:t>
      </w:r>
    </w:p>
    <w:p>
      <w:pPr>
        <w:keepNext w:val="0"/>
        <w:keepLines w:val="0"/>
        <w:pageBreakBefore w:val="0"/>
        <w:widowControl w:val="0"/>
        <w:kinsoku/>
        <w:wordWrap/>
        <w:overflowPunct/>
        <w:topLinePunct w:val="0"/>
        <w:autoSpaceDE/>
        <w:autoSpaceDN/>
        <w:bidi w:val="0"/>
        <w:adjustRightInd/>
        <w:spacing w:line="560" w:lineRule="exact"/>
        <w:ind w:firstLineChars="700" w:firstLine="2240"/>
        <w:textAlignment w:val="auto"/>
        <w:rPr>
          <w:rFonts w:ascii="黑体" w:eastAsia="黑体" w:cs="黑体" w:hint="eastAsia"/>
          <w:sz w:val="32"/>
          <w:szCs w:val="32"/>
        </w:rPr>
      </w:pPr>
    </w:p>
    <w:p>
      <w:pPr>
        <w:pStyle w:val="18"/>
        <w:keepNext w:val="0"/>
        <w:keepLines w:val="0"/>
        <w:pageBreakBefore w:val="0"/>
        <w:widowControl w:val="0"/>
        <w:kinsoku/>
        <w:wordWrap/>
        <w:overflowPunct/>
        <w:topLinePunct w:val="0"/>
        <w:autoSpaceDE/>
        <w:autoSpaceDN/>
        <w:bidi w:val="0"/>
        <w:adjustRightInd/>
        <w:spacing w:line="560" w:lineRule="exact"/>
        <w:ind w:firstLineChars="0" w:firstLine="0"/>
        <w:textAlignment w:val="auto"/>
        <w:rPr>
          <w:rFonts w:ascii="黑体" w:eastAsia="黑体" w:cs="黑体" w:hint="eastAsia"/>
          <w:sz w:val="32"/>
          <w:szCs w:val="32"/>
        </w:rPr>
      </w:pPr>
      <w:r>
        <w:rPr>
          <w:rFonts w:ascii="黑体" w:eastAsia="黑体" w:cs="黑体" w:hint="eastAsia"/>
          <w:sz w:val="32"/>
          <w:szCs w:val="32"/>
        </w:rPr>
        <w:t>一、基本职能及主要工作</w:t>
      </w:r>
    </w:p>
    <w:p>
      <w:pPr>
        <w:keepNext w:val="0"/>
        <w:keepLines w:val="0"/>
        <w:pageBreakBefore w:val="0"/>
        <w:widowControl w:val="0"/>
        <w:kinsoku/>
        <w:wordWrap/>
        <w:overflowPunct/>
        <w:topLinePunct w:val="0"/>
        <w:autoSpaceDE/>
        <w:autoSpaceDN/>
        <w:bidi w:val="0"/>
        <w:adjustRightInd/>
        <w:spacing w:line="560" w:lineRule="exact"/>
        <w:textAlignment w:val="auto"/>
        <w:rPr>
          <w:rFonts w:ascii="楷体" w:eastAsia="楷体" w:cs="楷体" w:hint="eastAsia"/>
          <w:sz w:val="32"/>
          <w:szCs w:val="32"/>
        </w:rPr>
      </w:pPr>
      <w:r>
        <w:rPr>
          <w:rFonts w:ascii="楷体" w:eastAsia="楷体" w:cs="楷体" w:hint="eastAsia"/>
          <w:sz w:val="32"/>
          <w:szCs w:val="32"/>
        </w:rPr>
        <w:t>（一）部门职能简介</w:t>
      </w:r>
    </w:p>
    <w:p>
      <w:pPr>
        <w:keepNext w:val="0"/>
        <w:keepLines w:val="0"/>
        <w:pageBreakBefore w:val="0"/>
        <w:widowControl w:val="0"/>
        <w:kinsoku/>
        <w:wordWrap/>
        <w:overflowPunct/>
        <w:topLinePunct w:val="0"/>
        <w:autoSpaceDE/>
        <w:autoSpaceDN/>
        <w:bidi w:val="0"/>
        <w:adjustRightInd/>
        <w:spacing w:line="560" w:lineRule="exact"/>
        <w:textAlignment w:val="auto"/>
        <w:rPr>
          <w:rFonts w:ascii="楷体" w:eastAsia="楷体" w:cs="楷体" w:hint="eastAsia"/>
          <w:sz w:val="32"/>
          <w:szCs w:val="32"/>
        </w:rPr>
      </w:pPr>
      <w:r>
        <w:rPr>
          <w:rFonts w:ascii="楷体" w:eastAsia="楷体" w:cs="楷体" w:hint="eastAsia"/>
          <w:sz w:val="32"/>
          <w:szCs w:val="32"/>
        </w:rPr>
        <w:t>（二）202</w:t>
      </w:r>
      <w:r>
        <w:rPr>
          <w:rFonts w:ascii="楷体" w:eastAsia="楷体" w:cs="楷体" w:hint="eastAsia"/>
          <w:sz w:val="32"/>
          <w:szCs w:val="32"/>
          <w:lang w:val="en-US" w:eastAsia="zh-CN"/>
        </w:rPr>
        <w:t>3</w:t>
      </w:r>
      <w:r>
        <w:rPr>
          <w:rFonts w:ascii="楷体" w:eastAsia="楷体" w:cs="楷体" w:hint="eastAsia"/>
          <w:sz w:val="32"/>
          <w:szCs w:val="32"/>
        </w:rPr>
        <w:t>年重点工作</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sz w:val="32"/>
          <w:szCs w:val="32"/>
        </w:rPr>
      </w:pPr>
      <w:r>
        <w:rPr>
          <w:rFonts w:ascii="黑体" w:eastAsia="黑体" w:cs="黑体" w:hint="eastAsia"/>
          <w:sz w:val="32"/>
          <w:szCs w:val="32"/>
        </w:rPr>
        <w:t>二、部门预算单位构成</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sz w:val="32"/>
          <w:szCs w:val="32"/>
        </w:rPr>
      </w:pPr>
      <w:r>
        <w:rPr>
          <w:rFonts w:ascii="黑体" w:eastAsia="黑体" w:cs="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pacing w:line="560" w:lineRule="exact"/>
        <w:textAlignment w:val="auto"/>
        <w:rPr>
          <w:rFonts w:ascii="楷体" w:eastAsia="楷体" w:cs="楷体" w:hint="eastAsia"/>
          <w:sz w:val="32"/>
          <w:szCs w:val="32"/>
        </w:rPr>
      </w:pPr>
      <w:r>
        <w:rPr>
          <w:rFonts w:ascii="楷体" w:eastAsia="楷体" w:cs="楷体" w:hint="eastAsia"/>
          <w:sz w:val="32"/>
          <w:szCs w:val="32"/>
        </w:rPr>
        <w:t>（一）收入预算情况</w:t>
      </w:r>
    </w:p>
    <w:p>
      <w:pPr>
        <w:keepNext w:val="0"/>
        <w:keepLines w:val="0"/>
        <w:pageBreakBefore w:val="0"/>
        <w:widowControl w:val="0"/>
        <w:kinsoku/>
        <w:wordWrap/>
        <w:overflowPunct/>
        <w:topLinePunct w:val="0"/>
        <w:autoSpaceDE/>
        <w:autoSpaceDN/>
        <w:bidi w:val="0"/>
        <w:adjustRightInd/>
        <w:spacing w:line="560" w:lineRule="exact"/>
        <w:textAlignment w:val="auto"/>
        <w:rPr>
          <w:rFonts w:ascii="楷体" w:eastAsia="楷体" w:cs="楷体" w:hint="eastAsia"/>
          <w:sz w:val="32"/>
          <w:szCs w:val="32"/>
        </w:rPr>
      </w:pPr>
      <w:r>
        <w:rPr>
          <w:rFonts w:ascii="楷体" w:eastAsia="楷体" w:cs="楷体" w:hint="eastAsia"/>
          <w:sz w:val="32"/>
          <w:szCs w:val="32"/>
        </w:rPr>
        <w:t>（二）支出预算情况</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sz w:val="32"/>
          <w:szCs w:val="32"/>
        </w:rPr>
      </w:pPr>
      <w:r>
        <w:rPr>
          <w:rFonts w:ascii="黑体" w:eastAsia="黑体" w:cs="黑体" w:hint="eastAsia"/>
          <w:sz w:val="32"/>
          <w:szCs w:val="32"/>
        </w:rPr>
        <w:t>四、财政拨款收支预算情况说明</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sz w:val="32"/>
          <w:szCs w:val="32"/>
        </w:rPr>
      </w:pPr>
      <w:r>
        <w:rPr>
          <w:rFonts w:ascii="黑体" w:eastAsia="黑体" w:cs="黑体" w:hint="eastAsia"/>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pacing w:line="560" w:lineRule="exact"/>
        <w:textAlignment w:val="auto"/>
        <w:rPr>
          <w:rFonts w:ascii="楷体" w:eastAsia="楷体" w:cs="楷体" w:hint="eastAsia"/>
          <w:sz w:val="32"/>
          <w:szCs w:val="32"/>
          <w:lang w:eastAsia="zh-CN"/>
        </w:rPr>
      </w:pPr>
      <w:r>
        <w:rPr>
          <w:rFonts w:ascii="楷体" w:eastAsia="楷体" w:cs="楷体" w:hint="eastAsia"/>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pacing w:line="560" w:lineRule="exact"/>
        <w:textAlignment w:val="auto"/>
        <w:rPr>
          <w:rFonts w:ascii="楷体" w:eastAsia="楷体" w:cs="楷体" w:hint="eastAsia"/>
          <w:sz w:val="32"/>
          <w:szCs w:val="32"/>
          <w:lang w:eastAsia="zh-CN"/>
        </w:rPr>
      </w:pPr>
      <w:r>
        <w:rPr>
          <w:rFonts w:ascii="楷体" w:eastAsia="楷体" w:cs="楷体" w:hint="eastAsia"/>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pacing w:line="560" w:lineRule="exact"/>
        <w:textAlignment w:val="auto"/>
        <w:rPr>
          <w:rFonts w:ascii="楷体" w:eastAsia="楷体" w:cs="楷体" w:hint="eastAsia"/>
          <w:sz w:val="32"/>
          <w:szCs w:val="32"/>
          <w:lang w:eastAsia="zh-CN"/>
        </w:rPr>
      </w:pPr>
      <w:r>
        <w:rPr>
          <w:rFonts w:ascii="楷体" w:eastAsia="楷体" w:cs="楷体" w:hint="eastAsia"/>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sz w:val="32"/>
          <w:szCs w:val="32"/>
          <w:lang w:eastAsia="zh-CN"/>
        </w:rPr>
      </w:pPr>
      <w:r>
        <w:rPr>
          <w:rFonts w:ascii="黑体" w:eastAsia="黑体" w:cs="黑体" w:hint="eastAsia"/>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sz w:val="32"/>
          <w:szCs w:val="32"/>
          <w:lang w:eastAsia="zh-CN"/>
        </w:rPr>
      </w:pPr>
      <w:r>
        <w:rPr>
          <w:rFonts w:ascii="黑体" w:eastAsia="黑体" w:cs="黑体" w:hint="eastAsia"/>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sz w:val="32"/>
          <w:szCs w:val="32"/>
          <w:lang w:eastAsia="zh-CN"/>
        </w:rPr>
      </w:pPr>
      <w:r>
        <w:rPr>
          <w:rFonts w:ascii="黑体" w:eastAsia="黑体" w:cs="黑体" w:hint="eastAsia"/>
          <w:sz w:val="32"/>
          <w:szCs w:val="32"/>
        </w:rPr>
        <w:t>八、政府性基金预算支出情况说明</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sz w:val="32"/>
          <w:szCs w:val="32"/>
          <w:lang w:eastAsia="zh-CN"/>
        </w:rPr>
      </w:pPr>
      <w:r>
        <w:rPr>
          <w:rFonts w:ascii="黑体" w:eastAsia="黑体" w:cs="黑体" w:hint="eastAsia"/>
          <w:sz w:val="32"/>
          <w:szCs w:val="32"/>
        </w:rPr>
        <w:t>九、其他重要事项的情况说明</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sz w:val="32"/>
          <w:szCs w:val="32"/>
        </w:rPr>
      </w:pPr>
      <w:r>
        <w:rPr>
          <w:rFonts w:ascii="黑体" w:eastAsia="黑体" w:cs="黑体" w:hint="eastAsia"/>
          <w:sz w:val="32"/>
          <w:szCs w:val="32"/>
        </w:rPr>
        <w:t>十、名称解释</w:t>
      </w:r>
    </w:p>
    <w:p>
      <w:pPr>
        <w:keepNext w:val="0"/>
        <w:keepLines w:val="0"/>
        <w:pageBreakBefore w:val="0"/>
        <w:widowControl w:val="0"/>
        <w:kinsoku/>
        <w:wordWrap/>
        <w:overflowPunct/>
        <w:topLinePunct w:val="0"/>
        <w:autoSpaceDE/>
        <w:autoSpaceDN/>
        <w:bidi w:val="0"/>
        <w:adjustRightInd/>
        <w:spacing w:line="560" w:lineRule="exact"/>
        <w:textAlignment w:val="auto"/>
        <w:rPr>
          <w:rFonts w:ascii="仿宋_GB2312" w:eastAsia="仿宋_GB2312" w:cs="仿宋_GB2312" w:hint="eastAsia"/>
          <w:sz w:val="32"/>
          <w:szCs w:val="32"/>
        </w:rPr>
      </w:pPr>
    </w:p>
    <w:p>
      <w:pPr>
        <w:keepNext w:val="0"/>
        <w:keepLines w:val="0"/>
        <w:pageBreakBefore w:val="0"/>
        <w:widowControl/>
        <w:shd w:val="clear" w:color="auto" w:fill="FFFFFF"/>
        <w:kinsoku/>
        <w:wordWrap/>
        <w:overflowPunct/>
        <w:topLinePunct w:val="0"/>
        <w:autoSpaceDE/>
        <w:autoSpaceDN/>
        <w:bidi w:val="0"/>
        <w:adjustRightInd/>
        <w:spacing w:before="100" w:beforeAutospacing="1" w:after="100" w:afterAutospacing="1" w:line="560" w:lineRule="exact"/>
        <w:ind w:right="300"/>
        <w:jc w:val="left"/>
        <w:textAlignment w:val="auto"/>
        <w:rPr>
          <w:rFonts w:ascii="黑体" w:eastAsia="黑体" w:cs="黑体" w:hint="eastAsia"/>
          <w:kern w:val="0"/>
          <w:sz w:val="32"/>
          <w:szCs w:val="32"/>
        </w:rPr>
      </w:pPr>
    </w:p>
    <w:p>
      <w:pPr>
        <w:pStyle w:val="18"/>
        <w:keepNext w:val="0"/>
        <w:keepLines w:val="0"/>
        <w:pageBreakBefore w:val="0"/>
        <w:widowControl w:val="0"/>
        <w:kinsoku/>
        <w:wordWrap/>
        <w:overflowPunct/>
        <w:topLinePunct w:val="0"/>
        <w:autoSpaceDE/>
        <w:autoSpaceDN/>
        <w:bidi w:val="0"/>
        <w:adjustRightInd/>
        <w:spacing w:line="560" w:lineRule="exact"/>
        <w:ind w:firstLineChars="0" w:firstLine="0"/>
        <w:textAlignment w:val="auto"/>
        <w:rPr>
          <w:rFonts w:ascii="黑体" w:eastAsia="黑体" w:cs="黑体" w:hint="eastAsia"/>
          <w:sz w:val="32"/>
          <w:szCs w:val="32"/>
        </w:rPr>
      </w:pPr>
      <w:r>
        <w:rPr>
          <w:rFonts w:ascii="黑体" w:eastAsia="黑体" w:cs="黑体" w:hint="eastAsia"/>
          <w:sz w:val="32"/>
          <w:szCs w:val="32"/>
        </w:rPr>
        <w:t>一、基本职能及主要工作</w:t>
      </w:r>
    </w:p>
    <w:p>
      <w:pPr>
        <w:keepNext w:val="0"/>
        <w:keepLines w:val="0"/>
        <w:pageBreakBefore w:val="0"/>
        <w:widowControl w:val="0"/>
        <w:numPr>
          <w:ilvl w:val="0"/>
          <w:numId w:val="1"/>
        </w:numPr>
        <w:kinsoku/>
        <w:wordWrap/>
        <w:overflowPunct/>
        <w:topLinePunct w:val="0"/>
        <w:autoSpaceDE/>
        <w:autoSpaceDN/>
        <w:bidi w:val="0"/>
        <w:adjustRightInd/>
        <w:spacing w:line="560" w:lineRule="exact"/>
        <w:textAlignment w:val="auto"/>
        <w:rPr>
          <w:rFonts w:ascii="楷体" w:eastAsia="楷体" w:cs="楷体" w:hint="eastAsia"/>
          <w:sz w:val="32"/>
          <w:szCs w:val="32"/>
        </w:rPr>
      </w:pPr>
      <w:r>
        <w:rPr>
          <w:rFonts w:ascii="楷体" w:eastAsia="楷体" w:cs="楷体" w:hint="eastAsia"/>
          <w:sz w:val="32"/>
          <w:szCs w:val="32"/>
        </w:rPr>
        <w:t>部门职能简介</w:t>
      </w:r>
    </w:p>
    <w:p>
      <w:pPr>
        <w:pStyle w:val="17"/>
        <w:keepNext w:val="0"/>
        <w:keepLines w:val="0"/>
        <w:pageBreakBefore w:val="0"/>
        <w:widowControl/>
        <w:suppressLineNumbers w:val="0"/>
        <w:shd w:val="clear" w:color="auto" w:fill="FFFFFF"/>
        <w:kinsoku/>
        <w:wordWrap/>
        <w:overflowPunct/>
        <w:topLinePunct w:val="0"/>
        <w:autoSpaceDE/>
        <w:autoSpaceDN/>
        <w:bidi w:val="0"/>
        <w:adjustRightInd/>
        <w:snapToGrid w:val="0"/>
        <w:spacing w:beforeAutospacing="0" w:afterAutospacing="0" w:line="560" w:lineRule="exact"/>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color w:val="000000"/>
          <w:kern w:val="0"/>
          <w:sz w:val="32"/>
          <w:szCs w:val="32"/>
        </w:rPr>
        <w:t>阿坝州政府大数据中心</w:t>
      </w:r>
      <w:r>
        <w:rPr>
          <w:rFonts w:ascii="仿宋_GB2312" w:eastAsia="仿宋_GB2312" w:cs="仿宋_GB2312" w:hint="eastAsia"/>
          <w:sz w:val="32"/>
          <w:szCs w:val="32"/>
        </w:rPr>
        <w:t>主要承担全州大数据和电子政务工作的规划、管理、统筹、协调和推进等职责。</w:t>
      </w:r>
    </w:p>
    <w:p>
      <w:pPr>
        <w:keepNext w:val="0"/>
        <w:keepLines w:val="0"/>
        <w:pageBreakBefore w:val="0"/>
        <w:widowControl w:val="0"/>
        <w:kinsoku/>
        <w:wordWrap/>
        <w:overflowPunct/>
        <w:topLinePunct w:val="0"/>
        <w:autoSpaceDE/>
        <w:autoSpaceDN/>
        <w:bidi w:val="0"/>
        <w:adjustRightInd/>
        <w:spacing w:line="560" w:lineRule="exact"/>
        <w:textAlignment w:val="auto"/>
        <w:rPr>
          <w:rFonts w:ascii="楷体" w:eastAsia="楷体" w:cs="楷体" w:hint="eastAsia"/>
          <w:sz w:val="32"/>
          <w:szCs w:val="32"/>
        </w:rPr>
      </w:pPr>
      <w:r>
        <w:rPr>
          <w:rFonts w:ascii="楷体" w:eastAsia="楷体" w:cs="楷体" w:hint="eastAsia"/>
          <w:sz w:val="32"/>
          <w:szCs w:val="32"/>
        </w:rPr>
        <w:t>（二）202</w:t>
      </w:r>
      <w:r>
        <w:rPr>
          <w:rFonts w:ascii="楷体" w:eastAsia="楷体" w:cs="楷体" w:hint="eastAsia"/>
          <w:sz w:val="32"/>
          <w:szCs w:val="32"/>
          <w:lang w:val="en-US" w:eastAsia="zh-CN"/>
        </w:rPr>
        <w:t>3</w:t>
      </w:r>
      <w:r>
        <w:rPr>
          <w:rFonts w:ascii="楷体" w:eastAsia="楷体" w:cs="楷体" w:hint="eastAsia"/>
          <w:sz w:val="32"/>
          <w:szCs w:val="32"/>
        </w:rPr>
        <w:t>年重点工作</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2023年，</w:t>
      </w:r>
      <w:r>
        <w:rPr>
          <w:rFonts w:ascii="仿宋_GB2312" w:eastAsia="仿宋_GB2312" w:cs="仿宋_GB2312" w:hint="eastAsia"/>
          <w:sz w:val="32"/>
          <w:szCs w:val="32"/>
        </w:rPr>
        <w:t>州大数据中心将全面宣传贯彻落实党的二十大精神，以习近平新时代中国特色社会主义思想为指引，紧紧围绕州委、州政府的中心工作，聚焦薄弱环节和突出问题，努力提升政务服务质量。</w:t>
      </w:r>
    </w:p>
    <w:p>
      <w:pPr>
        <w:keepNext w:val="0"/>
        <w:keepLines w:val="0"/>
        <w:pageBreakBefore w:val="0"/>
        <w:widowControl w:val="0"/>
        <w:numPr>
          <w:ilvl w:val="0"/>
          <w:numId w:val="2"/>
        </w:numPr>
        <w:kinsoku/>
        <w:wordWrap/>
        <w:overflowPunct/>
        <w:topLinePunct w:val="0"/>
        <w:autoSpaceDE/>
        <w:autoSpaceDN/>
        <w:bidi w:val="0"/>
        <w:adjustRightInd/>
        <w:spacing w:line="560" w:lineRule="exact"/>
        <w:ind w:left="0"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着力强化数字政府统筹建设。全面梳理全州信息化和平台建设资源情况，坚持整合与提升理念，围绕州委州政府中心工作，按轻重缓急原则，系统谋划与推动一批具有前瞻性、解决实际问题的项目建设，统筹推进数字政府和智慧城市一体化建设。一是高标准建设“阿坝州惠企政策直达”“阿坝州政务信息化项目管理平台”“阿坝州社会信用信息平台”。二是修订完善政务信息化项目建设管理办法。三是强化对部门信息化建设项目需求前置审核与把关。</w:t>
      </w:r>
    </w:p>
    <w:p>
      <w:pPr>
        <w:keepNext w:val="0"/>
        <w:keepLines w:val="0"/>
        <w:pageBreakBefore w:val="0"/>
        <w:widowControl w:val="0"/>
        <w:numPr>
          <w:ilvl w:val="0"/>
          <w:numId w:val="2"/>
        </w:numPr>
        <w:kinsoku/>
        <w:wordWrap/>
        <w:overflowPunct/>
        <w:topLinePunct w:val="0"/>
        <w:autoSpaceDE/>
        <w:autoSpaceDN/>
        <w:bidi w:val="0"/>
        <w:adjustRightInd/>
        <w:spacing w:line="560" w:lineRule="exact"/>
        <w:ind w:left="0"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着力提升数据开放水平。优化大数据管理与应用机制，构建数据规范化与标准化体系，优化数据目录、数据发布与数据订阅等机制，激活主动申请数据服务。深入分析全州数据资源，全面梳理与调研全州数据应用潜在共性需求，主动推出一批大数据主题应用，提升大数据应用能级，高质量完成大数据平台升级在建项目。大力推动“可利用”公共数据有序开放，鼓励支持个人和企业利用阿坝州公共数据开放平台进行深入挖掘和大数据综合分析。</w:t>
      </w:r>
    </w:p>
    <w:p>
      <w:pPr>
        <w:keepNext w:val="0"/>
        <w:keepLines w:val="0"/>
        <w:pageBreakBefore w:val="0"/>
        <w:widowControl w:val="0"/>
        <w:kinsoku/>
        <w:wordWrap/>
        <w:overflowPunct/>
        <w:topLinePunct w:val="0"/>
        <w:autoSpaceDE/>
        <w:autoSpaceDN/>
        <w:bidi w:val="0"/>
        <w:adjustRightInd/>
        <w:snapToGrid/>
        <w:spacing w:line="540" w:lineRule="exact"/>
        <w:ind w:left="0"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eastAsia="zh-CN"/>
        </w:rPr>
        <w:t>）</w:t>
      </w:r>
      <w:r>
        <w:rPr>
          <w:rFonts w:ascii="仿宋_GB2312" w:eastAsia="仿宋_GB2312" w:cs="仿宋_GB2312" w:hint="eastAsia"/>
          <w:sz w:val="32"/>
          <w:szCs w:val="32"/>
        </w:rPr>
        <w:t>着力深化政务公开工作。一是加强重点领域信息公开，深化政府信息资源管理，提高主动公开内容的精准度、覆盖率和时效性，加强政府规章和规范性文件等信息的集中统一公开和动态更新，确保法定内容充实、分类规范准确。二是切实推进公开平台载体建设。不断完善政府网站、政务新媒体和政府公报管理机制，严格落实信息发布“三审”制度，创新推进平台融合发展。三是大力提升基层政府信息公开水平。压紧压实基层政府信息发布的主体责任，督促县（市）政府和部门加强指导，帮助解决实际困难和问题，快速提升政府信息公开质量，不断增强群众获得感、提升社会满意度</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黑体" w:eastAsia="黑体" w:cs="黑体" w:hint="eastAsia"/>
          <w:sz w:val="32"/>
          <w:szCs w:val="32"/>
        </w:rPr>
      </w:pPr>
      <w:r>
        <w:rPr>
          <w:rFonts w:ascii="黑体" w:eastAsia="黑体" w:cs="黑体" w:hint="eastAsia"/>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预算单位“</w:t>
      </w:r>
      <w:r>
        <w:rPr>
          <w:rFonts w:ascii="仿宋_GB2312" w:eastAsia="仿宋_GB2312" w:cs="仿宋_GB2312" w:hint="eastAsia"/>
          <w:sz w:val="32"/>
          <w:szCs w:val="32"/>
          <w:lang w:eastAsia="zh-CN"/>
        </w:rPr>
        <w:t>阿坝</w:t>
      </w:r>
      <w:r>
        <w:rPr>
          <w:rFonts w:ascii="仿宋_GB2312" w:eastAsia="仿宋_GB2312" w:cs="仿宋_GB2312" w:hint="eastAsia"/>
          <w:sz w:val="32"/>
          <w:szCs w:val="32"/>
        </w:rPr>
        <w:t>州</w:t>
      </w:r>
      <w:r>
        <w:rPr>
          <w:rFonts w:ascii="仿宋_GB2312" w:eastAsia="仿宋_GB2312" w:cs="仿宋_GB2312" w:hint="eastAsia"/>
          <w:sz w:val="32"/>
          <w:szCs w:val="32"/>
          <w:lang w:eastAsia="zh-CN"/>
        </w:rPr>
        <w:t>大数据中心</w:t>
      </w:r>
      <w:r>
        <w:rPr>
          <w:rFonts w:ascii="仿宋_GB2312" w:eastAsia="仿宋_GB2312" w:cs="仿宋_GB2312" w:hint="eastAsia"/>
          <w:sz w:val="32"/>
          <w:szCs w:val="32"/>
        </w:rPr>
        <w:t>”为州政府直属事业单位，</w:t>
      </w:r>
      <w:r>
        <w:rPr>
          <w:rFonts w:ascii="仿宋_GB2312" w:eastAsia="仿宋_GB2312" w:cs="仿宋_GB2312" w:hint="eastAsia"/>
          <w:sz w:val="32"/>
          <w:szCs w:val="32"/>
          <w:lang w:eastAsia="zh-CN"/>
        </w:rPr>
        <w:t>独立编制机构数共</w:t>
      </w:r>
      <w:r>
        <w:rPr>
          <w:rFonts w:ascii="仿宋_GB2312" w:eastAsia="仿宋_GB2312" w:cs="仿宋_GB2312" w:hint="eastAsia"/>
          <w:sz w:val="32"/>
          <w:szCs w:val="32"/>
          <w:lang w:val="en-US"/>
        </w:rPr>
        <w:t>2</w:t>
      </w:r>
      <w:r>
        <w:rPr>
          <w:rFonts w:ascii="仿宋_GB2312" w:eastAsia="仿宋_GB2312" w:cs="仿宋_GB2312" w:hint="eastAsia"/>
          <w:sz w:val="32"/>
          <w:szCs w:val="32"/>
          <w:lang w:eastAsia="zh-CN"/>
        </w:rPr>
        <w:t>个，独立核算机构</w:t>
      </w:r>
      <w:r>
        <w:rPr>
          <w:rFonts w:ascii="仿宋_GB2312" w:eastAsia="仿宋_GB2312" w:cs="仿宋_GB2312" w:hint="eastAsia"/>
          <w:sz w:val="32"/>
          <w:szCs w:val="32"/>
          <w:lang w:val="en-US"/>
        </w:rPr>
        <w:t>1</w:t>
      </w:r>
      <w:r>
        <w:rPr>
          <w:rFonts w:ascii="仿宋_GB2312" w:eastAsia="仿宋_GB2312" w:cs="仿宋_GB2312" w:hint="eastAsia"/>
          <w:sz w:val="32"/>
          <w:szCs w:val="32"/>
          <w:lang w:eastAsia="zh-CN"/>
        </w:rPr>
        <w:t>个，</w:t>
      </w:r>
      <w:r>
        <w:rPr>
          <w:rFonts w:ascii="仿宋_GB2312" w:eastAsia="仿宋_GB2312" w:cs="仿宋_GB2312" w:hint="eastAsia"/>
          <w:sz w:val="32"/>
          <w:szCs w:val="32"/>
        </w:rPr>
        <w:t>实行统一部门预算。</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黑体" w:eastAsia="黑体" w:cs="黑体" w:hint="eastAsia"/>
          <w:sz w:val="32"/>
          <w:szCs w:val="32"/>
          <w:lang w:val="en-US" w:eastAsia="zh-CN"/>
        </w:rPr>
      </w:pPr>
      <w:r>
        <w:rPr>
          <w:rFonts w:ascii="黑体" w:eastAsia="黑体" w:cs="黑体" w:hint="eastAsia"/>
          <w:sz w:val="32"/>
          <w:szCs w:val="32"/>
          <w:lang w:eastAsia="zh-CN"/>
        </w:rPr>
        <w:t>三、</w:t>
      </w:r>
      <w:r>
        <w:rPr>
          <w:rFonts w:ascii="黑体" w:eastAsia="黑体" w:cs="黑体" w:hint="eastAsia"/>
          <w:sz w:val="32"/>
          <w:szCs w:val="32"/>
        </w:rPr>
        <w:t>预算情况说明</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按照综合预算的原则，</w:t>
      </w:r>
      <w:r>
        <w:rPr>
          <w:rFonts w:ascii="仿宋_GB2312" w:eastAsia="仿宋_GB2312" w:cs="仿宋_GB2312" w:hint="eastAsia"/>
          <w:sz w:val="32"/>
          <w:szCs w:val="32"/>
          <w:lang w:eastAsia="zh-CN"/>
        </w:rPr>
        <w:t>本</w:t>
      </w:r>
      <w:r>
        <w:rPr>
          <w:rFonts w:ascii="仿宋_GB2312" w:eastAsia="仿宋_GB2312" w:cs="仿宋_GB2312" w:hint="eastAsia"/>
          <w:sz w:val="32"/>
          <w:szCs w:val="32"/>
        </w:rPr>
        <w:t>单位所有收入和支出均纳入部门预算管理。202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年收</w:t>
      </w:r>
      <w:r>
        <w:rPr>
          <w:rFonts w:ascii="仿宋_GB2312" w:eastAsia="仿宋_GB2312" w:cs="仿宋_GB2312" w:hint="eastAsia"/>
          <w:sz w:val="32"/>
          <w:szCs w:val="32"/>
          <w:lang w:eastAsia="zh-CN"/>
        </w:rPr>
        <w:t>支总</w:t>
      </w:r>
      <w:r>
        <w:rPr>
          <w:rFonts w:ascii="仿宋_GB2312" w:eastAsia="仿宋_GB2312" w:cs="仿宋_GB2312" w:hint="eastAsia"/>
          <w:sz w:val="32"/>
          <w:szCs w:val="32"/>
        </w:rPr>
        <w:t>预算</w:t>
      </w:r>
      <w:r>
        <w:rPr>
          <w:rFonts w:ascii="仿宋_GB2312" w:eastAsia="仿宋_GB2312" w:cs="仿宋_GB2312" w:hint="eastAsia"/>
          <w:sz w:val="32"/>
          <w:szCs w:val="32"/>
          <w:lang w:val="en-US" w:eastAsia="zh-CN"/>
        </w:rPr>
        <w:t>2,777.05万元，较上年增加384.92万元</w:t>
      </w:r>
      <w:r>
        <w:rPr>
          <w:rFonts w:ascii="仿宋_GB2312" w:eastAsia="仿宋_GB2312" w:cs="仿宋_GB2312" w:hint="eastAsia"/>
          <w:sz w:val="32"/>
          <w:szCs w:val="32"/>
        </w:rPr>
        <w:t>,</w:t>
      </w:r>
      <w:r>
        <w:rPr>
          <w:rFonts w:ascii="仿宋_GB2312" w:eastAsia="仿宋_GB2312" w:cs="仿宋_GB2312" w:hint="eastAsia"/>
          <w:sz w:val="32"/>
          <w:szCs w:val="32"/>
          <w:lang w:eastAsia="zh-CN"/>
        </w:rPr>
        <w:t>增长</w:t>
      </w:r>
      <w:r>
        <w:rPr>
          <w:rFonts w:ascii="仿宋_GB2312" w:eastAsia="仿宋_GB2312" w:cs="仿宋_GB2312" w:hint="eastAsia"/>
          <w:sz w:val="32"/>
          <w:szCs w:val="32"/>
          <w:lang w:val="en-US" w:eastAsia="zh-CN"/>
        </w:rPr>
        <w:t>16.09%，</w:t>
      </w:r>
      <w:r>
        <w:rPr>
          <w:rFonts w:ascii="仿宋_GB2312" w:eastAsia="仿宋_GB2312" w:cs="仿宋_GB2312" w:hint="eastAsia"/>
          <w:sz w:val="32"/>
          <w:szCs w:val="32"/>
        </w:rPr>
        <w:t>主要原因为</w:t>
      </w:r>
      <w:r>
        <w:rPr>
          <w:rFonts w:ascii="仿宋_GB2312" w:eastAsia="仿宋_GB2312" w:cs="仿宋_GB2312" w:hint="eastAsia"/>
          <w:sz w:val="32"/>
          <w:szCs w:val="32"/>
          <w:lang w:val="en-US" w:eastAsia="zh-CN"/>
        </w:rPr>
        <w:t>项目经费增加。</w:t>
      </w:r>
      <w:r>
        <w:rPr>
          <w:rFonts w:ascii="仿宋_GB2312" w:eastAsia="仿宋_GB2312" w:cs="仿宋_GB2312" w:hint="eastAsia"/>
          <w:sz w:val="32"/>
          <w:szCs w:val="32"/>
        </w:rPr>
        <w:t>收入包括：一般公共预算拨款收</w:t>
      </w:r>
      <w:r>
        <w:rPr>
          <w:rFonts w:ascii="仿宋_GB2312" w:eastAsia="仿宋_GB2312" w:cs="仿宋_GB2312" w:hint="eastAsia"/>
          <w:sz w:val="32"/>
          <w:szCs w:val="32"/>
          <w:lang w:eastAsia="zh-CN"/>
        </w:rPr>
        <w:t>入</w:t>
      </w:r>
      <w:r>
        <w:rPr>
          <w:rFonts w:ascii="仿宋_GB2312" w:eastAsia="仿宋_GB2312" w:cs="仿宋_GB2312" w:hint="eastAsia"/>
          <w:sz w:val="32"/>
          <w:szCs w:val="32"/>
          <w:lang w:val="en-US" w:eastAsia="zh-CN"/>
        </w:rPr>
        <w:t>2,777.05</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r>
        <w:rPr>
          <w:rFonts w:ascii="仿宋_GB2312" w:eastAsia="仿宋_GB2312" w:cs="仿宋_GB2312" w:hint="eastAsia"/>
          <w:color w:val="auto"/>
          <w:sz w:val="32"/>
          <w:szCs w:val="32"/>
          <w:lang w:val="en-US" w:eastAsia="zh-CN"/>
        </w:rPr>
        <w:t>支</w:t>
      </w:r>
      <w:r>
        <w:rPr>
          <w:rFonts w:ascii="仿宋_GB2312" w:eastAsia="仿宋_GB2312" w:cs="仿宋_GB2312" w:hint="eastAsia"/>
          <w:sz w:val="32"/>
          <w:szCs w:val="32"/>
        </w:rPr>
        <w:t>出包括：一般公共服务支出2</w:t>
      </w:r>
      <w:r>
        <w:rPr>
          <w:rFonts w:ascii="仿宋_GB2312" w:eastAsia="仿宋_GB2312" w:cs="仿宋_GB2312" w:hint="eastAsia"/>
          <w:sz w:val="32"/>
          <w:szCs w:val="32"/>
          <w:lang w:val="en-US" w:eastAsia="zh-CN"/>
        </w:rPr>
        <w:t>,616.99</w:t>
      </w:r>
      <w:r>
        <w:rPr>
          <w:rFonts w:ascii="仿宋_GB2312" w:eastAsia="仿宋_GB2312" w:cs="仿宋_GB2312" w:hint="eastAsia"/>
          <w:sz w:val="32"/>
          <w:szCs w:val="32"/>
        </w:rPr>
        <w:t>万元，社会保障和就业支出</w:t>
      </w:r>
      <w:r>
        <w:rPr>
          <w:rFonts w:ascii="仿宋_GB2312" w:eastAsia="仿宋_GB2312" w:cs="仿宋_GB2312" w:hint="eastAsia"/>
          <w:sz w:val="32"/>
          <w:szCs w:val="32"/>
          <w:lang w:val="en-US" w:eastAsia="zh-CN"/>
        </w:rPr>
        <w:t>78.08</w:t>
      </w:r>
      <w:r>
        <w:rPr>
          <w:rFonts w:ascii="仿宋_GB2312" w:eastAsia="仿宋_GB2312" w:cs="仿宋_GB2312" w:hint="eastAsia"/>
          <w:sz w:val="32"/>
          <w:szCs w:val="32"/>
        </w:rPr>
        <w:t>万元，卫生健康支出</w:t>
      </w:r>
      <w:r>
        <w:rPr>
          <w:rFonts w:ascii="仿宋_GB2312" w:eastAsia="仿宋_GB2312" w:cs="仿宋_GB2312" w:hint="eastAsia"/>
          <w:sz w:val="32"/>
          <w:szCs w:val="32"/>
          <w:lang w:val="en-US" w:eastAsia="zh-CN"/>
        </w:rPr>
        <w:t>34.25</w:t>
      </w:r>
      <w:r>
        <w:rPr>
          <w:rFonts w:ascii="仿宋_GB2312" w:eastAsia="仿宋_GB2312" w:cs="仿宋_GB2312" w:hint="eastAsia"/>
          <w:sz w:val="32"/>
          <w:szCs w:val="32"/>
        </w:rPr>
        <w:t>万元，住房保障支出</w:t>
      </w:r>
      <w:r>
        <w:rPr>
          <w:rFonts w:ascii="仿宋_GB2312" w:eastAsia="仿宋_GB2312" w:cs="仿宋_GB2312" w:hint="eastAsia"/>
          <w:sz w:val="32"/>
          <w:szCs w:val="32"/>
          <w:lang w:val="en-US" w:eastAsia="zh-CN"/>
        </w:rPr>
        <w:t>47.73</w:t>
      </w:r>
      <w:r>
        <w:rPr>
          <w:rFonts w:ascii="仿宋_GB2312" w:eastAsia="仿宋_GB2312" w:cs="仿宋_GB2312" w:hint="eastAsia"/>
          <w:sz w:val="32"/>
          <w:szCs w:val="32"/>
        </w:rPr>
        <w:t>万元。</w:t>
      </w:r>
    </w:p>
    <w:p>
      <w:pPr>
        <w:keepNext w:val="0"/>
        <w:keepLines w:val="0"/>
        <w:pageBreakBefore w:val="0"/>
        <w:widowControl w:val="0"/>
        <w:tabs>
          <w:tab w:val="left" w:pos="0"/>
        </w:tabs>
        <w:kinsoku/>
        <w:wordWrap/>
        <w:overflowPunct/>
        <w:topLinePunct w:val="0"/>
        <w:autoSpaceDE/>
        <w:autoSpaceDN/>
        <w:bidi w:val="0"/>
        <w:adjustRightInd/>
        <w:snapToGrid/>
        <w:spacing w:line="540" w:lineRule="exact"/>
        <w:ind w:firstLineChars="200" w:firstLine="640"/>
        <w:textAlignment w:val="auto"/>
        <w:rPr>
          <w:rFonts w:ascii="楷体" w:eastAsia="楷体" w:cs="楷体" w:hint="eastAsia"/>
          <w:b/>
          <w:bCs/>
          <w:sz w:val="32"/>
          <w:szCs w:val="32"/>
        </w:rPr>
      </w:pPr>
      <w:r>
        <w:rPr>
          <w:rFonts w:ascii="楷体" w:eastAsia="楷体" w:cs="楷体" w:hint="eastAsia"/>
          <w:b/>
          <w:bCs/>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本</w:t>
      </w:r>
      <w:r>
        <w:rPr>
          <w:rFonts w:ascii="仿宋_GB2312" w:eastAsia="仿宋_GB2312" w:cs="仿宋_GB2312" w:hint="eastAsia"/>
          <w:sz w:val="32"/>
          <w:szCs w:val="32"/>
        </w:rPr>
        <w:t>单位202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年收入预算</w:t>
      </w:r>
      <w:r>
        <w:rPr>
          <w:rFonts w:ascii="仿宋_GB2312" w:eastAsia="仿宋_GB2312" w:cs="仿宋_GB2312" w:hint="eastAsia"/>
          <w:sz w:val="32"/>
          <w:szCs w:val="32"/>
          <w:lang w:val="en-US" w:eastAsia="zh-CN"/>
        </w:rPr>
        <w:t>2,777.05</w:t>
      </w:r>
      <w:r>
        <w:rPr>
          <w:rFonts w:ascii="仿宋_GB2312" w:eastAsia="仿宋_GB2312" w:cs="仿宋_GB2312" w:hint="eastAsia"/>
          <w:sz w:val="32"/>
          <w:szCs w:val="32"/>
        </w:rPr>
        <w:t>万元，一般公共预算拨款收入</w:t>
      </w:r>
      <w:r>
        <w:rPr>
          <w:rFonts w:ascii="仿宋_GB2312" w:eastAsia="仿宋_GB2312" w:cs="仿宋_GB2312" w:hint="eastAsia"/>
          <w:sz w:val="32"/>
          <w:szCs w:val="32"/>
          <w:lang w:val="en-US" w:eastAsia="zh-CN"/>
        </w:rPr>
        <w:t>2,777.05</w:t>
      </w:r>
      <w:r>
        <w:rPr>
          <w:rFonts w:ascii="仿宋_GB2312" w:eastAsia="仿宋_GB2312" w:cs="仿宋_GB2312" w:hint="eastAsia"/>
          <w:sz w:val="32"/>
          <w:szCs w:val="32"/>
        </w:rPr>
        <w:t>万元，占</w:t>
      </w:r>
      <w:r>
        <w:rPr>
          <w:rFonts w:ascii="仿宋_GB2312" w:eastAsia="仿宋_GB2312" w:cs="仿宋_GB2312" w:hint="eastAsia"/>
          <w:sz w:val="32"/>
          <w:szCs w:val="32"/>
          <w:lang w:eastAsia="zh-CN"/>
        </w:rPr>
        <w:t>收入的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w:t>
      </w:r>
    </w:p>
    <w:p>
      <w:pPr>
        <w:keepNext w:val="0"/>
        <w:keepLines w:val="0"/>
        <w:pageBreakBefore w:val="0"/>
        <w:widowControl w:val="0"/>
        <w:tabs>
          <w:tab w:val="left" w:pos="0"/>
        </w:tabs>
        <w:kinsoku/>
        <w:wordWrap/>
        <w:overflowPunct/>
        <w:topLinePunct w:val="0"/>
        <w:autoSpaceDE/>
        <w:autoSpaceDN/>
        <w:bidi w:val="0"/>
        <w:adjustRightInd/>
        <w:snapToGrid/>
        <w:spacing w:line="540" w:lineRule="exact"/>
        <w:ind w:firstLineChars="200" w:firstLine="640"/>
        <w:textAlignment w:val="auto"/>
        <w:rPr>
          <w:rFonts w:ascii="楷体" w:eastAsia="楷体" w:cs="楷体" w:hint="eastAsia"/>
          <w:b/>
          <w:bCs/>
          <w:sz w:val="32"/>
          <w:szCs w:val="32"/>
        </w:rPr>
      </w:pPr>
      <w:r>
        <w:rPr>
          <w:rFonts w:ascii="楷体" w:eastAsia="楷体" w:cs="楷体" w:hint="eastAsia"/>
          <w:b/>
          <w:bCs/>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本</w:t>
      </w:r>
      <w:r>
        <w:rPr>
          <w:rFonts w:ascii="仿宋_GB2312" w:eastAsia="仿宋_GB2312" w:cs="仿宋_GB2312" w:hint="eastAsia"/>
          <w:kern w:val="0"/>
          <w:sz w:val="32"/>
          <w:szCs w:val="32"/>
        </w:rPr>
        <w:t>单位</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年支出预算</w:t>
      </w:r>
      <w:r>
        <w:rPr>
          <w:rFonts w:ascii="仿宋_GB2312" w:eastAsia="仿宋_GB2312" w:cs="仿宋_GB2312" w:hint="eastAsia"/>
          <w:sz w:val="32"/>
          <w:szCs w:val="32"/>
          <w:lang w:val="en-US" w:eastAsia="zh-CN"/>
        </w:rPr>
        <w:t>2,777.05</w:t>
      </w:r>
      <w:r>
        <w:rPr>
          <w:rFonts w:ascii="仿宋_GB2312" w:eastAsia="仿宋_GB2312" w:cs="仿宋_GB2312" w:hint="eastAsia"/>
          <w:sz w:val="32"/>
          <w:szCs w:val="32"/>
        </w:rPr>
        <w:t>万元，其中：基本支出</w:t>
      </w:r>
      <w:r>
        <w:rPr>
          <w:rFonts w:ascii="仿宋_GB2312" w:eastAsia="仿宋_GB2312" w:cs="仿宋_GB2312" w:hint="eastAsia"/>
          <w:sz w:val="32"/>
          <w:szCs w:val="32"/>
          <w:lang w:val="en-US" w:eastAsia="zh-CN"/>
        </w:rPr>
        <w:t>569.33</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20.5</w:t>
      </w:r>
      <w:r>
        <w:rPr>
          <w:rFonts w:ascii="仿宋_GB2312" w:eastAsia="仿宋_GB2312" w:cs="仿宋_GB2312" w:hint="eastAsia"/>
          <w:sz w:val="32"/>
          <w:szCs w:val="32"/>
        </w:rPr>
        <w:t>%；项目支出</w:t>
      </w:r>
      <w:r>
        <w:rPr>
          <w:rFonts w:ascii="仿宋_GB2312" w:eastAsia="仿宋_GB2312" w:cs="仿宋_GB2312" w:hint="eastAsia"/>
          <w:sz w:val="32"/>
          <w:szCs w:val="32"/>
          <w:lang w:val="en-US" w:eastAsia="zh-CN"/>
        </w:rPr>
        <w:t>2,207.72</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79.5</w:t>
      </w:r>
      <w:r>
        <w:rPr>
          <w:rFonts w:ascii="仿宋_GB2312" w:eastAsia="仿宋_GB2312" w:cs="仿宋_GB2312" w:hint="eastAsia"/>
          <w:sz w:val="32"/>
          <w:szCs w:val="32"/>
        </w:rPr>
        <w:t>%。</w:t>
      </w:r>
    </w:p>
    <w:p>
      <w:pPr>
        <w:keepNext w:val="0"/>
        <w:keepLines w:val="0"/>
        <w:pageBreakBefore w:val="0"/>
        <w:widowControl w:val="0"/>
        <w:tabs>
          <w:tab w:val="left" w:pos="0"/>
        </w:tabs>
        <w:kinsoku/>
        <w:wordWrap/>
        <w:overflowPunct/>
        <w:topLinePunct w:val="0"/>
        <w:autoSpaceDE/>
        <w:autoSpaceDN/>
        <w:bidi w:val="0"/>
        <w:adjustRightInd/>
        <w:snapToGrid/>
        <w:spacing w:line="540" w:lineRule="exact"/>
        <w:textAlignment w:val="auto"/>
        <w:rPr>
          <w:rFonts w:ascii="黑体" w:eastAsia="黑体" w:cs="黑体" w:hint="eastAsia"/>
          <w:b/>
          <w:bCs/>
          <w:sz w:val="32"/>
          <w:szCs w:val="32"/>
          <w:lang w:eastAsia="zh-CN"/>
        </w:rPr>
      </w:pPr>
      <w:r>
        <w:rPr>
          <w:rFonts w:ascii="黑体" w:eastAsia="黑体" w:cs="黑体" w:hint="eastAsia"/>
          <w:b/>
          <w:bCs/>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eastAsia="仿宋_GB2312" w:cs="仿宋_GB2312" w:hint="eastAsia"/>
          <w:sz w:val="32"/>
          <w:szCs w:val="32"/>
        </w:rPr>
      </w:pPr>
      <w:r>
        <w:rPr>
          <w:rFonts w:ascii="仿宋_GB2312" w:eastAsia="仿宋_GB2312" w:cs="仿宋_GB2312" w:hint="eastAsia"/>
          <w:sz w:val="16"/>
        </w:rPr>
        <w:t>　</w:t>
      </w:r>
      <w:r>
        <w:rPr>
          <w:rFonts w:ascii="仿宋_GB2312" w:eastAsia="仿宋_GB2312" w:cs="仿宋_GB2312" w:hint="eastAsia"/>
          <w:sz w:val="16"/>
          <w:lang w:val="en-US" w:eastAsia="zh-CN"/>
        </w:rPr>
        <w:t xml:space="preserve">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年财政拨款收支总预算</w:t>
      </w:r>
      <w:r>
        <w:rPr>
          <w:rFonts w:ascii="仿宋_GB2312" w:eastAsia="仿宋_GB2312" w:cs="仿宋_GB2312" w:hint="eastAsia"/>
          <w:sz w:val="32"/>
          <w:szCs w:val="32"/>
          <w:lang w:val="en-US" w:eastAsia="zh-CN"/>
        </w:rPr>
        <w:t>2,777.05</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较上年增加384.92万元</w:t>
      </w:r>
      <w:r>
        <w:rPr>
          <w:rFonts w:ascii="仿宋_GB2312" w:eastAsia="仿宋_GB2312" w:cs="仿宋_GB2312" w:hint="eastAsia"/>
          <w:sz w:val="32"/>
          <w:szCs w:val="32"/>
        </w:rPr>
        <w:t>,</w:t>
      </w:r>
      <w:r>
        <w:rPr>
          <w:rFonts w:ascii="仿宋_GB2312" w:eastAsia="仿宋_GB2312" w:cs="仿宋_GB2312" w:hint="eastAsia"/>
          <w:sz w:val="32"/>
          <w:szCs w:val="32"/>
          <w:lang w:eastAsia="zh-CN"/>
        </w:rPr>
        <w:t>增长</w:t>
      </w:r>
      <w:r>
        <w:rPr>
          <w:rFonts w:ascii="仿宋_GB2312" w:eastAsia="仿宋_GB2312" w:cs="仿宋_GB2312" w:hint="eastAsia"/>
          <w:sz w:val="32"/>
          <w:szCs w:val="32"/>
          <w:lang w:val="en-US" w:eastAsia="zh-CN"/>
        </w:rPr>
        <w:t>16.09%，</w:t>
      </w:r>
      <w:r>
        <w:rPr>
          <w:rFonts w:ascii="仿宋_GB2312" w:eastAsia="仿宋_GB2312" w:cs="仿宋_GB2312" w:hint="eastAsia"/>
          <w:sz w:val="32"/>
          <w:szCs w:val="32"/>
        </w:rPr>
        <w:t>主要原因为</w:t>
      </w:r>
      <w:r>
        <w:rPr>
          <w:rFonts w:ascii="仿宋_GB2312" w:eastAsia="仿宋_GB2312" w:cs="仿宋_GB2312" w:hint="eastAsia"/>
          <w:sz w:val="32"/>
          <w:szCs w:val="32"/>
          <w:lang w:val="en-US" w:eastAsia="zh-CN"/>
        </w:rPr>
        <w:t>项目经费增加。</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收入包括：一般公共预算拨款收入</w:t>
      </w:r>
      <w:r>
        <w:rPr>
          <w:rFonts w:ascii="仿宋_GB2312" w:eastAsia="仿宋_GB2312" w:cs="仿宋_GB2312" w:hint="eastAsia"/>
          <w:sz w:val="32"/>
          <w:szCs w:val="32"/>
          <w:lang w:val="en-US" w:eastAsia="zh-CN"/>
        </w:rPr>
        <w:t>2,777.05</w:t>
      </w:r>
      <w:r>
        <w:rPr>
          <w:rFonts w:ascii="仿宋_GB2312" w:eastAsia="仿宋_GB2312" w:cs="仿宋_GB2312" w:hint="eastAsia"/>
          <w:sz w:val="32"/>
          <w:szCs w:val="32"/>
        </w:rPr>
        <w:t>万元，占</w:t>
      </w:r>
      <w:r>
        <w:rPr>
          <w:rFonts w:ascii="仿宋_GB2312" w:eastAsia="仿宋_GB2312" w:cs="仿宋_GB2312" w:hint="eastAsia"/>
          <w:sz w:val="32"/>
          <w:szCs w:val="32"/>
          <w:lang w:eastAsia="zh-CN"/>
        </w:rPr>
        <w:t>收入的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支出包括：一般公共服务支出</w:t>
      </w:r>
      <w:r>
        <w:rPr>
          <w:rFonts w:ascii="仿宋_GB2312" w:eastAsia="仿宋_GB2312" w:cs="仿宋_GB2312" w:hint="eastAsia"/>
          <w:sz w:val="32"/>
          <w:szCs w:val="32"/>
          <w:lang w:val="en-US" w:eastAsia="zh-CN"/>
        </w:rPr>
        <w:t>2,616.99</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占总支出的</w:t>
      </w:r>
      <w:r>
        <w:rPr>
          <w:rFonts w:ascii="仿宋_GB2312" w:eastAsia="仿宋_GB2312" w:cs="仿宋_GB2312" w:hint="eastAsia"/>
          <w:sz w:val="32"/>
          <w:szCs w:val="32"/>
          <w:lang w:val="en-US" w:eastAsia="zh-CN"/>
        </w:rPr>
        <w:t>94.24%，</w:t>
      </w:r>
      <w:r>
        <w:rPr>
          <w:rFonts w:ascii="仿宋_GB2312" w:eastAsia="仿宋_GB2312" w:cs="仿宋_GB2312" w:hint="eastAsia"/>
          <w:sz w:val="32"/>
          <w:szCs w:val="32"/>
        </w:rPr>
        <w:t>社会保障和就业支出</w:t>
      </w:r>
      <w:r>
        <w:rPr>
          <w:rFonts w:ascii="仿宋_GB2312" w:eastAsia="仿宋_GB2312" w:cs="仿宋_GB2312" w:hint="eastAsia"/>
          <w:sz w:val="32"/>
          <w:szCs w:val="32"/>
          <w:lang w:val="en-US" w:eastAsia="zh-CN"/>
        </w:rPr>
        <w:t>78.08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占总支出的</w:t>
      </w:r>
      <w:r>
        <w:rPr>
          <w:rFonts w:ascii="仿宋_GB2312" w:eastAsia="仿宋_GB2312" w:cs="仿宋_GB2312" w:hint="eastAsia"/>
          <w:sz w:val="32"/>
          <w:szCs w:val="32"/>
          <w:lang w:val="en-US" w:eastAsia="zh-CN"/>
        </w:rPr>
        <w:t>2.81%，</w:t>
      </w:r>
      <w:r>
        <w:rPr>
          <w:rFonts w:ascii="仿宋_GB2312" w:eastAsia="仿宋_GB2312" w:cs="仿宋_GB2312" w:hint="eastAsia"/>
          <w:sz w:val="32"/>
          <w:szCs w:val="32"/>
        </w:rPr>
        <w:t>卫生健康支出</w:t>
      </w:r>
      <w:r>
        <w:rPr>
          <w:rFonts w:ascii="仿宋_GB2312" w:eastAsia="仿宋_GB2312" w:cs="仿宋_GB2312" w:hint="eastAsia"/>
          <w:sz w:val="32"/>
          <w:szCs w:val="32"/>
          <w:lang w:val="en-US" w:eastAsia="zh-CN"/>
        </w:rPr>
        <w:t>34.25</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占总支出的</w:t>
      </w:r>
      <w:r>
        <w:rPr>
          <w:rFonts w:ascii="仿宋_GB2312" w:eastAsia="仿宋_GB2312" w:cs="仿宋_GB2312" w:hint="eastAsia"/>
          <w:sz w:val="32"/>
          <w:szCs w:val="32"/>
          <w:lang w:val="en-US" w:eastAsia="zh-CN"/>
        </w:rPr>
        <w:t>1.23%，</w:t>
      </w:r>
      <w:r>
        <w:rPr>
          <w:rFonts w:ascii="仿宋_GB2312" w:eastAsia="仿宋_GB2312" w:cs="仿宋_GB2312" w:hint="eastAsia"/>
          <w:sz w:val="32"/>
          <w:szCs w:val="32"/>
        </w:rPr>
        <w:t>住房保障支出</w:t>
      </w:r>
      <w:r>
        <w:rPr>
          <w:rFonts w:ascii="仿宋_GB2312" w:eastAsia="仿宋_GB2312" w:cs="仿宋_GB2312" w:hint="eastAsia"/>
          <w:sz w:val="32"/>
          <w:szCs w:val="32"/>
          <w:lang w:val="en-US" w:eastAsia="zh-CN"/>
        </w:rPr>
        <w:t>47.73</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，占总支出的</w:t>
      </w:r>
      <w:r>
        <w:rPr>
          <w:rFonts w:ascii="仿宋_GB2312" w:eastAsia="仿宋_GB2312" w:cs="仿宋_GB2312" w:hint="eastAsia"/>
          <w:sz w:val="32"/>
          <w:szCs w:val="32"/>
          <w:lang w:val="en-US" w:eastAsia="zh-CN"/>
        </w:rPr>
        <w:t>1.72%。</w:t>
      </w:r>
    </w:p>
    <w:p>
      <w:pPr>
        <w:keepNext w:val="0"/>
        <w:keepLines w:val="0"/>
        <w:pageBreakBefore w:val="0"/>
        <w:widowControl w:val="0"/>
        <w:tabs>
          <w:tab w:val="left" w:pos="0"/>
        </w:tabs>
        <w:kinsoku/>
        <w:wordWrap/>
        <w:overflowPunct/>
        <w:topLinePunct w:val="0"/>
        <w:autoSpaceDE/>
        <w:autoSpaceDN/>
        <w:bidi w:val="0"/>
        <w:adjustRightInd/>
        <w:snapToGrid/>
        <w:spacing w:line="540" w:lineRule="exact"/>
        <w:textAlignment w:val="auto"/>
        <w:rPr>
          <w:rFonts w:ascii="黑体" w:eastAsia="黑体" w:cs="黑体" w:hint="eastAsia"/>
          <w:b/>
          <w:bCs/>
          <w:sz w:val="32"/>
          <w:szCs w:val="32"/>
        </w:rPr>
      </w:pPr>
      <w:r>
        <w:rPr>
          <w:rFonts w:ascii="黑体" w:eastAsia="黑体" w:cs="黑体" w:hint="eastAsia"/>
          <w:b/>
          <w:bCs/>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40" w:lineRule="exact"/>
        <w:ind w:left="0" w:firstLineChars="100" w:firstLine="320"/>
        <w:textAlignment w:val="auto"/>
        <w:rPr>
          <w:rFonts w:ascii="楷体" w:eastAsia="楷体" w:cs="楷体" w:hint="eastAsia"/>
          <w:sz w:val="32"/>
          <w:szCs w:val="32"/>
        </w:rPr>
      </w:pPr>
      <w:r>
        <w:rPr>
          <w:rFonts w:ascii="楷体" w:eastAsia="楷体" w:cs="楷体" w:hint="eastAsia"/>
          <w:sz w:val="32"/>
          <w:szCs w:val="32"/>
        </w:rPr>
        <w:t>（</w:t>
      </w:r>
      <w:r>
        <w:rPr>
          <w:rFonts w:ascii="楷体" w:eastAsia="楷体" w:cs="楷体" w:hint="eastAsia"/>
          <w:sz w:val="32"/>
          <w:szCs w:val="32"/>
          <w:lang w:val="en-US" w:eastAsia="zh-CN"/>
        </w:rPr>
        <w:t>一）一</w:t>
      </w:r>
      <w:r>
        <w:rPr>
          <w:rFonts w:ascii="楷体" w:eastAsia="楷体" w:cs="楷体" w:hint="eastAsia"/>
          <w:sz w:val="32"/>
          <w:szCs w:val="32"/>
        </w:rPr>
        <w:t>般公共预算当年拨款规模变化情况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年一般公共预算当年拨款</w:t>
      </w:r>
      <w:r>
        <w:rPr>
          <w:rFonts w:ascii="仿宋_GB2312" w:eastAsia="仿宋_GB2312" w:cs="仿宋_GB2312" w:hint="eastAsia"/>
          <w:sz w:val="32"/>
          <w:szCs w:val="32"/>
          <w:lang w:val="en-US" w:eastAsia="zh-CN"/>
        </w:rPr>
        <w:t>2,777.05</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较上年增加384.92万元</w:t>
      </w:r>
      <w:r>
        <w:rPr>
          <w:rFonts w:ascii="仿宋_GB2312" w:eastAsia="仿宋_GB2312" w:cs="仿宋_GB2312" w:hint="eastAsia"/>
          <w:sz w:val="32"/>
          <w:szCs w:val="32"/>
        </w:rPr>
        <w:t>,</w:t>
      </w:r>
      <w:r>
        <w:rPr>
          <w:rFonts w:ascii="仿宋_GB2312" w:eastAsia="仿宋_GB2312" w:cs="仿宋_GB2312" w:hint="eastAsia"/>
          <w:sz w:val="32"/>
          <w:szCs w:val="32"/>
          <w:lang w:eastAsia="zh-CN"/>
        </w:rPr>
        <w:t>增长</w:t>
      </w:r>
      <w:r>
        <w:rPr>
          <w:rFonts w:ascii="仿宋_GB2312" w:eastAsia="仿宋_GB2312" w:cs="仿宋_GB2312" w:hint="eastAsia"/>
          <w:sz w:val="32"/>
          <w:szCs w:val="32"/>
          <w:lang w:val="en-US" w:eastAsia="zh-CN"/>
        </w:rPr>
        <w:t>16.09%，</w:t>
      </w:r>
      <w:r>
        <w:rPr>
          <w:rFonts w:ascii="仿宋_GB2312" w:eastAsia="仿宋_GB2312" w:cs="仿宋_GB2312" w:hint="eastAsia"/>
          <w:sz w:val="32"/>
          <w:szCs w:val="32"/>
        </w:rPr>
        <w:t>主要原因为</w:t>
      </w:r>
      <w:r>
        <w:rPr>
          <w:rFonts w:ascii="仿宋_GB2312" w:eastAsia="仿宋_GB2312" w:cs="仿宋_GB2312" w:hint="eastAsia"/>
          <w:sz w:val="32"/>
          <w:szCs w:val="32"/>
          <w:lang w:val="en-US" w:eastAsia="zh-CN"/>
        </w:rPr>
        <w:t>项目经费增加。</w:t>
      </w:r>
      <w:r>
        <w:rPr>
          <w:rFonts w:ascii="仿宋_GB2312" w:eastAsia="仿宋_GB2312" w:cs="仿宋_GB2312" w:hint="eastAsia"/>
          <w:kern w:val="2"/>
          <w:sz w:val="32"/>
          <w:szCs w:val="32"/>
        </w:rPr>
        <w:t>　</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楷体" w:eastAsia="楷体" w:cs="楷体" w:hint="eastAsia"/>
          <w:sz w:val="32"/>
          <w:szCs w:val="32"/>
          <w:lang w:eastAsia="zh-CN"/>
        </w:rPr>
      </w:pPr>
      <w:r>
        <w:rPr>
          <w:rFonts w:ascii="楷体" w:eastAsia="楷体" w:cs="楷体" w:hint="eastAsia"/>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一般公共服务支出</w:t>
      </w:r>
      <w:r>
        <w:rPr>
          <w:rFonts w:ascii="仿宋_GB2312" w:eastAsia="仿宋_GB2312" w:cs="仿宋_GB2312" w:hint="eastAsia"/>
          <w:sz w:val="32"/>
          <w:szCs w:val="32"/>
          <w:lang w:val="en-US" w:eastAsia="zh-CN"/>
        </w:rPr>
        <w:t>2,616.99</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占总支出的</w:t>
      </w:r>
      <w:r>
        <w:rPr>
          <w:rFonts w:ascii="仿宋_GB2312" w:eastAsia="仿宋_GB2312" w:cs="仿宋_GB2312" w:hint="eastAsia"/>
          <w:sz w:val="32"/>
          <w:szCs w:val="32"/>
          <w:lang w:val="en-US" w:eastAsia="zh-CN"/>
        </w:rPr>
        <w:t>94.24%，</w:t>
      </w:r>
      <w:r>
        <w:rPr>
          <w:rFonts w:ascii="仿宋_GB2312" w:eastAsia="仿宋_GB2312" w:cs="仿宋_GB2312" w:hint="eastAsia"/>
          <w:sz w:val="32"/>
          <w:szCs w:val="32"/>
        </w:rPr>
        <w:t>社会保障和就业支出</w:t>
      </w:r>
      <w:r>
        <w:rPr>
          <w:rFonts w:ascii="仿宋_GB2312" w:eastAsia="仿宋_GB2312" w:cs="仿宋_GB2312" w:hint="eastAsia"/>
          <w:sz w:val="32"/>
          <w:szCs w:val="32"/>
          <w:lang w:val="en-US" w:eastAsia="zh-CN"/>
        </w:rPr>
        <w:t>78.08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占总支出的</w:t>
      </w:r>
      <w:r>
        <w:rPr>
          <w:rFonts w:ascii="仿宋_GB2312" w:eastAsia="仿宋_GB2312" w:cs="仿宋_GB2312" w:hint="eastAsia"/>
          <w:sz w:val="32"/>
          <w:szCs w:val="32"/>
          <w:lang w:val="en-US" w:eastAsia="zh-CN"/>
        </w:rPr>
        <w:t>2.81%，</w:t>
      </w:r>
      <w:r>
        <w:rPr>
          <w:rFonts w:ascii="仿宋_GB2312" w:eastAsia="仿宋_GB2312" w:cs="仿宋_GB2312" w:hint="eastAsia"/>
          <w:sz w:val="32"/>
          <w:szCs w:val="32"/>
        </w:rPr>
        <w:t>卫生健康支出</w:t>
      </w:r>
      <w:r>
        <w:rPr>
          <w:rFonts w:ascii="仿宋_GB2312" w:eastAsia="仿宋_GB2312" w:cs="仿宋_GB2312" w:hint="eastAsia"/>
          <w:sz w:val="32"/>
          <w:szCs w:val="32"/>
          <w:lang w:val="en-US" w:eastAsia="zh-CN"/>
        </w:rPr>
        <w:t>34.25</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占总支出的</w:t>
      </w:r>
      <w:r>
        <w:rPr>
          <w:rFonts w:ascii="仿宋_GB2312" w:eastAsia="仿宋_GB2312" w:cs="仿宋_GB2312" w:hint="eastAsia"/>
          <w:sz w:val="32"/>
          <w:szCs w:val="32"/>
          <w:lang w:val="en-US" w:eastAsia="zh-CN"/>
        </w:rPr>
        <w:t>1.23%，</w:t>
      </w:r>
      <w:r>
        <w:rPr>
          <w:rFonts w:ascii="仿宋_GB2312" w:eastAsia="仿宋_GB2312" w:cs="仿宋_GB2312" w:hint="eastAsia"/>
          <w:sz w:val="32"/>
          <w:szCs w:val="32"/>
        </w:rPr>
        <w:t>住房保障支出</w:t>
      </w:r>
      <w:r>
        <w:rPr>
          <w:rFonts w:ascii="仿宋_GB2312" w:eastAsia="仿宋_GB2312" w:cs="仿宋_GB2312" w:hint="eastAsia"/>
          <w:sz w:val="32"/>
          <w:szCs w:val="32"/>
          <w:lang w:val="en-US" w:eastAsia="zh-CN"/>
        </w:rPr>
        <w:t>47.73</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，占总支出的</w:t>
      </w:r>
      <w:r>
        <w:rPr>
          <w:rFonts w:ascii="仿宋_GB2312" w:eastAsia="仿宋_GB2312" w:cs="仿宋_GB2312" w:hint="eastAsia"/>
          <w:sz w:val="32"/>
          <w:szCs w:val="32"/>
          <w:lang w:val="en-US" w:eastAsia="zh-CN"/>
        </w:rPr>
        <w:t>1.72%。</w:t>
      </w:r>
    </w:p>
    <w:p>
      <w:pPr>
        <w:keepNext w:val="0"/>
        <w:keepLines w:val="0"/>
        <w:pageBreakBefore w:val="0"/>
        <w:widowControl w:val="0"/>
        <w:kinsoku/>
        <w:wordWrap/>
        <w:overflowPunct/>
        <w:topLinePunct w:val="0"/>
        <w:autoSpaceDE/>
        <w:autoSpaceDN/>
        <w:bidi w:val="0"/>
        <w:adjustRightInd/>
        <w:snapToGrid/>
        <w:spacing w:line="540" w:lineRule="exact"/>
        <w:ind w:left="0" w:firstLineChars="200" w:firstLine="640"/>
        <w:textAlignment w:val="auto"/>
        <w:rPr>
          <w:rFonts w:ascii="楷体" w:eastAsia="楷体" w:cs="楷体" w:hint="eastAsia"/>
          <w:sz w:val="32"/>
          <w:szCs w:val="32"/>
          <w:lang w:val="en-US" w:eastAsia="zh-CN"/>
        </w:rPr>
      </w:pPr>
      <w:r>
        <w:rPr>
          <w:rFonts w:ascii="楷体" w:eastAsia="楷体" w:cs="楷体" w:hint="eastAsia"/>
          <w:sz w:val="32"/>
          <w:szCs w:val="32"/>
          <w:lang w:val="en-US" w:eastAsia="zh-CN"/>
        </w:rPr>
        <w:t>（三）一般公共预算当年拨款具体使用情况</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1．一般公共服务（类）政府办公厅（室）及相关机构事务（款）事业运行（项）202</w:t>
      </w:r>
      <w:r>
        <w:rPr>
          <w:rFonts w:cs="仿宋_GB2312" w:hint="eastAsia"/>
          <w:kern w:val="2"/>
          <w:sz w:val="32"/>
          <w:szCs w:val="32"/>
          <w:lang w:val="en-US" w:eastAsia="zh-CN"/>
        </w:rPr>
        <w:t>3</w:t>
      </w:r>
      <w:r>
        <w:rPr>
          <w:rFonts w:ascii="仿宋_GB2312" w:eastAsia="仿宋_GB2312" w:cs="仿宋_GB2312" w:hint="eastAsia"/>
          <w:kern w:val="2"/>
          <w:sz w:val="32"/>
          <w:szCs w:val="32"/>
        </w:rPr>
        <w:t>年预算数为</w:t>
      </w:r>
      <w:r>
        <w:rPr>
          <w:rFonts w:cs="仿宋_GB2312" w:hint="eastAsia"/>
          <w:kern w:val="2"/>
          <w:sz w:val="32"/>
          <w:szCs w:val="32"/>
          <w:lang w:val="en-US" w:eastAsia="zh-CN"/>
        </w:rPr>
        <w:t>409.27</w:t>
      </w:r>
      <w:r>
        <w:rPr>
          <w:rFonts w:ascii="仿宋_GB2312" w:eastAsia="仿宋_GB2312" w:cs="仿宋_GB2312" w:hint="eastAsia"/>
          <w:kern w:val="2"/>
          <w:sz w:val="32"/>
          <w:szCs w:val="32"/>
        </w:rPr>
        <w:t>万元，主要用于基本支出</w:t>
      </w:r>
      <w:r>
        <w:rPr>
          <w:rFonts w:ascii="仿宋_GB2312" w:eastAsia="仿宋_GB2312" w:cs="仿宋_GB2312" w:hint="eastAsia"/>
          <w:kern w:val="2"/>
          <w:sz w:val="32"/>
          <w:szCs w:val="32"/>
          <w:lang w:eastAsia="zh-CN"/>
        </w:rPr>
        <w:t>（人员经费</w:t>
      </w:r>
      <w:r>
        <w:rPr>
          <w:rFonts w:cs="仿宋_GB2312" w:hint="eastAsia"/>
          <w:kern w:val="2"/>
          <w:sz w:val="32"/>
          <w:szCs w:val="32"/>
          <w:lang w:val="en-US" w:eastAsia="zh-CN"/>
        </w:rPr>
        <w:t>330.39</w:t>
      </w:r>
      <w:r>
        <w:rPr>
          <w:rFonts w:ascii="仿宋_GB2312" w:eastAsia="仿宋_GB2312" w:cs="仿宋_GB2312" w:hint="eastAsia"/>
          <w:kern w:val="2"/>
          <w:sz w:val="32"/>
          <w:szCs w:val="32"/>
          <w:lang w:val="en-US" w:eastAsia="zh-CN"/>
        </w:rPr>
        <w:t>万元，公用经费</w:t>
      </w:r>
      <w:r>
        <w:rPr>
          <w:rFonts w:cs="仿宋_GB2312" w:hint="eastAsia"/>
          <w:kern w:val="2"/>
          <w:sz w:val="32"/>
          <w:szCs w:val="32"/>
          <w:lang w:val="en-US" w:eastAsia="zh-CN"/>
        </w:rPr>
        <w:t>78.88</w:t>
      </w:r>
      <w:r>
        <w:rPr>
          <w:rFonts w:ascii="仿宋_GB2312" w:eastAsia="仿宋_GB2312" w:cs="仿宋_GB2312" w:hint="eastAsia"/>
          <w:kern w:val="2"/>
          <w:sz w:val="32"/>
          <w:szCs w:val="32"/>
          <w:lang w:val="en-US" w:eastAsia="zh-CN"/>
        </w:rPr>
        <w:t>万元</w:t>
      </w:r>
      <w:r>
        <w:rPr>
          <w:rFonts w:ascii="仿宋_GB2312" w:eastAsia="仿宋_GB2312" w:cs="仿宋_GB2312" w:hint="eastAsia"/>
          <w:kern w:val="2"/>
          <w:sz w:val="32"/>
          <w:szCs w:val="32"/>
          <w:lang w:eastAsia="zh-CN"/>
        </w:rPr>
        <w:t>）</w:t>
      </w:r>
      <w:r>
        <w:rPr>
          <w:rFonts w:ascii="仿宋_GB2312" w:eastAsia="仿宋_GB2312" w:cs="仿宋_GB2312" w:hint="eastAsia"/>
          <w:kern w:val="2"/>
          <w:sz w:val="32"/>
          <w:szCs w:val="32"/>
        </w:rPr>
        <w:t>。</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spacing w:val="-6"/>
          <w:sz w:val="32"/>
          <w:szCs w:val="32"/>
        </w:rPr>
      </w:pPr>
      <w:r>
        <w:rPr>
          <w:rFonts w:ascii="仿宋_GB2312" w:eastAsia="仿宋_GB2312" w:cs="仿宋_GB2312" w:hint="eastAsia"/>
          <w:kern w:val="2"/>
          <w:sz w:val="32"/>
          <w:szCs w:val="32"/>
        </w:rPr>
        <w:t>2.</w:t>
      </w:r>
      <w:r>
        <w:rPr>
          <w:rFonts w:ascii="仿宋_GB2312" w:eastAsia="仿宋_GB2312" w:cs="仿宋_GB2312" w:hint="eastAsia"/>
          <w:spacing w:val="-6"/>
          <w:kern w:val="2"/>
          <w:sz w:val="32"/>
          <w:szCs w:val="32"/>
        </w:rPr>
        <w:t>一般公共服务（类）政府办公厅（室）及相关机构事务（款）其他政府政府办公厅（室）及相关机构事务支出（项）202</w:t>
      </w:r>
      <w:r>
        <w:rPr>
          <w:rFonts w:cs="仿宋_GB2312" w:hint="eastAsia"/>
          <w:spacing w:val="-6"/>
          <w:kern w:val="2"/>
          <w:sz w:val="32"/>
          <w:szCs w:val="32"/>
          <w:lang w:val="en-US" w:eastAsia="zh-CN"/>
        </w:rPr>
        <w:t>3</w:t>
      </w:r>
      <w:r>
        <w:rPr>
          <w:rFonts w:ascii="仿宋_GB2312" w:eastAsia="仿宋_GB2312" w:cs="仿宋_GB2312" w:hint="eastAsia"/>
          <w:spacing w:val="-6"/>
          <w:kern w:val="2"/>
          <w:sz w:val="32"/>
          <w:szCs w:val="32"/>
        </w:rPr>
        <w:t>年预算数为</w:t>
      </w:r>
      <w:r>
        <w:rPr>
          <w:rFonts w:cs="仿宋_GB2312" w:hint="eastAsia"/>
          <w:spacing w:val="-6"/>
          <w:kern w:val="2"/>
          <w:sz w:val="32"/>
          <w:szCs w:val="32"/>
          <w:lang w:val="en-US" w:eastAsia="zh-CN"/>
        </w:rPr>
        <w:t>2,207.72</w:t>
      </w:r>
      <w:r>
        <w:rPr>
          <w:rFonts w:ascii="仿宋_GB2312" w:eastAsia="仿宋_GB2312" w:cs="仿宋_GB2312" w:hint="eastAsia"/>
          <w:spacing w:val="-6"/>
          <w:kern w:val="2"/>
          <w:sz w:val="32"/>
          <w:szCs w:val="32"/>
        </w:rPr>
        <w:t>万元，主要用于项目支出。</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kern w:val="2"/>
          <w:sz w:val="32"/>
          <w:szCs w:val="32"/>
        </w:rPr>
        <w:t>3.社会保障和就业支出（类）行政事业单位养老支出（款）机关事业单位基本养老保险缴费支出（项）202</w:t>
      </w:r>
      <w:r>
        <w:rPr>
          <w:rFonts w:cs="仿宋_GB2312" w:hint="eastAsia"/>
          <w:kern w:val="2"/>
          <w:sz w:val="32"/>
          <w:szCs w:val="32"/>
          <w:lang w:val="en-US" w:eastAsia="zh-CN"/>
        </w:rPr>
        <w:t>3</w:t>
      </w:r>
      <w:r>
        <w:rPr>
          <w:rFonts w:ascii="仿宋_GB2312" w:eastAsia="仿宋_GB2312" w:cs="仿宋_GB2312" w:hint="eastAsia"/>
          <w:kern w:val="2"/>
          <w:sz w:val="32"/>
          <w:szCs w:val="32"/>
        </w:rPr>
        <w:t>年预算数为</w:t>
      </w:r>
      <w:r>
        <w:rPr>
          <w:rFonts w:cs="仿宋_GB2312" w:hint="eastAsia"/>
          <w:kern w:val="2"/>
          <w:sz w:val="32"/>
          <w:szCs w:val="32"/>
          <w:lang w:val="en-US" w:eastAsia="zh-CN"/>
        </w:rPr>
        <w:t>52.06</w:t>
      </w:r>
      <w:r>
        <w:rPr>
          <w:rFonts w:ascii="仿宋_GB2312" w:eastAsia="仿宋_GB2312" w:cs="仿宋_GB2312" w:hint="eastAsia"/>
          <w:kern w:val="2"/>
          <w:sz w:val="32"/>
          <w:szCs w:val="32"/>
        </w:rPr>
        <w:t>万元，主要用于缴纳职工养老保险。</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4.社会保障和就业支出（类）行政事业单位养老支出（款）机关事业单位职业年金缴费支出（项）202</w:t>
      </w:r>
      <w:r>
        <w:rPr>
          <w:rFonts w:cs="仿宋_GB2312" w:hint="eastAsia"/>
          <w:kern w:val="2"/>
          <w:sz w:val="32"/>
          <w:szCs w:val="32"/>
          <w:lang w:val="en-US" w:eastAsia="zh-CN"/>
        </w:rPr>
        <w:t>3</w:t>
      </w:r>
      <w:r>
        <w:rPr>
          <w:rFonts w:ascii="仿宋_GB2312" w:eastAsia="仿宋_GB2312" w:cs="仿宋_GB2312" w:hint="eastAsia"/>
          <w:kern w:val="2"/>
          <w:sz w:val="32"/>
          <w:szCs w:val="32"/>
        </w:rPr>
        <w:t>年预算数为</w:t>
      </w:r>
      <w:r>
        <w:rPr>
          <w:rFonts w:cs="仿宋_GB2312" w:hint="eastAsia"/>
          <w:kern w:val="2"/>
          <w:sz w:val="32"/>
          <w:szCs w:val="32"/>
          <w:lang w:val="en-US" w:eastAsia="zh-CN"/>
        </w:rPr>
        <w:t>26.02</w:t>
      </w:r>
      <w:r>
        <w:rPr>
          <w:rFonts w:ascii="仿宋_GB2312" w:eastAsia="仿宋_GB2312" w:cs="仿宋_GB2312" w:hint="eastAsia"/>
          <w:kern w:val="2"/>
          <w:sz w:val="32"/>
          <w:szCs w:val="32"/>
        </w:rPr>
        <w:t>万元，主要用于缴纳职工职业年金。</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kern w:val="2"/>
          <w:sz w:val="32"/>
          <w:szCs w:val="32"/>
        </w:rPr>
        <w:t>5.卫生健康支出（类）行政事业单位医疗（款）事业单位医疗（项）202</w:t>
      </w:r>
      <w:r>
        <w:rPr>
          <w:rFonts w:cs="仿宋_GB2312" w:hint="eastAsia"/>
          <w:kern w:val="2"/>
          <w:sz w:val="32"/>
          <w:szCs w:val="32"/>
          <w:lang w:val="en-US" w:eastAsia="zh-CN"/>
        </w:rPr>
        <w:t>3</w:t>
      </w:r>
      <w:r>
        <w:rPr>
          <w:rFonts w:ascii="仿宋_GB2312" w:eastAsia="仿宋_GB2312" w:cs="仿宋_GB2312" w:hint="eastAsia"/>
          <w:kern w:val="2"/>
          <w:sz w:val="32"/>
          <w:szCs w:val="32"/>
        </w:rPr>
        <w:t>年预算数为</w:t>
      </w:r>
      <w:r>
        <w:rPr>
          <w:rFonts w:cs="仿宋_GB2312" w:hint="eastAsia"/>
          <w:kern w:val="2"/>
          <w:sz w:val="32"/>
          <w:szCs w:val="32"/>
          <w:lang w:val="en-US" w:eastAsia="zh-CN"/>
        </w:rPr>
        <w:t>28.41</w:t>
      </w:r>
      <w:r>
        <w:rPr>
          <w:rFonts w:ascii="仿宋_GB2312" w:eastAsia="仿宋_GB2312" w:cs="仿宋_GB2312" w:hint="eastAsia"/>
          <w:kern w:val="2"/>
          <w:sz w:val="32"/>
          <w:szCs w:val="32"/>
        </w:rPr>
        <w:t>万元，主要用于缴纳职工医疗保险。</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color w:val="FF0000"/>
          <w:kern w:val="2"/>
          <w:sz w:val="32"/>
          <w:szCs w:val="32"/>
        </w:rPr>
      </w:pPr>
      <w:r>
        <w:rPr>
          <w:rFonts w:ascii="仿宋_GB2312" w:eastAsia="仿宋_GB2312" w:cs="仿宋_GB2312" w:hint="eastAsia"/>
          <w:kern w:val="2"/>
          <w:sz w:val="32"/>
          <w:szCs w:val="32"/>
          <w:lang w:val="en-US" w:eastAsia="zh-CN"/>
        </w:rPr>
        <w:t>6</w:t>
      </w:r>
      <w:r>
        <w:rPr>
          <w:rFonts w:ascii="仿宋_GB2312" w:eastAsia="仿宋_GB2312" w:cs="仿宋_GB2312" w:hint="eastAsia"/>
          <w:kern w:val="2"/>
          <w:sz w:val="32"/>
          <w:szCs w:val="32"/>
        </w:rPr>
        <w:t>.卫生健康支出（类）行政事业单位医疗（款）其他行政事业单位医疗支出（项）202</w:t>
      </w:r>
      <w:r>
        <w:rPr>
          <w:rFonts w:cs="仿宋_GB2312" w:hint="eastAsia"/>
          <w:kern w:val="2"/>
          <w:sz w:val="32"/>
          <w:szCs w:val="32"/>
          <w:lang w:val="en-US" w:eastAsia="zh-CN"/>
        </w:rPr>
        <w:t>3</w:t>
      </w:r>
      <w:r>
        <w:rPr>
          <w:rFonts w:ascii="仿宋_GB2312" w:eastAsia="仿宋_GB2312" w:cs="仿宋_GB2312" w:hint="eastAsia"/>
          <w:kern w:val="2"/>
          <w:sz w:val="32"/>
          <w:szCs w:val="32"/>
        </w:rPr>
        <w:t>年预算数为</w:t>
      </w:r>
      <w:r>
        <w:rPr>
          <w:rFonts w:ascii="仿宋_GB2312" w:eastAsia="仿宋_GB2312" w:cs="仿宋_GB2312" w:hint="eastAsia"/>
          <w:kern w:val="2"/>
          <w:sz w:val="32"/>
          <w:szCs w:val="32"/>
          <w:lang w:val="en-US" w:eastAsia="zh-CN"/>
        </w:rPr>
        <w:t>5.</w:t>
      </w:r>
      <w:r>
        <w:rPr>
          <w:rFonts w:cs="仿宋_GB2312" w:hint="eastAsia"/>
          <w:kern w:val="2"/>
          <w:sz w:val="32"/>
          <w:szCs w:val="32"/>
          <w:lang w:val="en-US" w:eastAsia="zh-CN"/>
        </w:rPr>
        <w:t>84</w:t>
      </w:r>
      <w:r>
        <w:rPr>
          <w:rFonts w:ascii="仿宋_GB2312" w:eastAsia="仿宋_GB2312" w:cs="仿宋_GB2312" w:hint="eastAsia"/>
          <w:kern w:val="2"/>
          <w:sz w:val="32"/>
          <w:szCs w:val="32"/>
        </w:rPr>
        <w:t>万元，主要用于缴纳事业人员公务员医疗补助。</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.住房保障支出（类）住房改革支出</w:t>
      </w:r>
      <w:r>
        <w:rPr>
          <w:rFonts w:ascii="仿宋_GB2312" w:eastAsia="仿宋_GB2312" w:cs="仿宋_GB2312" w:hint="eastAsia"/>
          <w:color w:val="000000"/>
          <w:sz w:val="32"/>
          <w:szCs w:val="32"/>
        </w:rPr>
        <w:t>（款）住房公积</w:t>
      </w:r>
      <w:r>
        <w:rPr>
          <w:rFonts w:ascii="仿宋_GB2312" w:eastAsia="仿宋_GB2312" w:cs="仿宋_GB2312" w:hint="eastAsia"/>
          <w:sz w:val="32"/>
          <w:szCs w:val="32"/>
        </w:rPr>
        <w:t>金（项）202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年预算数为</w:t>
      </w:r>
      <w:r>
        <w:rPr>
          <w:rFonts w:ascii="仿宋_GB2312" w:eastAsia="仿宋_GB2312" w:cs="仿宋_GB2312" w:hint="eastAsia"/>
          <w:sz w:val="32"/>
          <w:szCs w:val="32"/>
          <w:lang w:val="en-US" w:eastAsia="zh-CN"/>
        </w:rPr>
        <w:t>47.73</w:t>
      </w:r>
      <w:r>
        <w:rPr>
          <w:rFonts w:ascii="仿宋_GB2312" w:eastAsia="仿宋_GB2312" w:cs="仿宋_GB2312" w:hint="eastAsia"/>
          <w:sz w:val="32"/>
          <w:szCs w:val="32"/>
        </w:rPr>
        <w:t>万元，主要用于缴纳职工住房公积金。</w:t>
      </w:r>
    </w:p>
    <w:p>
      <w:pPr>
        <w:keepNext w:val="0"/>
        <w:keepLines w:val="0"/>
        <w:pageBreakBefore w:val="0"/>
        <w:widowControl w:val="0"/>
        <w:tabs>
          <w:tab w:val="left" w:pos="0"/>
        </w:tabs>
        <w:kinsoku/>
        <w:wordWrap/>
        <w:overflowPunct/>
        <w:topLinePunct w:val="0"/>
        <w:autoSpaceDE/>
        <w:autoSpaceDN/>
        <w:bidi w:val="0"/>
        <w:adjustRightInd/>
        <w:snapToGrid/>
        <w:spacing w:line="540" w:lineRule="exact"/>
        <w:textAlignment w:val="auto"/>
        <w:rPr>
          <w:rFonts w:ascii="黑体" w:eastAsia="黑体" w:cs="黑体" w:hint="eastAsia"/>
          <w:b/>
          <w:bCs/>
          <w:sz w:val="32"/>
          <w:szCs w:val="32"/>
        </w:rPr>
      </w:pPr>
      <w:r>
        <w:rPr>
          <w:rFonts w:ascii="黑体" w:eastAsia="黑体" w:cs="黑体" w:hint="eastAsia"/>
          <w:b/>
          <w:bCs/>
          <w:sz w:val="32"/>
          <w:szCs w:val="32"/>
        </w:rPr>
        <w:t>六、一般公共预算基本支出情况说明</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kern w:val="2"/>
          <w:sz w:val="32"/>
          <w:szCs w:val="32"/>
          <w:lang w:eastAsia="zh-CN"/>
        </w:rPr>
      </w:pPr>
      <w:r>
        <w:rPr>
          <w:rFonts w:ascii="仿宋_GB2312" w:eastAsia="仿宋_GB2312" w:cs="仿宋_GB2312" w:hint="eastAsia"/>
          <w:kern w:val="2"/>
          <w:sz w:val="32"/>
          <w:szCs w:val="32"/>
        </w:rPr>
        <w:t>202</w:t>
      </w:r>
      <w:r>
        <w:rPr>
          <w:rFonts w:cs="仿宋_GB2312" w:hint="eastAsia"/>
          <w:kern w:val="2"/>
          <w:sz w:val="32"/>
          <w:szCs w:val="32"/>
          <w:lang w:val="en-US" w:eastAsia="zh-CN"/>
        </w:rPr>
        <w:t>3</w:t>
      </w:r>
      <w:r>
        <w:rPr>
          <w:rFonts w:ascii="仿宋_GB2312" w:eastAsia="仿宋_GB2312" w:cs="仿宋_GB2312" w:hint="eastAsia"/>
          <w:kern w:val="2"/>
          <w:sz w:val="32"/>
          <w:szCs w:val="32"/>
        </w:rPr>
        <w:t>年一般公共预算基本支出</w:t>
      </w:r>
      <w:r>
        <w:rPr>
          <w:rFonts w:cs="仿宋_GB2312" w:hint="eastAsia"/>
          <w:kern w:val="2"/>
          <w:sz w:val="32"/>
          <w:szCs w:val="32"/>
          <w:lang w:val="en-US" w:eastAsia="zh-CN"/>
        </w:rPr>
        <w:t>569.33</w:t>
      </w:r>
      <w:r>
        <w:rPr>
          <w:rFonts w:ascii="仿宋_GB2312" w:eastAsia="仿宋_GB2312" w:cs="仿宋_GB2312" w:hint="eastAsia"/>
          <w:kern w:val="2"/>
          <w:sz w:val="32"/>
          <w:szCs w:val="32"/>
        </w:rPr>
        <w:t>万元，其中：人员经费</w:t>
      </w:r>
      <w:r>
        <w:rPr>
          <w:rFonts w:cs="仿宋_GB2312" w:hint="eastAsia"/>
          <w:kern w:val="2"/>
          <w:sz w:val="32"/>
          <w:szCs w:val="32"/>
          <w:lang w:val="en-US" w:eastAsia="zh-CN"/>
        </w:rPr>
        <w:t>490.51</w:t>
      </w:r>
      <w:r>
        <w:rPr>
          <w:rFonts w:ascii="仿宋_GB2312" w:eastAsia="仿宋_GB2312"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cs="仿宋_GB2312" w:hint="eastAsia"/>
          <w:kern w:val="2"/>
          <w:sz w:val="32"/>
          <w:szCs w:val="32"/>
          <w:lang w:val="en-US" w:eastAsia="zh-CN"/>
        </w:rPr>
        <w:t>78.82</w:t>
      </w:r>
      <w:r>
        <w:rPr>
          <w:rFonts w:ascii="仿宋_GB2312" w:eastAsia="仿宋_GB2312"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tabs>
          <w:tab w:val="left" w:pos="0"/>
        </w:tabs>
        <w:kinsoku/>
        <w:wordWrap/>
        <w:overflowPunct/>
        <w:topLinePunct w:val="0"/>
        <w:autoSpaceDE/>
        <w:autoSpaceDN/>
        <w:bidi w:val="0"/>
        <w:adjustRightInd/>
        <w:snapToGrid/>
        <w:spacing w:line="540" w:lineRule="exact"/>
        <w:textAlignment w:val="auto"/>
        <w:rPr>
          <w:rFonts w:ascii="黑体" w:eastAsia="黑体" w:cs="黑体" w:hint="eastAsia"/>
          <w:b/>
          <w:bCs/>
          <w:sz w:val="32"/>
          <w:szCs w:val="32"/>
        </w:rPr>
      </w:pPr>
      <w:r>
        <w:rPr>
          <w:rFonts w:ascii="黑体" w:eastAsia="黑体" w:cs="黑体" w:hint="eastAsia"/>
          <w:b/>
          <w:bCs/>
          <w:sz w:val="32"/>
          <w:szCs w:val="32"/>
        </w:rPr>
        <w:t>七、“三公”经费财政拨款预算安排情况说明</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202</w:t>
      </w:r>
      <w:r>
        <w:rPr>
          <w:rFonts w:cs="仿宋_GB2312" w:hint="eastAsia"/>
          <w:kern w:val="2"/>
          <w:sz w:val="32"/>
          <w:szCs w:val="32"/>
          <w:lang w:val="en-US" w:eastAsia="zh-CN"/>
        </w:rPr>
        <w:t>3</w:t>
      </w:r>
      <w:r>
        <w:rPr>
          <w:rFonts w:ascii="仿宋_GB2312" w:eastAsia="仿宋_GB2312" w:cs="仿宋_GB2312" w:hint="eastAsia"/>
          <w:kern w:val="2"/>
          <w:sz w:val="32"/>
          <w:szCs w:val="32"/>
        </w:rPr>
        <w:t>年“三公”经费财政拨款预算数</w:t>
      </w:r>
      <w:r>
        <w:rPr>
          <w:rFonts w:cs="仿宋_GB2312" w:hint="eastAsia"/>
          <w:kern w:val="2"/>
          <w:sz w:val="32"/>
          <w:szCs w:val="32"/>
          <w:lang w:val="en-US" w:eastAsia="zh-CN"/>
        </w:rPr>
        <w:t>7.06</w:t>
      </w:r>
      <w:r>
        <w:rPr>
          <w:rFonts w:ascii="仿宋_GB2312" w:eastAsia="仿宋_GB2312" w:cs="仿宋_GB2312" w:hint="eastAsia"/>
          <w:kern w:val="2"/>
          <w:sz w:val="32"/>
          <w:szCs w:val="32"/>
        </w:rPr>
        <w:t>万元，其中：因公出国（境）经费</w:t>
      </w:r>
      <w:r>
        <w:rPr>
          <w:rFonts w:ascii="仿宋_GB2312" w:eastAsia="仿宋_GB2312" w:cs="仿宋_GB2312" w:hint="eastAsia"/>
          <w:kern w:val="2"/>
          <w:sz w:val="32"/>
          <w:szCs w:val="32"/>
          <w:lang w:val="en-US" w:eastAsia="zh-CN"/>
        </w:rPr>
        <w:t>0</w:t>
      </w:r>
      <w:r>
        <w:rPr>
          <w:rFonts w:ascii="仿宋_GB2312" w:eastAsia="仿宋_GB2312" w:cs="仿宋_GB2312" w:hint="eastAsia"/>
          <w:kern w:val="2"/>
          <w:sz w:val="32"/>
          <w:szCs w:val="32"/>
        </w:rPr>
        <w:t>万元，公务接待费</w:t>
      </w:r>
      <w:r>
        <w:rPr>
          <w:rFonts w:ascii="仿宋_GB2312" w:eastAsia="仿宋_GB2312" w:cs="仿宋_GB2312" w:hint="eastAsia"/>
          <w:kern w:val="2"/>
          <w:sz w:val="32"/>
          <w:szCs w:val="32"/>
          <w:lang w:val="en-US" w:eastAsia="zh-CN"/>
        </w:rPr>
        <w:t>1.</w:t>
      </w:r>
      <w:r>
        <w:rPr>
          <w:rFonts w:cs="仿宋_GB2312" w:hint="eastAsia"/>
          <w:kern w:val="2"/>
          <w:sz w:val="32"/>
          <w:szCs w:val="32"/>
          <w:lang w:val="en-US" w:eastAsia="zh-CN"/>
        </w:rPr>
        <w:t>26</w:t>
      </w:r>
      <w:r>
        <w:rPr>
          <w:rFonts w:ascii="仿宋_GB2312" w:eastAsia="仿宋_GB2312" w:cs="仿宋_GB2312" w:hint="eastAsia"/>
          <w:kern w:val="2"/>
          <w:sz w:val="32"/>
          <w:szCs w:val="32"/>
        </w:rPr>
        <w:t>万元，公务用车购置及运行维护费</w:t>
      </w:r>
      <w:r>
        <w:rPr>
          <w:rFonts w:cs="仿宋_GB2312" w:hint="eastAsia"/>
          <w:kern w:val="2"/>
          <w:sz w:val="32"/>
          <w:szCs w:val="32"/>
          <w:lang w:val="en-US" w:eastAsia="zh-CN"/>
        </w:rPr>
        <w:t>5.8</w:t>
      </w:r>
      <w:r>
        <w:rPr>
          <w:rFonts w:ascii="仿宋_GB2312" w:eastAsia="仿宋_GB2312" w:cs="仿宋_GB2312" w:hint="eastAsia"/>
          <w:kern w:val="2"/>
          <w:sz w:val="32"/>
          <w:szCs w:val="32"/>
        </w:rPr>
        <w:t>万元。</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（一）202</w:t>
      </w:r>
      <w:r>
        <w:rPr>
          <w:rFonts w:cs="仿宋_GB2312" w:hint="eastAsia"/>
          <w:kern w:val="2"/>
          <w:sz w:val="32"/>
          <w:szCs w:val="32"/>
          <w:lang w:val="en-US" w:eastAsia="zh-CN"/>
        </w:rPr>
        <w:t>3</w:t>
      </w:r>
      <w:r>
        <w:rPr>
          <w:rFonts w:ascii="仿宋_GB2312" w:eastAsia="仿宋_GB2312" w:cs="仿宋_GB2312" w:hint="eastAsia"/>
          <w:kern w:val="2"/>
          <w:sz w:val="32"/>
          <w:szCs w:val="32"/>
        </w:rPr>
        <w:t>年因公出国（境）经费</w:t>
      </w:r>
      <w:r>
        <w:rPr>
          <w:rFonts w:ascii="仿宋_GB2312" w:eastAsia="仿宋_GB2312" w:cs="仿宋_GB2312" w:hint="eastAsia"/>
          <w:kern w:val="2"/>
          <w:sz w:val="32"/>
          <w:szCs w:val="32"/>
          <w:lang w:val="en-US" w:eastAsia="zh-CN"/>
        </w:rPr>
        <w:t>0</w:t>
      </w:r>
      <w:r>
        <w:rPr>
          <w:rFonts w:ascii="仿宋_GB2312" w:eastAsia="仿宋_GB2312" w:cs="仿宋_GB2312" w:hint="eastAsia"/>
          <w:kern w:val="2"/>
          <w:sz w:val="32"/>
          <w:szCs w:val="32"/>
        </w:rPr>
        <w:t>万元</w:t>
      </w:r>
      <w:r>
        <w:rPr>
          <w:rFonts w:ascii="仿宋_GB2312" w:eastAsia="仿宋_GB2312" w:cs="仿宋_GB2312"/>
          <w:kern w:val="2"/>
          <w:sz w:val="32"/>
          <w:szCs w:val="32"/>
        </w:rPr>
        <w:t>,较上年无变化。</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color w:val="auto"/>
          <w:kern w:val="2"/>
          <w:sz w:val="32"/>
          <w:szCs w:val="32"/>
          <w:lang w:val="en-US" w:eastAsia="zh-CN"/>
        </w:rPr>
      </w:pPr>
      <w:r>
        <w:rPr>
          <w:rFonts w:ascii="仿宋_GB2312" w:eastAsia="仿宋_GB2312" w:cs="仿宋_GB2312" w:hint="eastAsia"/>
          <w:kern w:val="2"/>
          <w:sz w:val="32"/>
          <w:szCs w:val="32"/>
        </w:rPr>
        <w:t>（二）</w:t>
      </w:r>
      <w:r>
        <w:rPr>
          <w:rFonts w:ascii="仿宋_GB2312" w:eastAsia="仿宋_GB2312" w:cs="仿宋_GB2312" w:hint="eastAsia"/>
          <w:color w:val="000000"/>
          <w:kern w:val="2"/>
          <w:sz w:val="32"/>
          <w:szCs w:val="32"/>
        </w:rPr>
        <w:t>202</w:t>
      </w:r>
      <w:r>
        <w:rPr>
          <w:rFonts w:cs="仿宋_GB2312" w:hint="eastAsia"/>
          <w:color w:val="000000"/>
          <w:kern w:val="2"/>
          <w:sz w:val="32"/>
          <w:szCs w:val="32"/>
          <w:lang w:val="en-US" w:eastAsia="zh-CN"/>
        </w:rPr>
        <w:t>3</w:t>
      </w:r>
      <w:r>
        <w:rPr>
          <w:rFonts w:ascii="仿宋_GB2312" w:eastAsia="仿宋_GB2312" w:cs="仿宋_GB2312" w:hint="eastAsia"/>
          <w:color w:val="000000"/>
          <w:kern w:val="2"/>
          <w:sz w:val="32"/>
          <w:szCs w:val="32"/>
        </w:rPr>
        <w:t>年公务接待经费</w:t>
      </w:r>
      <w:r>
        <w:rPr>
          <w:rFonts w:cs="仿宋_GB2312" w:hint="eastAsia"/>
          <w:color w:val="000000"/>
          <w:kern w:val="2"/>
          <w:sz w:val="32"/>
          <w:szCs w:val="32"/>
          <w:lang w:val="en-US" w:eastAsia="zh-CN"/>
        </w:rPr>
        <w:t>1.26万元</w:t>
      </w:r>
      <w:r>
        <w:rPr>
          <w:rFonts w:ascii="仿宋_GB2312" w:eastAsia="仿宋_GB2312" w:cs="仿宋_GB2312" w:hint="eastAsia"/>
          <w:color w:val="000000"/>
          <w:kern w:val="2"/>
          <w:sz w:val="32"/>
          <w:szCs w:val="32"/>
        </w:rPr>
        <w:t>。较</w:t>
      </w:r>
      <w:r>
        <w:rPr>
          <w:rFonts w:cs="仿宋_GB2312" w:hint="eastAsia"/>
          <w:color w:val="000000"/>
          <w:kern w:val="2"/>
          <w:sz w:val="32"/>
          <w:szCs w:val="32"/>
          <w:lang w:eastAsia="zh-CN"/>
        </w:rPr>
        <w:t>上</w:t>
      </w:r>
      <w:r>
        <w:rPr>
          <w:rFonts w:ascii="仿宋_GB2312" w:eastAsia="仿宋_GB2312" w:cs="仿宋_GB2312" w:hint="eastAsia"/>
          <w:color w:val="000000"/>
          <w:kern w:val="2"/>
          <w:sz w:val="32"/>
          <w:szCs w:val="32"/>
        </w:rPr>
        <w:t>年预算经费</w:t>
      </w:r>
      <w:r>
        <w:rPr>
          <w:rFonts w:ascii="仿宋_GB2312" w:eastAsia="仿宋_GB2312" w:cs="仿宋_GB2312" w:hint="eastAsia"/>
          <w:sz w:val="32"/>
          <w:szCs w:val="32"/>
        </w:rPr>
        <w:t>增加</w:t>
      </w:r>
      <w:r>
        <w:rPr>
          <w:rFonts w:ascii="仿宋_GB2312" w:eastAsia="仿宋_GB2312" w:cs="仿宋_GB2312" w:hint="eastAsia"/>
          <w:sz w:val="32"/>
          <w:szCs w:val="32"/>
          <w:lang w:val="en-US" w:eastAsia="zh-CN"/>
        </w:rPr>
        <w:t>0.</w:t>
      </w:r>
      <w:r>
        <w:rPr>
          <w:rFonts w:cs="仿宋_GB2312" w:hint="eastAsia"/>
          <w:sz w:val="32"/>
          <w:szCs w:val="32"/>
          <w:lang w:val="en-US" w:eastAsia="zh-CN"/>
        </w:rPr>
        <w:t>09</w:t>
      </w:r>
      <w:r>
        <w:rPr>
          <w:rFonts w:ascii="仿宋_GB2312" w:eastAsia="仿宋_GB2312" w:cs="仿宋_GB2312" w:hint="eastAsia"/>
          <w:color w:val="000000"/>
          <w:kern w:val="2"/>
          <w:sz w:val="32"/>
          <w:szCs w:val="32"/>
        </w:rPr>
        <w:t>万元，</w:t>
      </w:r>
      <w:r>
        <w:rPr>
          <w:rFonts w:ascii="仿宋_GB2312" w:eastAsia="仿宋_GB2312" w:cs="仿宋_GB2312" w:hint="eastAsia"/>
          <w:sz w:val="32"/>
          <w:szCs w:val="32"/>
        </w:rPr>
        <w:t>增长</w:t>
      </w:r>
      <w:r>
        <w:rPr>
          <w:rFonts w:cs="仿宋_GB2312" w:hint="eastAsia"/>
          <w:color w:val="000000"/>
          <w:kern w:val="2"/>
          <w:sz w:val="32"/>
          <w:szCs w:val="32"/>
          <w:lang w:val="en-US" w:eastAsia="zh-CN"/>
        </w:rPr>
        <w:t>7.69</w:t>
      </w:r>
      <w:r>
        <w:rPr>
          <w:rFonts w:ascii="仿宋_GB2312" w:eastAsia="仿宋_GB2312" w:cs="仿宋_GB2312" w:hint="eastAsia"/>
          <w:color w:val="000000"/>
          <w:kern w:val="2"/>
          <w:sz w:val="32"/>
          <w:szCs w:val="32"/>
        </w:rPr>
        <w:t>%。</w:t>
      </w:r>
      <w:r>
        <w:rPr>
          <w:rFonts w:ascii="仿宋_GB2312" w:eastAsia="仿宋_GB2312" w:cs="仿宋_GB2312" w:hint="eastAsia"/>
          <w:color w:val="auto"/>
          <w:kern w:val="2"/>
          <w:sz w:val="32"/>
          <w:szCs w:val="32"/>
          <w:lang w:eastAsia="zh-CN"/>
        </w:rPr>
        <w:t>原因为</w:t>
      </w:r>
      <w:r>
        <w:rPr>
          <w:rFonts w:ascii="仿宋_GB2312" w:eastAsia="仿宋_GB2312" w:cs="仿宋_GB2312" w:hint="eastAsia"/>
          <w:color w:val="auto"/>
          <w:kern w:val="2"/>
          <w:sz w:val="32"/>
          <w:szCs w:val="32"/>
          <w:lang w:val="en-US" w:eastAsia="zh-CN"/>
        </w:rPr>
        <w:t>202</w:t>
      </w:r>
      <w:r>
        <w:rPr>
          <w:rFonts w:cs="仿宋_GB2312" w:hint="eastAsia"/>
          <w:color w:val="auto"/>
          <w:kern w:val="2"/>
          <w:sz w:val="32"/>
          <w:szCs w:val="32"/>
          <w:lang w:val="en-US" w:eastAsia="zh-CN"/>
        </w:rPr>
        <w:t>3</w:t>
      </w:r>
      <w:r>
        <w:rPr>
          <w:rFonts w:ascii="仿宋_GB2312" w:eastAsia="仿宋_GB2312" w:cs="仿宋_GB2312" w:hint="eastAsia"/>
          <w:color w:val="auto"/>
          <w:kern w:val="2"/>
          <w:sz w:val="32"/>
          <w:szCs w:val="32"/>
          <w:lang w:val="en-US" w:eastAsia="zh-CN"/>
        </w:rPr>
        <w:t>年人员增加</w:t>
      </w:r>
      <w:r>
        <w:rPr>
          <w:rFonts w:cs="仿宋_GB2312" w:hint="eastAsia"/>
          <w:color w:val="auto"/>
          <w:kern w:val="2"/>
          <w:sz w:val="32"/>
          <w:szCs w:val="32"/>
          <w:lang w:val="en-US" w:eastAsia="zh-CN"/>
        </w:rPr>
        <w:t>1</w:t>
      </w:r>
      <w:r>
        <w:rPr>
          <w:rFonts w:ascii="仿宋_GB2312" w:eastAsia="仿宋_GB2312" w:cs="仿宋_GB2312" w:hint="eastAsia"/>
          <w:color w:val="auto"/>
          <w:kern w:val="2"/>
          <w:sz w:val="32"/>
          <w:szCs w:val="32"/>
          <w:lang w:val="en-US" w:eastAsia="zh-CN"/>
        </w:rPr>
        <w:t>人。</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color w:val="auto"/>
          <w:kern w:val="2"/>
          <w:sz w:val="32"/>
          <w:szCs w:val="32"/>
          <w:lang w:val="en-US" w:eastAsia="zh-CN"/>
        </w:rPr>
      </w:pPr>
      <w:r>
        <w:rPr>
          <w:rFonts w:ascii="仿宋_GB2312" w:eastAsia="仿宋_GB2312" w:cs="仿宋_GB2312" w:hint="eastAsia"/>
          <w:color w:val="000000"/>
          <w:kern w:val="2"/>
          <w:sz w:val="32"/>
          <w:szCs w:val="32"/>
        </w:rPr>
        <w:t>（三）202</w:t>
      </w:r>
      <w:r>
        <w:rPr>
          <w:rFonts w:cs="仿宋_GB2312" w:hint="eastAsia"/>
          <w:color w:val="000000"/>
          <w:kern w:val="2"/>
          <w:sz w:val="32"/>
          <w:szCs w:val="32"/>
          <w:lang w:val="en-US" w:eastAsia="zh-CN"/>
        </w:rPr>
        <w:t>3</w:t>
      </w:r>
      <w:r>
        <w:rPr>
          <w:rFonts w:ascii="仿宋_GB2312" w:eastAsia="仿宋_GB2312" w:cs="仿宋_GB2312" w:hint="eastAsia"/>
          <w:color w:val="000000"/>
          <w:kern w:val="2"/>
          <w:sz w:val="32"/>
          <w:szCs w:val="32"/>
        </w:rPr>
        <w:t>年公务用车购置及运行维护费</w:t>
      </w:r>
      <w:r>
        <w:rPr>
          <w:rFonts w:cs="仿宋_GB2312" w:hint="eastAsia"/>
          <w:color w:val="000000"/>
          <w:kern w:val="2"/>
          <w:sz w:val="32"/>
          <w:szCs w:val="32"/>
          <w:lang w:val="en-US" w:eastAsia="zh-CN"/>
        </w:rPr>
        <w:t>5.8</w:t>
      </w:r>
      <w:r>
        <w:rPr>
          <w:rFonts w:ascii="仿宋_GB2312" w:eastAsia="仿宋_GB2312" w:cs="仿宋_GB2312" w:hint="eastAsia"/>
          <w:color w:val="000000"/>
          <w:kern w:val="2"/>
          <w:sz w:val="32"/>
          <w:szCs w:val="32"/>
        </w:rPr>
        <w:t>万元。较</w:t>
      </w:r>
      <w:r>
        <w:rPr>
          <w:rFonts w:cs="仿宋_GB2312" w:hint="eastAsia"/>
          <w:color w:val="000000"/>
          <w:kern w:val="2"/>
          <w:sz w:val="32"/>
          <w:szCs w:val="32"/>
          <w:lang w:eastAsia="zh-CN"/>
        </w:rPr>
        <w:t>上</w:t>
      </w:r>
      <w:r>
        <w:rPr>
          <w:rFonts w:ascii="仿宋_GB2312" w:eastAsia="仿宋_GB2312" w:cs="仿宋_GB2312" w:hint="eastAsia"/>
          <w:color w:val="000000"/>
          <w:kern w:val="2"/>
          <w:sz w:val="32"/>
          <w:szCs w:val="32"/>
        </w:rPr>
        <w:t>年预算经费</w:t>
      </w:r>
      <w:r>
        <w:rPr>
          <w:rFonts w:cs="仿宋_GB2312" w:hint="eastAsia"/>
          <w:color w:val="000000"/>
          <w:kern w:val="2"/>
          <w:sz w:val="32"/>
          <w:szCs w:val="32"/>
          <w:lang w:eastAsia="zh-CN"/>
        </w:rPr>
        <w:t>减少</w:t>
      </w:r>
      <w:r>
        <w:rPr>
          <w:rFonts w:cs="仿宋_GB2312" w:hint="eastAsia"/>
          <w:color w:val="000000"/>
          <w:kern w:val="2"/>
          <w:sz w:val="32"/>
          <w:szCs w:val="32"/>
          <w:lang w:val="en-US" w:eastAsia="zh-CN"/>
        </w:rPr>
        <w:t>1.4</w:t>
      </w:r>
      <w:r>
        <w:rPr>
          <w:rFonts w:ascii="仿宋_GB2312" w:eastAsia="仿宋_GB2312" w:cs="仿宋_GB2312" w:hint="eastAsia"/>
          <w:color w:val="000000"/>
          <w:kern w:val="2"/>
          <w:sz w:val="32"/>
          <w:szCs w:val="32"/>
        </w:rPr>
        <w:t>万元，</w:t>
      </w:r>
      <w:r>
        <w:rPr>
          <w:rFonts w:cs="仿宋_GB2312" w:hint="eastAsia"/>
          <w:color w:val="000000"/>
          <w:kern w:val="2"/>
          <w:sz w:val="32"/>
          <w:szCs w:val="32"/>
          <w:lang w:eastAsia="zh-CN"/>
        </w:rPr>
        <w:t>下降</w:t>
      </w:r>
      <w:r>
        <w:rPr>
          <w:rFonts w:cs="仿宋_GB2312" w:hint="eastAsia"/>
          <w:color w:val="000000"/>
          <w:kern w:val="2"/>
          <w:sz w:val="32"/>
          <w:szCs w:val="32"/>
          <w:lang w:val="en-US" w:eastAsia="zh-CN"/>
        </w:rPr>
        <w:t>19.44</w:t>
      </w:r>
      <w:r>
        <w:rPr>
          <w:rFonts w:ascii="仿宋_GB2312" w:eastAsia="仿宋_GB2312" w:cs="仿宋_GB2312" w:hint="eastAsia"/>
          <w:color w:val="000000"/>
          <w:kern w:val="2"/>
          <w:sz w:val="32"/>
          <w:szCs w:val="32"/>
        </w:rPr>
        <w:t>%，</w:t>
      </w:r>
      <w:r>
        <w:rPr>
          <w:rFonts w:ascii="仿宋_GB2312" w:eastAsia="仿宋_GB2312" w:cs="仿宋_GB2312" w:hint="eastAsia"/>
          <w:color w:val="auto"/>
          <w:kern w:val="2"/>
          <w:sz w:val="32"/>
          <w:szCs w:val="32"/>
        </w:rPr>
        <w:t>主要原因</w:t>
      </w:r>
      <w:r>
        <w:rPr>
          <w:rFonts w:ascii="仿宋_GB2312" w:eastAsia="仿宋_GB2312" w:cs="仿宋_GB2312" w:hint="eastAsia"/>
          <w:color w:val="auto"/>
          <w:kern w:val="2"/>
          <w:sz w:val="32"/>
          <w:szCs w:val="32"/>
          <w:lang w:val="en-US" w:eastAsia="zh-CN"/>
        </w:rPr>
        <w:t>202</w:t>
      </w:r>
      <w:r>
        <w:rPr>
          <w:rFonts w:cs="仿宋_GB2312" w:hint="eastAsia"/>
          <w:color w:val="auto"/>
          <w:kern w:val="2"/>
          <w:sz w:val="32"/>
          <w:szCs w:val="32"/>
          <w:lang w:val="en-US" w:eastAsia="zh-CN"/>
        </w:rPr>
        <w:t>3</w:t>
      </w:r>
      <w:r>
        <w:rPr>
          <w:rFonts w:ascii="仿宋_GB2312" w:eastAsia="仿宋_GB2312" w:cs="仿宋_GB2312" w:hint="eastAsia"/>
          <w:color w:val="auto"/>
          <w:kern w:val="2"/>
          <w:sz w:val="32"/>
          <w:szCs w:val="32"/>
          <w:lang w:val="en-US" w:eastAsia="zh-CN"/>
        </w:rPr>
        <w:t>年</w:t>
      </w:r>
      <w:r>
        <w:rPr>
          <w:rFonts w:cs="仿宋_GB2312" w:hint="eastAsia"/>
          <w:color w:val="auto"/>
          <w:kern w:val="2"/>
          <w:sz w:val="32"/>
          <w:szCs w:val="32"/>
          <w:lang w:val="en-US" w:eastAsia="zh-CN"/>
        </w:rPr>
        <w:t>编制预算时，单位基础信息</w:t>
      </w:r>
      <w:r>
        <w:rPr>
          <w:rFonts w:ascii="仿宋_GB2312" w:eastAsia="仿宋_GB2312" w:cs="仿宋_GB2312" w:hint="eastAsia"/>
          <w:color w:val="auto"/>
          <w:kern w:val="2"/>
          <w:sz w:val="32"/>
          <w:szCs w:val="32"/>
          <w:lang w:val="en-US" w:eastAsia="zh-CN"/>
        </w:rPr>
        <w:t>车辆信息</w:t>
      </w:r>
      <w:r>
        <w:rPr>
          <w:rFonts w:cs="仿宋_GB2312" w:hint="eastAsia"/>
          <w:color w:val="auto"/>
          <w:kern w:val="2"/>
          <w:sz w:val="32"/>
          <w:szCs w:val="32"/>
          <w:lang w:val="en-US" w:eastAsia="zh-CN"/>
        </w:rPr>
        <w:t>编制为1辆。</w:t>
      </w:r>
      <w:r>
        <w:rPr>
          <w:rFonts w:cs="仿宋_GB2312"/>
          <w:color w:val="auto"/>
          <w:kern w:val="2"/>
          <w:sz w:val="32"/>
          <w:szCs w:val="32"/>
          <w:lang w:val="en-US" w:eastAsia="zh-CN"/>
        </w:rPr>
        <w:t>其中：公务用车运行维护费5.8万元；公务用车购置费0万元。</w:t>
      </w:r>
    </w:p>
    <w:p>
      <w:pPr>
        <w:keepNext w:val="0"/>
        <w:keepLines w:val="0"/>
        <w:pageBreakBefore w:val="0"/>
        <w:widowControl w:val="0"/>
        <w:tabs>
          <w:tab w:val="left" w:pos="0"/>
        </w:tabs>
        <w:kinsoku/>
        <w:wordWrap/>
        <w:overflowPunct/>
        <w:topLinePunct w:val="0"/>
        <w:autoSpaceDE/>
        <w:autoSpaceDN/>
        <w:bidi w:val="0"/>
        <w:adjustRightInd/>
        <w:snapToGrid/>
        <w:spacing w:line="540" w:lineRule="exact"/>
        <w:textAlignment w:val="auto"/>
        <w:rPr>
          <w:rFonts w:ascii="黑体" w:eastAsia="黑体" w:cs="黑体" w:hint="eastAsia"/>
          <w:b/>
          <w:bCs/>
          <w:sz w:val="32"/>
          <w:szCs w:val="32"/>
        </w:rPr>
      </w:pPr>
      <w:r>
        <w:rPr>
          <w:rFonts w:ascii="黑体" w:eastAsia="黑体" w:cs="黑体" w:hint="eastAsia"/>
          <w:b/>
          <w:bCs/>
          <w:sz w:val="32"/>
          <w:szCs w:val="32"/>
        </w:rPr>
        <w:t>八、政府性基金预算支出情况说明</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lang w:eastAsia="zh-CN"/>
        </w:rPr>
        <w:t>州</w:t>
      </w:r>
      <w:r>
        <w:rPr>
          <w:rFonts w:cs="仿宋_GB2312" w:hint="eastAsia"/>
          <w:kern w:val="2"/>
          <w:sz w:val="32"/>
          <w:szCs w:val="32"/>
          <w:lang w:eastAsia="zh-CN"/>
        </w:rPr>
        <w:t>大数据中心</w:t>
      </w:r>
      <w:r>
        <w:rPr>
          <w:rFonts w:ascii="仿宋_GB2312" w:eastAsia="仿宋_GB2312" w:cs="仿宋_GB2312" w:hint="eastAsia"/>
          <w:kern w:val="2"/>
          <w:sz w:val="32"/>
          <w:szCs w:val="32"/>
        </w:rPr>
        <w:t>202</w:t>
      </w:r>
      <w:r>
        <w:rPr>
          <w:rFonts w:cs="仿宋_GB2312" w:hint="eastAsia"/>
          <w:kern w:val="2"/>
          <w:sz w:val="32"/>
          <w:szCs w:val="32"/>
          <w:lang w:val="en-US" w:eastAsia="zh-CN"/>
        </w:rPr>
        <w:t>3</w:t>
      </w:r>
      <w:r>
        <w:rPr>
          <w:rFonts w:ascii="仿宋_GB2312" w:eastAsia="仿宋_GB2312" w:cs="仿宋_GB2312" w:hint="eastAsia"/>
          <w:kern w:val="2"/>
          <w:sz w:val="32"/>
          <w:szCs w:val="32"/>
        </w:rPr>
        <w:t>年政府性基金预算拨款安排的支出</w:t>
      </w:r>
      <w:r>
        <w:rPr>
          <w:rFonts w:ascii="仿宋_GB2312" w:eastAsia="仿宋_GB2312" w:cs="仿宋_GB2312" w:hint="eastAsia"/>
          <w:kern w:val="2"/>
          <w:sz w:val="32"/>
          <w:szCs w:val="32"/>
          <w:lang w:val="en-US" w:eastAsia="zh-CN"/>
        </w:rPr>
        <w:t>0</w:t>
      </w:r>
      <w:r>
        <w:rPr>
          <w:rFonts w:ascii="仿宋_GB2312" w:eastAsia="仿宋_GB2312" w:cs="仿宋_GB2312" w:hint="eastAsia"/>
          <w:kern w:val="2"/>
          <w:sz w:val="32"/>
          <w:szCs w:val="32"/>
        </w:rPr>
        <w:t>万元。</w:t>
      </w:r>
    </w:p>
    <w:p>
      <w:pPr>
        <w:keepNext w:val="0"/>
        <w:keepLines w:val="0"/>
        <w:pageBreakBefore w:val="0"/>
        <w:widowControl w:val="0"/>
        <w:tabs>
          <w:tab w:val="left" w:pos="0"/>
        </w:tabs>
        <w:kinsoku/>
        <w:wordWrap/>
        <w:overflowPunct/>
        <w:topLinePunct w:val="0"/>
        <w:autoSpaceDE/>
        <w:autoSpaceDN/>
        <w:bidi w:val="0"/>
        <w:adjustRightInd/>
        <w:snapToGrid/>
        <w:spacing w:line="540" w:lineRule="exact"/>
        <w:textAlignment w:val="auto"/>
        <w:rPr>
          <w:rFonts w:ascii="黑体" w:eastAsia="黑体" w:cs="黑体" w:hint="eastAsia"/>
          <w:b/>
          <w:bCs/>
          <w:sz w:val="32"/>
          <w:szCs w:val="32"/>
        </w:rPr>
      </w:pPr>
      <w:r>
        <w:rPr>
          <w:rFonts w:ascii="黑体" w:eastAsia="黑体" w:cs="黑体" w:hint="eastAsia"/>
          <w:b/>
          <w:bCs/>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楷体" w:eastAsia="楷体" w:cs="楷体" w:hint="eastAsia"/>
          <w:sz w:val="32"/>
          <w:szCs w:val="32"/>
          <w:lang w:val="en-US" w:eastAsia="zh-CN"/>
        </w:rPr>
      </w:pPr>
      <w:r>
        <w:rPr>
          <w:rFonts w:ascii="楷体" w:eastAsia="楷体" w:cs="楷体" w:hint="eastAsia"/>
          <w:sz w:val="32"/>
          <w:szCs w:val="32"/>
          <w:lang w:val="en-US" w:eastAsia="zh-CN"/>
        </w:rPr>
        <w:t>（一）机关运行经费</w:t>
      </w:r>
    </w:p>
    <w:p>
      <w:pPr>
        <w:keepNext w:val="0"/>
        <w:keepLines w:val="0"/>
        <w:pageBreakBefore w:val="0"/>
        <w:widowControl w:val="0"/>
        <w:kinsoku/>
        <w:wordWrap/>
        <w:overflowPunct/>
        <w:topLinePunct w:val="0"/>
        <w:autoSpaceDE/>
        <w:autoSpaceDN/>
        <w:bidi w:val="0"/>
        <w:adjustRightInd/>
        <w:snapToGrid/>
        <w:spacing w:line="540"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无，属州人民政府办公室直属事业单位。</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楷体" w:eastAsia="楷体" w:cs="楷体" w:hint="eastAsia"/>
          <w:sz w:val="32"/>
          <w:szCs w:val="32"/>
          <w:lang w:val="en-US" w:eastAsia="zh-CN"/>
        </w:rPr>
      </w:pPr>
      <w:r>
        <w:rPr>
          <w:rFonts w:ascii="楷体" w:eastAsia="楷体" w:cs="楷体" w:hint="eastAsia"/>
          <w:sz w:val="32"/>
          <w:szCs w:val="32"/>
          <w:lang w:val="en-US" w:eastAsia="zh-CN"/>
        </w:rPr>
        <w:t>（二）政府采购情况</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color w:val="000000"/>
          <w:kern w:val="2"/>
          <w:sz w:val="32"/>
          <w:szCs w:val="32"/>
        </w:rPr>
        <w:t>202</w:t>
      </w:r>
      <w:r>
        <w:rPr>
          <w:rFonts w:cs="仿宋_GB2312" w:hint="eastAsia"/>
          <w:color w:val="000000"/>
          <w:kern w:val="2"/>
          <w:sz w:val="32"/>
          <w:szCs w:val="32"/>
          <w:lang w:val="en-US" w:eastAsia="zh-CN"/>
        </w:rPr>
        <w:t>3</w:t>
      </w:r>
      <w:r>
        <w:rPr>
          <w:rFonts w:ascii="仿宋_GB2312" w:eastAsia="仿宋_GB2312" w:cs="仿宋_GB2312" w:hint="eastAsia"/>
          <w:color w:val="000000"/>
          <w:kern w:val="2"/>
          <w:sz w:val="32"/>
          <w:szCs w:val="32"/>
        </w:rPr>
        <w:t>年</w:t>
      </w:r>
      <w:r>
        <w:rPr>
          <w:rFonts w:ascii="仿宋_GB2312" w:eastAsia="仿宋_GB2312" w:cs="仿宋_GB2312" w:hint="eastAsia"/>
          <w:kern w:val="2"/>
          <w:sz w:val="32"/>
          <w:szCs w:val="32"/>
          <w:lang w:eastAsia="zh-CN"/>
        </w:rPr>
        <w:t>州</w:t>
      </w:r>
      <w:r>
        <w:rPr>
          <w:rFonts w:cs="仿宋_GB2312" w:hint="eastAsia"/>
          <w:kern w:val="2"/>
          <w:sz w:val="32"/>
          <w:szCs w:val="32"/>
          <w:lang w:eastAsia="zh-CN"/>
        </w:rPr>
        <w:t>大数据中心</w:t>
      </w:r>
      <w:r>
        <w:rPr>
          <w:rFonts w:ascii="仿宋_GB2312" w:eastAsia="仿宋_GB2312" w:cs="仿宋_GB2312" w:hint="eastAsia"/>
          <w:color w:val="000000"/>
          <w:kern w:val="2"/>
          <w:sz w:val="32"/>
          <w:szCs w:val="32"/>
        </w:rPr>
        <w:t>安排政府采购预算</w:t>
      </w:r>
      <w:r>
        <w:rPr>
          <w:rFonts w:cs="仿宋_GB2312" w:hint="eastAsia"/>
          <w:color w:val="000000"/>
          <w:kern w:val="2"/>
          <w:sz w:val="32"/>
          <w:szCs w:val="32"/>
          <w:lang w:val="en-US" w:eastAsia="zh-CN"/>
        </w:rPr>
        <w:t>992.6</w:t>
      </w:r>
      <w:r>
        <w:rPr>
          <w:rFonts w:ascii="仿宋_GB2312" w:eastAsia="仿宋_GB2312" w:cs="仿宋_GB2312" w:hint="eastAsia"/>
          <w:color w:val="000000"/>
          <w:kern w:val="2"/>
          <w:sz w:val="32"/>
          <w:szCs w:val="32"/>
        </w:rPr>
        <w:t>万元，主要</w:t>
      </w:r>
      <w:r>
        <w:rPr>
          <w:rFonts w:ascii="仿宋_GB2312" w:eastAsia="仿宋_GB2312" w:cs="仿宋_GB2312" w:hint="eastAsia"/>
          <w:kern w:val="2"/>
          <w:sz w:val="32"/>
          <w:szCs w:val="32"/>
        </w:rPr>
        <w:t>用</w:t>
      </w:r>
      <w:r>
        <w:rPr>
          <w:rFonts w:ascii="仿宋_GB2312" w:eastAsia="仿宋_GB2312" w:cs="仿宋_GB2312" w:hint="eastAsia"/>
          <w:kern w:val="2"/>
          <w:sz w:val="32"/>
          <w:szCs w:val="32"/>
          <w:lang w:eastAsia="zh-CN"/>
        </w:rPr>
        <w:t>于</w:t>
      </w:r>
      <w:r>
        <w:rPr>
          <w:rFonts w:ascii="仿宋_GB2312" w:eastAsia="仿宋_GB2312" w:cs="仿宋_GB2312" w:hint="eastAsia"/>
          <w:kern w:val="2"/>
          <w:sz w:val="32"/>
          <w:szCs w:val="32"/>
          <w:lang w:val="en-US" w:eastAsia="zh-CN"/>
        </w:rPr>
        <w:t>:一是阿坝州集约化平台与政府网站一体化运维服务</w:t>
      </w:r>
      <w:r>
        <w:rPr>
          <w:rFonts w:cs="仿宋_GB2312" w:hint="eastAsia"/>
          <w:kern w:val="2"/>
          <w:sz w:val="32"/>
          <w:szCs w:val="32"/>
          <w:lang w:val="en-US" w:eastAsia="zh-CN"/>
        </w:rPr>
        <w:t>187.6</w:t>
      </w:r>
      <w:r>
        <w:rPr>
          <w:rFonts w:ascii="仿宋_GB2312" w:eastAsia="仿宋_GB2312" w:cs="仿宋_GB2312" w:hint="eastAsia"/>
          <w:kern w:val="2"/>
          <w:sz w:val="32"/>
          <w:szCs w:val="32"/>
          <w:lang w:val="en-US" w:eastAsia="zh-CN"/>
        </w:rPr>
        <w:t>万元；二是州级电子政务外网网络租赁费</w:t>
      </w:r>
      <w:r>
        <w:rPr>
          <w:rFonts w:cs="仿宋_GB2312" w:hint="eastAsia"/>
          <w:kern w:val="2"/>
          <w:sz w:val="32"/>
          <w:szCs w:val="32"/>
          <w:lang w:val="en-US" w:eastAsia="zh-CN"/>
        </w:rPr>
        <w:t>150</w:t>
      </w:r>
      <w:r>
        <w:rPr>
          <w:rFonts w:ascii="仿宋_GB2312" w:eastAsia="仿宋_GB2312" w:cs="仿宋_GB2312" w:hint="eastAsia"/>
          <w:kern w:val="2"/>
          <w:sz w:val="32"/>
          <w:szCs w:val="32"/>
          <w:lang w:val="en-US" w:eastAsia="zh-CN"/>
        </w:rPr>
        <w:t>万元；三是阿坝州社会信用信息平台</w:t>
      </w:r>
      <w:r>
        <w:rPr>
          <w:rFonts w:cs="仿宋_GB2312" w:hint="eastAsia"/>
          <w:kern w:val="2"/>
          <w:sz w:val="32"/>
          <w:szCs w:val="32"/>
          <w:lang w:val="en-US" w:eastAsia="zh-CN"/>
        </w:rPr>
        <w:t>195</w:t>
      </w:r>
      <w:r>
        <w:rPr>
          <w:rFonts w:ascii="仿宋_GB2312" w:eastAsia="仿宋_GB2312" w:cs="仿宋_GB2312" w:hint="eastAsia"/>
          <w:kern w:val="2"/>
          <w:sz w:val="32"/>
          <w:szCs w:val="32"/>
          <w:lang w:val="en-US" w:eastAsia="zh-CN"/>
        </w:rPr>
        <w:t>万元；四是州政务云监管平台运行服务费</w:t>
      </w:r>
      <w:r>
        <w:rPr>
          <w:rFonts w:cs="仿宋_GB2312" w:hint="eastAsia"/>
          <w:kern w:val="2"/>
          <w:sz w:val="32"/>
          <w:szCs w:val="32"/>
          <w:lang w:val="en-US" w:eastAsia="zh-CN"/>
        </w:rPr>
        <w:t>30</w:t>
      </w:r>
      <w:r>
        <w:rPr>
          <w:rFonts w:ascii="仿宋_GB2312" w:eastAsia="仿宋_GB2312" w:cs="仿宋_GB2312" w:hint="eastAsia"/>
          <w:kern w:val="2"/>
          <w:sz w:val="32"/>
          <w:szCs w:val="32"/>
          <w:lang w:val="en-US" w:eastAsia="zh-CN"/>
        </w:rPr>
        <w:t>万元；五是阿坝州政府系统视频调度指挥中心</w:t>
      </w:r>
      <w:r>
        <w:rPr>
          <w:rFonts w:cs="仿宋_GB2312" w:hint="eastAsia"/>
          <w:kern w:val="2"/>
          <w:sz w:val="32"/>
          <w:szCs w:val="32"/>
          <w:lang w:val="en-US" w:eastAsia="zh-CN"/>
        </w:rPr>
        <w:t>280</w:t>
      </w:r>
      <w:r>
        <w:rPr>
          <w:rFonts w:ascii="仿宋_GB2312" w:eastAsia="仿宋_GB2312" w:cs="仿宋_GB2312" w:hint="eastAsia"/>
          <w:kern w:val="2"/>
          <w:sz w:val="32"/>
          <w:szCs w:val="32"/>
          <w:lang w:val="en-US" w:eastAsia="zh-CN"/>
        </w:rPr>
        <w:t>万元；六是阿坝州‘互联网+监管’专项技术服务费</w:t>
      </w:r>
      <w:r>
        <w:rPr>
          <w:rFonts w:cs="仿宋_GB2312" w:hint="eastAsia"/>
          <w:kern w:val="2"/>
          <w:sz w:val="32"/>
          <w:szCs w:val="32"/>
          <w:lang w:val="en-US" w:eastAsia="zh-CN"/>
        </w:rPr>
        <w:t>150</w:t>
      </w:r>
      <w:r>
        <w:rPr>
          <w:rFonts w:ascii="仿宋_GB2312" w:eastAsia="仿宋_GB2312" w:cs="仿宋_GB2312" w:hint="eastAsia"/>
          <w:kern w:val="2"/>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楷体" w:eastAsia="楷体" w:cs="楷体" w:hint="eastAsia"/>
          <w:sz w:val="32"/>
          <w:szCs w:val="32"/>
          <w:lang w:val="en-US" w:eastAsia="zh-CN"/>
        </w:rPr>
      </w:pPr>
      <w:r>
        <w:rPr>
          <w:rFonts w:ascii="楷体" w:eastAsia="楷体" w:cs="楷体" w:hint="eastAsia"/>
          <w:sz w:val="32"/>
          <w:szCs w:val="32"/>
          <w:lang w:val="en-US" w:eastAsia="zh-CN"/>
        </w:rPr>
        <w:t>（三）国有资产占有使用情况</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rPr>
        <w:t>截至202</w:t>
      </w:r>
      <w:r>
        <w:rPr>
          <w:rFonts w:cs="仿宋_GB2312" w:hint="eastAsia"/>
          <w:kern w:val="2"/>
          <w:sz w:val="32"/>
          <w:szCs w:val="32"/>
          <w:lang w:val="en-US" w:eastAsia="zh-CN"/>
        </w:rPr>
        <w:t>2</w:t>
      </w:r>
      <w:r>
        <w:rPr>
          <w:rFonts w:ascii="仿宋_GB2312" w:eastAsia="仿宋_GB2312" w:cs="仿宋_GB2312" w:hint="eastAsia"/>
          <w:kern w:val="2"/>
          <w:sz w:val="32"/>
          <w:szCs w:val="32"/>
        </w:rPr>
        <w:t>年12月31日，我单位</w:t>
      </w:r>
      <w:r>
        <w:rPr>
          <w:rFonts w:cs="仿宋_GB2312" w:hint="eastAsia"/>
          <w:kern w:val="2"/>
          <w:sz w:val="32"/>
          <w:szCs w:val="32"/>
          <w:lang w:eastAsia="zh-CN"/>
        </w:rPr>
        <w:t>资产共计</w:t>
      </w:r>
      <w:r>
        <w:rPr>
          <w:rFonts w:ascii="仿宋_GB2312" w:eastAsia="仿宋_GB2312" w:cs="仿宋_GB2312" w:hint="eastAsia"/>
          <w:kern w:val="0"/>
          <w:sz w:val="32"/>
          <w:szCs w:val="32"/>
          <w:lang w:val="en-US" w:eastAsia="zh-CN"/>
        </w:rPr>
        <w:t>4,003.38万元</w:t>
      </w:r>
      <w:r>
        <w:rPr>
          <w:rFonts w:cs="仿宋_GB2312" w:hint="eastAsia"/>
          <w:kern w:val="0"/>
          <w:sz w:val="32"/>
          <w:szCs w:val="32"/>
          <w:lang w:val="en-US" w:eastAsia="zh-CN"/>
        </w:rPr>
        <w:t>，其中：</w:t>
      </w:r>
      <w:r>
        <w:rPr>
          <w:rFonts w:ascii="仿宋_GB2312" w:eastAsia="仿宋_GB2312" w:cs="仿宋_GB2312" w:hint="eastAsia"/>
          <w:kern w:val="2"/>
          <w:sz w:val="32"/>
          <w:szCs w:val="32"/>
        </w:rPr>
        <w:t>固定资产</w:t>
      </w:r>
      <w:r>
        <w:rPr>
          <w:rFonts w:cs="仿宋_GB2312" w:hint="eastAsia"/>
          <w:kern w:val="2"/>
          <w:sz w:val="32"/>
          <w:szCs w:val="32"/>
          <w:lang w:val="en-US" w:eastAsia="zh-CN"/>
        </w:rPr>
        <w:t>1804</w:t>
      </w:r>
      <w:r>
        <w:rPr>
          <w:rFonts w:ascii="仿宋_GB2312" w:eastAsia="仿宋_GB2312" w:cs="仿宋_GB2312" w:hint="eastAsia"/>
          <w:kern w:val="2"/>
          <w:sz w:val="32"/>
          <w:szCs w:val="32"/>
        </w:rPr>
        <w:t>万元</w:t>
      </w:r>
      <w:r>
        <w:rPr>
          <w:rFonts w:ascii="仿宋_GB2312" w:eastAsia="仿宋_GB2312" w:cs="仿宋_GB2312" w:hint="eastAsia"/>
          <w:kern w:val="2"/>
          <w:sz w:val="32"/>
          <w:szCs w:val="32"/>
          <w:lang w:eastAsia="zh-CN"/>
        </w:rPr>
        <w:t>，无形资产</w:t>
      </w:r>
      <w:r>
        <w:rPr>
          <w:rFonts w:cs="仿宋_GB2312" w:hint="eastAsia"/>
          <w:kern w:val="2"/>
          <w:sz w:val="32"/>
          <w:szCs w:val="32"/>
          <w:lang w:val="en-US" w:eastAsia="zh-CN"/>
        </w:rPr>
        <w:t>2199.38</w:t>
      </w:r>
      <w:r>
        <w:rPr>
          <w:rFonts w:ascii="仿宋_GB2312" w:eastAsia="仿宋_GB2312" w:cs="仿宋_GB2312" w:hint="eastAsia"/>
          <w:kern w:val="2"/>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楷体" w:eastAsia="楷体" w:cs="楷体" w:hint="eastAsia"/>
          <w:sz w:val="32"/>
          <w:szCs w:val="32"/>
          <w:lang w:val="en-US" w:eastAsia="zh-CN"/>
        </w:rPr>
      </w:pPr>
      <w:r>
        <w:rPr>
          <w:rFonts w:ascii="楷体" w:eastAsia="楷体" w:cs="楷体" w:hint="eastAsia"/>
          <w:sz w:val="32"/>
          <w:szCs w:val="32"/>
          <w:lang w:val="en-US" w:eastAsia="zh-CN"/>
        </w:rPr>
        <w:t>（四）绩效目标设置情况</w:t>
      </w:r>
    </w:p>
    <w:p>
      <w:pPr>
        <w:pStyle w:val="17"/>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40" w:lineRule="exact"/>
        <w:ind w:left="0" w:right="0" w:firstLineChars="200" w:firstLine="640"/>
        <w:jc w:val="both"/>
        <w:outlineLvl w:val="9"/>
        <w:rPr>
          <w:rFonts w:ascii="仿宋_GB2312" w:eastAsia="仿宋_GB2312" w:cs="仿宋_GB2312" w:hint="eastAsia"/>
          <w:caps w:val="0"/>
          <w:smallCaps w:val="0"/>
          <w:color w:val="auto"/>
          <w:sz w:val="32"/>
          <w:szCs w:val="32"/>
          <w:vertAlign w:val="baseline"/>
        </w:rPr>
      </w:pPr>
      <w:r>
        <w:rPr>
          <w:rFonts w:ascii="仿宋_GB2312" w:eastAsia="仿宋_GB2312" w:cs="仿宋_GB2312" w:hint="eastAsia"/>
          <w:b w:val="0"/>
          <w:bCs w:val="0"/>
          <w:caps w:val="0"/>
          <w:smallCaps w:val="0"/>
          <w:color w:val="auto"/>
          <w:kern w:val="2"/>
          <w:sz w:val="32"/>
          <w:szCs w:val="32"/>
          <w:vertAlign w:val="baseline"/>
          <w:lang w:val="en-US" w:eastAsia="zh-CN"/>
        </w:rPr>
        <w:t>2023年我单位</w:t>
      </w:r>
      <w:r>
        <w:rPr>
          <w:rFonts w:ascii="仿宋_GB2312" w:eastAsia="仿宋_GB2312" w:cs="仿宋_GB2312"/>
          <w:b w:val="0"/>
          <w:bCs w:val="0"/>
          <w:caps w:val="0"/>
          <w:smallCaps w:val="0"/>
          <w:color w:val="auto"/>
          <w:kern w:val="2"/>
          <w:sz w:val="32"/>
          <w:szCs w:val="32"/>
          <w:vertAlign w:val="baseline"/>
          <w:lang w:val="en-US" w:eastAsia="zh-CN"/>
        </w:rPr>
        <w:t>开展了绩效目标管理的项目18个，</w:t>
      </w:r>
      <w:r>
        <w:rPr>
          <w:rFonts w:ascii="仿宋_GB2312" w:eastAsia="仿宋_GB2312" w:cs="仿宋_GB2312" w:hint="eastAsia"/>
          <w:b w:val="0"/>
          <w:bCs w:val="0"/>
          <w:caps w:val="0"/>
          <w:smallCaps w:val="0"/>
          <w:color w:val="auto"/>
          <w:kern w:val="2"/>
          <w:sz w:val="32"/>
          <w:szCs w:val="32"/>
          <w:vertAlign w:val="baseline"/>
          <w:lang w:val="en-US" w:eastAsia="zh-CN"/>
        </w:rPr>
        <w:t>涉及预算2,777.05万元</w:t>
      </w:r>
      <w:r>
        <w:rPr>
          <w:rFonts w:ascii="仿宋_GB2312" w:eastAsia="仿宋_GB2312" w:cs="仿宋_GB2312"/>
          <w:b w:val="0"/>
          <w:bCs w:val="0"/>
          <w:caps w:val="0"/>
          <w:smallCaps w:val="0"/>
          <w:color w:val="auto"/>
          <w:kern w:val="2"/>
          <w:sz w:val="32"/>
          <w:szCs w:val="32"/>
          <w:vertAlign w:val="baseline"/>
          <w:lang w:val="en-US" w:eastAsia="zh-CN"/>
        </w:rPr>
        <w:t>。其中：人员类项目5个，涉及预算490.51万元：运转类项目1个，涉及预算78.82万元；特定目标类12个，涉及预算2，207.72万元。</w:t>
      </w:r>
    </w:p>
    <w:p>
      <w:pPr>
        <w:keepNext w:val="0"/>
        <w:keepLines w:val="0"/>
        <w:pageBreakBefore w:val="0"/>
        <w:widowControl w:val="0"/>
        <w:tabs>
          <w:tab w:val="left" w:pos="0"/>
        </w:tabs>
        <w:kinsoku/>
        <w:wordWrap/>
        <w:overflowPunct/>
        <w:topLinePunct w:val="0"/>
        <w:autoSpaceDE/>
        <w:autoSpaceDN/>
        <w:bidi w:val="0"/>
        <w:adjustRightInd/>
        <w:snapToGrid/>
        <w:spacing w:line="540" w:lineRule="exact"/>
        <w:textAlignment w:val="auto"/>
        <w:rPr>
          <w:rFonts w:ascii="黑体" w:eastAsia="黑体" w:cs="黑体" w:hint="eastAsia"/>
          <w:b/>
          <w:bCs/>
          <w:sz w:val="32"/>
          <w:szCs w:val="32"/>
          <w:lang w:eastAsia="zh-CN"/>
        </w:rPr>
      </w:pPr>
      <w:r>
        <w:rPr>
          <w:rFonts w:ascii="黑体" w:eastAsia="黑体" w:cs="黑体" w:hint="eastAsia"/>
          <w:b/>
          <w:bCs/>
          <w:sz w:val="32"/>
          <w:szCs w:val="32"/>
        </w:rPr>
        <w:t xml:space="preserve">十、名称解释 </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仿宋_GB2312" w:eastAsia="仿宋_GB2312" w:cs="仿宋_GB2312" w:hint="eastAsia"/>
          <w:kern w:val="2"/>
          <w:sz w:val="32"/>
          <w:szCs w:val="32"/>
          <w:lang w:eastAsia="zh-CN"/>
        </w:rPr>
      </w:pPr>
      <w:r>
        <w:rPr>
          <w:rFonts w:ascii="仿宋_GB2312" w:eastAsia="仿宋_GB2312" w:cs="仿宋_GB2312" w:hint="eastAsia"/>
          <w:kern w:val="2"/>
          <w:sz w:val="32"/>
          <w:szCs w:val="32"/>
        </w:rPr>
        <w:t>（一）财政拨款收入：指由财政拨款形成的部门收入。按现行管理制度，部门预算中反映的财政拨款仅包括一般公共预算拨款和政府性基金预算拨款。</w:t>
      </w:r>
    </w:p>
    <w:p>
      <w:pPr>
        <w:pStyle w:val="19"/>
        <w:keepNext w:val="0"/>
        <w:keepLines w:val="0"/>
        <w:pageBreakBefore w:val="0"/>
        <w:widowControl w:val="0"/>
        <w:kinsoku/>
        <w:wordWrap/>
        <w:overflowPunct/>
        <w:topLinePunct w:val="0"/>
        <w:autoSpaceDE/>
        <w:autoSpaceDN/>
        <w:bidi w:val="0"/>
        <w:adjustRightInd/>
        <w:snapToGrid/>
        <w:spacing w:before="0" w:line="540" w:lineRule="exact"/>
        <w:textAlignment w:val="auto"/>
        <w:rPr>
          <w:rFonts w:ascii="仿宋_GB2312" w:eastAsia="仿宋_GB2312" w:cs="仿宋_GB2312" w:hint="eastAsia"/>
          <w:kern w:val="2"/>
          <w:sz w:val="32"/>
          <w:szCs w:val="32"/>
          <w:lang w:eastAsia="zh-CN"/>
        </w:rPr>
      </w:pPr>
      <w:r>
        <w:rPr>
          <w:rFonts w:ascii="仿宋_GB2312" w:eastAsia="仿宋_GB2312" w:cs="仿宋_GB2312" w:hint="eastAsia"/>
          <w:kern w:val="2"/>
          <w:sz w:val="32"/>
          <w:szCs w:val="32"/>
        </w:rPr>
        <w:t>　　（二）事业收入：指所属事业单位开展专业业务活动及辅助活动所取得的收入。</w:t>
      </w:r>
    </w:p>
    <w:p>
      <w:pPr>
        <w:pStyle w:val="19"/>
        <w:keepNext w:val="0"/>
        <w:keepLines w:val="0"/>
        <w:pageBreakBefore w:val="0"/>
        <w:widowControl w:val="0"/>
        <w:kinsoku/>
        <w:wordWrap/>
        <w:overflowPunct/>
        <w:topLinePunct w:val="0"/>
        <w:autoSpaceDE/>
        <w:autoSpaceDN/>
        <w:bidi w:val="0"/>
        <w:adjustRightInd/>
        <w:snapToGrid/>
        <w:spacing w:before="0" w:line="540" w:lineRule="exact"/>
        <w:textAlignment w:val="auto"/>
        <w:rPr>
          <w:rFonts w:ascii="仿宋_GB2312" w:eastAsia="仿宋_GB2312" w:cs="仿宋_GB2312" w:hint="eastAsia"/>
          <w:kern w:val="2"/>
          <w:sz w:val="32"/>
          <w:szCs w:val="32"/>
          <w:lang w:eastAsia="zh-CN"/>
        </w:rPr>
      </w:pPr>
      <w:r>
        <w:rPr>
          <w:rFonts w:ascii="仿宋_GB2312" w:eastAsia="仿宋_GB2312" w:cs="仿宋_GB2312" w:hint="eastAsia"/>
          <w:kern w:val="2"/>
          <w:sz w:val="32"/>
          <w:szCs w:val="32"/>
        </w:rPr>
        <w:t>　　（三）事业单位经营收入：指所属事业单位在专业业务活动及其辅助活动之外开展非独立核算经营活动取得的收入。</w:t>
      </w:r>
    </w:p>
    <w:p>
      <w:pPr>
        <w:pStyle w:val="19"/>
        <w:keepNext w:val="0"/>
        <w:keepLines w:val="0"/>
        <w:pageBreakBefore w:val="0"/>
        <w:widowControl w:val="0"/>
        <w:kinsoku/>
        <w:wordWrap/>
        <w:overflowPunct/>
        <w:topLinePunct w:val="0"/>
        <w:autoSpaceDE/>
        <w:autoSpaceDN/>
        <w:bidi w:val="0"/>
        <w:adjustRightInd/>
        <w:snapToGrid/>
        <w:spacing w:before="0" w:line="540" w:lineRule="exact"/>
        <w:textAlignment w:val="auto"/>
        <w:rPr>
          <w:rFonts w:ascii="仿宋_GB2312" w:eastAsia="仿宋_GB2312" w:cs="仿宋_GB2312" w:hint="eastAsia"/>
          <w:kern w:val="2"/>
          <w:sz w:val="32"/>
          <w:szCs w:val="32"/>
          <w:lang w:eastAsia="zh-CN"/>
        </w:rPr>
      </w:pPr>
      <w:r>
        <w:rPr>
          <w:rFonts w:ascii="仿宋_GB2312" w:eastAsia="仿宋_GB2312" w:cs="仿宋_GB2312" w:hint="eastAsia"/>
          <w:kern w:val="2"/>
          <w:sz w:val="32"/>
          <w:szCs w:val="32"/>
        </w:rPr>
        <w:t>　　（四）其他收入：指除上述“财政拨款收入”、“事业收入”、“事业单位经营收入”等以外的收入，主要是所属行政事业单位按规定动用的售房收入、存款利息收入等。</w:t>
      </w:r>
    </w:p>
    <w:p>
      <w:pPr>
        <w:pStyle w:val="19"/>
        <w:keepNext w:val="0"/>
        <w:keepLines w:val="0"/>
        <w:pageBreakBefore w:val="0"/>
        <w:widowControl w:val="0"/>
        <w:kinsoku/>
        <w:wordWrap/>
        <w:overflowPunct/>
        <w:topLinePunct w:val="0"/>
        <w:autoSpaceDE/>
        <w:autoSpaceDN/>
        <w:bidi w:val="0"/>
        <w:adjustRightInd/>
        <w:snapToGrid/>
        <w:spacing w:before="0" w:line="540" w:lineRule="exact"/>
        <w:textAlignment w:val="auto"/>
        <w:rPr>
          <w:rFonts w:ascii="仿宋_GB2312" w:eastAsia="仿宋_GB2312" w:cs="仿宋_GB2312" w:hint="eastAsia"/>
          <w:kern w:val="2"/>
          <w:sz w:val="32"/>
          <w:szCs w:val="32"/>
          <w:lang w:eastAsia="zh-CN"/>
        </w:rPr>
      </w:pPr>
      <w:r>
        <w:rPr>
          <w:rFonts w:ascii="仿宋_GB2312" w:eastAsia="仿宋_GB2312" w:cs="仿宋_GB2312" w:hint="eastAsia"/>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p>
    <w:p>
      <w:pPr>
        <w:pStyle w:val="19"/>
        <w:keepNext w:val="0"/>
        <w:keepLines w:val="0"/>
        <w:pageBreakBefore w:val="0"/>
        <w:widowControl w:val="0"/>
        <w:kinsoku/>
        <w:wordWrap/>
        <w:overflowPunct/>
        <w:topLinePunct w:val="0"/>
        <w:autoSpaceDE/>
        <w:autoSpaceDN/>
        <w:bidi w:val="0"/>
        <w:adjustRightInd/>
        <w:snapToGrid/>
        <w:spacing w:before="0" w:line="540" w:lineRule="exact"/>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eastAsia="仿宋_GB2312" w:cs="仿宋_GB2312" w:hint="eastAsia"/>
          <w:sz w:val="32"/>
          <w:szCs w:val="32"/>
        </w:rPr>
      </w:pPr>
    </w:p>
    <w:sectPr>
      <w:headerReference w:type="default" r:id="rId2"/>
      <w:pgSz w:w="11906" w:h="16838"/>
      <w:pgMar w:top="2098" w:right="1474" w:bottom="1984" w:left="1587" w:header="851" w:footer="992" w:gutter="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2010609030101010101"/>
    <w:charset w:val="86"/>
    <w:family w:val="modern"/>
    <w:pitch w:val="variable"/>
    <w:sig w:usb0="00000001" w:usb1="080E0000" w:usb2="00000000" w:usb3="00000000" w:csb0="00040000" w:csb1="00000000"/>
  </w:font>
  <w:font w:name="方正小标宋简体">
    <w:altName w:val="Arial Unicode MS"/>
    <w:panose1 w:val="02010601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ADE4796"/>
    <w:multiLevelType w:val="singleLevel"/>
    <w:tmpl w:val="AADE4796"/>
    <w:lvl w:ilvl="0">
      <w:start w:val="1"/>
      <w:numFmt w:val="chineseCounting"/>
      <w:lvlRestart w:val="0"/>
      <w:suff w:val="nothing"/>
      <w:lvlText w:val="（%1）"/>
      <w:lvlJc w:val="left"/>
      <w:pPr>
        <w:ind w:left="0" w:hanging="0"/>
      </w:pPr>
      <w:rPr>
        <w:rFonts w:hint="eastAsia"/>
      </w:rPr>
    </w:lvl>
  </w:abstractNum>
  <w:abstractNum w:abstractNumId="1">
    <w:nsid w:val="AB22B814"/>
    <w:multiLevelType w:val="singleLevel"/>
    <w:tmpl w:val="AB22B814"/>
    <w:lvl w:ilvl="0">
      <w:start w:val="1"/>
      <w:numFmt w:val="decimal"/>
      <w:lvlRestart w:val="0"/>
      <w:suff w:val="nothing"/>
      <w:lvlText w:val="（%1）"/>
      <w:lvlJc w:val="left"/>
      <w:pPr>
        <w:ind w:left="0" w:hanging="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OTcwOWFhZTNkNGJhYjAyY2VmZGE5MTU2NmNhZDIy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keepNext w:val="0"/>
      <w:keepLines w:val="0"/>
      <w:widowControl/>
      <w:suppressLineNumbers w:val="0"/>
      <w:spacing w:before="0" w:beforeAutospacing="1" w:after="0" w:afterAutospacing="1"/>
      <w:ind w:left="0" w:right="0"/>
      <w:jc w:val="left"/>
    </w:pPr>
    <w:rPr>
      <w:rFonts w:ascii="宋体" w:eastAsia="宋体" w:cs="宋体"/>
      <w:kern w:val="0"/>
      <w:sz w:val="24"/>
      <w:szCs w:val="24"/>
      <w:lang w:val="en-US" w:eastAsia="zh-CN"/>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43</TotalTime>
  <Application>Yozo_Office27021597764231179</Application>
  <Pages>1</Pages>
  <Words>2</Words>
  <Characters>2</Characters>
  <Lines>1</Lines>
  <Paragraphs>0</Paragraphs>
  <CharactersWithSpaces>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3</cp:revision>
  <cp:lastPrinted>2022-01-21T08:28:00Z</cp:lastPrinted>
  <dcterms:created xsi:type="dcterms:W3CDTF">2022-01-12T08:31:00Z</dcterms:created>
  <dcterms:modified xsi:type="dcterms:W3CDTF">2024-08-08T08:04:13Z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79309185931946F4AC1604D7E7FCF6D7</vt:lpwstr>
  </property>
</Properties>
</file>